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F9" w:rsidRPr="00C86BA5" w:rsidRDefault="004E4EF9" w:rsidP="004E4EF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86BA5">
        <w:rPr>
          <w:rFonts w:ascii="Arial" w:hAnsi="Arial" w:cs="Arial"/>
          <w:b/>
          <w:bCs/>
          <w:sz w:val="24"/>
          <w:szCs w:val="24"/>
          <w:lang w:eastAsia="ar-SA"/>
        </w:rPr>
        <w:t>Тема 4</w:t>
      </w:r>
    </w:p>
    <w:p w:rsidR="004E4EF9" w:rsidRPr="00C86BA5" w:rsidRDefault="004E4EF9" w:rsidP="004E4EF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4EF9" w:rsidRPr="00C86BA5" w:rsidRDefault="004E4EF9" w:rsidP="004E4EF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86BA5">
        <w:rPr>
          <w:rFonts w:ascii="Arial" w:hAnsi="Arial" w:cs="Arial"/>
          <w:b/>
          <w:sz w:val="24"/>
          <w:szCs w:val="24"/>
        </w:rPr>
        <w:t>Вътрешният одит и вътрешния финансов контрол – ключови за ефективното управление на публичните средства в общините. Организация на дейностите и функции на звената. СФУК – как да я поддържаме и развиваме?</w:t>
      </w:r>
    </w:p>
    <w:p w:rsidR="004E4EF9" w:rsidRPr="00C86BA5" w:rsidRDefault="004E4EF9" w:rsidP="004E4EF9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E4EF9" w:rsidRPr="00BA0FD1" w:rsidRDefault="004E4EF9" w:rsidP="004E4E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24"/>
          <w:shd w:val="clear" w:color="auto" w:fill="FFFFFF"/>
        </w:rPr>
      </w:pPr>
      <w:r w:rsidRPr="00BA0FD1">
        <w:rPr>
          <w:rFonts w:ascii="Arial" w:hAnsi="Arial" w:cs="Arial"/>
          <w:b/>
          <w:sz w:val="32"/>
          <w:szCs w:val="24"/>
          <w:shd w:val="clear" w:color="auto" w:fill="FFFFFF"/>
        </w:rPr>
        <w:t>УПРАЖНЕНИЕ</w:t>
      </w:r>
      <w:r>
        <w:rPr>
          <w:rFonts w:ascii="Arial" w:hAnsi="Arial" w:cs="Arial"/>
          <w:b/>
          <w:sz w:val="32"/>
          <w:szCs w:val="24"/>
          <w:shd w:val="clear" w:color="auto" w:fill="FFFFFF"/>
        </w:rPr>
        <w:t xml:space="preserve"> 2</w:t>
      </w:r>
    </w:p>
    <w:p w:rsidR="00D74BB3" w:rsidRPr="00D74BB3" w:rsidRDefault="00D74BB3" w:rsidP="00D74BB3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4BB3">
        <w:rPr>
          <w:rFonts w:ascii="Arial" w:hAnsi="Arial" w:cs="Arial"/>
          <w:sz w:val="24"/>
          <w:szCs w:val="24"/>
        </w:rPr>
        <w:t>Днешната бързо променяща се действителност притиска всяка една община с различни варианти на рискови събития. Поради тази причина се създават множество различни стратегии за управление на риска. В тази обстановка риск-мениджърите имат възможност да подпомагат, както и да имат водеща роля в тази дейност. С тази възможност обаче навлизат и нови предизвикателства. Ако от риск-мениджърите се изисква и очаква да идентифицират основните рискове, то те би следвало да са съоръжени с някои мощни диагностични средства. Най-актуалните теории за управление на риска доста задълбочено изследват пълния набор от всевъзможните рискове в дадена организация. Променливата им природа обаче често създава проблеми в тяхното идентифициране и оценка, както и оценката на влиянието им в парично изражение.</w:t>
      </w:r>
    </w:p>
    <w:p w:rsidR="00D74BB3" w:rsidRPr="00D74BB3" w:rsidRDefault="00D74BB3" w:rsidP="00D74BB3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D74BB3">
        <w:rPr>
          <w:rFonts w:ascii="Arial" w:hAnsi="Arial" w:cs="Arial"/>
          <w:sz w:val="24"/>
          <w:szCs w:val="24"/>
        </w:rPr>
        <w:t>За да посрещнат достойно тези предизвикателства, свързани с наблюдението на съществените рискове, съвременните стратегии за управление на риска изискват въвеждането и използването на различен набор от рискови категории. Тези рискови категории имат две основни цели:</w:t>
      </w:r>
    </w:p>
    <w:p w:rsidR="00D74BB3" w:rsidRPr="00D74BB3" w:rsidRDefault="00D74BB3" w:rsidP="00D74BB3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D74BB3">
        <w:rPr>
          <w:rFonts w:ascii="Arial" w:hAnsi="Arial" w:cs="Arial"/>
          <w:sz w:val="24"/>
          <w:szCs w:val="24"/>
        </w:rPr>
        <w:t>1) Да помагат при идентифицирането на основните рискове на общината;</w:t>
      </w:r>
    </w:p>
    <w:p w:rsidR="00D74BB3" w:rsidRPr="00D74BB3" w:rsidRDefault="00D74BB3" w:rsidP="00D74BB3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D74BB3">
        <w:rPr>
          <w:rFonts w:ascii="Arial" w:hAnsi="Arial" w:cs="Arial"/>
          <w:sz w:val="24"/>
          <w:szCs w:val="24"/>
        </w:rPr>
        <w:t>2) Да синтезират информацията, свързана с рисковете, за да бъде тя максимално полезна за съответните ръководители;</w:t>
      </w:r>
    </w:p>
    <w:p w:rsidR="00FD298C" w:rsidRPr="00D74BB3" w:rsidRDefault="00FD298C" w:rsidP="00FD298C">
      <w:pPr>
        <w:pStyle w:val="Title"/>
        <w:spacing w:before="120" w:after="120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Представете си, че сте </w:t>
      </w:r>
      <w:r w:rsidRPr="00D74BB3">
        <w:rPr>
          <w:b w:val="0"/>
          <w:bCs w:val="0"/>
        </w:rPr>
        <w:t xml:space="preserve">член на комитет по риска в Община Х. На текущото заседание </w:t>
      </w:r>
      <w:r>
        <w:rPr>
          <w:b w:val="0"/>
          <w:bCs w:val="0"/>
        </w:rPr>
        <w:t xml:space="preserve">се </w:t>
      </w:r>
      <w:r w:rsidRPr="00D74BB3">
        <w:rPr>
          <w:b w:val="0"/>
          <w:bCs w:val="0"/>
        </w:rPr>
        <w:t>обсъжда</w:t>
      </w:r>
      <w:r>
        <w:rPr>
          <w:b w:val="0"/>
          <w:bCs w:val="0"/>
        </w:rPr>
        <w:t xml:space="preserve">т </w:t>
      </w:r>
      <w:r w:rsidRPr="00D74BB3">
        <w:rPr>
          <w:b w:val="0"/>
          <w:bCs w:val="0"/>
        </w:rPr>
        <w:t>рисковете при следната ситуация: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>Да допуснем, че тези дни сме дали капаро от 5000 лв. на фирма, за организиране на лятно екскурзионно летуване на служители на общината. Как бихме оценили риска в тази ситуация или по-точно неприятната възможност тези пари да „потънат“ в джоба на некоректен туроператор?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>Да започнем с влиянието!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 xml:space="preserve">Тук преценката е абсолютно индивидуална и субективна. Вероятно има хора, за които загубата на 5000 лева или по 250 от ученик би представлявала чак толкова голям проблем, но в случая говорим за средностатистическо семейство, за когото тези пари са много и тяхната загуба би била чувствителна. За да имаме измерими критерии за оценка на влиянието нека за сума в размер до 100 лв. го определим като </w:t>
      </w:r>
      <w:r w:rsidRPr="00D74BB3">
        <w:rPr>
          <w:b w:val="0"/>
          <w:bCs w:val="0"/>
        </w:rPr>
        <w:lastRenderedPageBreak/>
        <w:t xml:space="preserve">ниско. Между 100 лв. и 500 лв. - средно и над 500 лв. – високо. Влиянието на риска в случая го дефинираме като е </w:t>
      </w:r>
      <w:r w:rsidRPr="00D74BB3">
        <w:t>ВИСОКО</w:t>
      </w:r>
      <w:r w:rsidRPr="00D74BB3">
        <w:rPr>
          <w:b w:val="0"/>
          <w:bCs w:val="0"/>
        </w:rPr>
        <w:t>.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 xml:space="preserve">До тук нямахме големи затруднения, но какво става с вероятността? 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>Ако избегнем гадаенето или интуицията от типа “шесто чувство”, то трябва и тук да подберем такива разумни рискови фактори или симптоми, които ако настъпят плавно ще повдигат/намаляват и степента на вероятността с определени от нас стъпки /пунктове/. Нека да опитаме!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  <w:u w:val="single"/>
        </w:rPr>
      </w:pPr>
      <w:r w:rsidRPr="00D74BB3">
        <w:rPr>
          <w:b w:val="0"/>
          <w:bCs w:val="0"/>
          <w:u w:val="single"/>
        </w:rPr>
        <w:t>РИСКОВИ ФАКТОРИ, СВЪРЗАНИ С ОРГАНИЗИРАНЕТО НА ЕКСКУРЗИЯТА:</w:t>
      </w:r>
    </w:p>
    <w:p w:rsidR="00D74BB3" w:rsidRPr="00D74BB3" w:rsidRDefault="00D74BB3" w:rsidP="00D74BB3">
      <w:pPr>
        <w:pStyle w:val="Title"/>
        <w:numPr>
          <w:ilvl w:val="0"/>
          <w:numId w:val="7"/>
        </w:numPr>
        <w:spacing w:before="120" w:after="120"/>
        <w:jc w:val="both"/>
        <w:rPr>
          <w:b w:val="0"/>
          <w:bCs w:val="0"/>
        </w:rPr>
      </w:pPr>
      <w:r w:rsidRPr="00D74BB3">
        <w:rPr>
          <w:b w:val="0"/>
          <w:bCs w:val="0"/>
        </w:rPr>
        <w:t>Нова фирма, за която няма никакви отзиви на пазара – два пункта;</w:t>
      </w:r>
    </w:p>
    <w:p w:rsidR="00D74BB3" w:rsidRPr="00D74BB3" w:rsidRDefault="00D74BB3" w:rsidP="00D74BB3">
      <w:pPr>
        <w:pStyle w:val="Title"/>
        <w:numPr>
          <w:ilvl w:val="0"/>
          <w:numId w:val="7"/>
        </w:numPr>
        <w:spacing w:before="120" w:after="120"/>
        <w:jc w:val="both"/>
        <w:rPr>
          <w:b w:val="0"/>
          <w:bCs w:val="0"/>
        </w:rPr>
      </w:pPr>
      <w:r w:rsidRPr="00D74BB3">
        <w:rPr>
          <w:b w:val="0"/>
          <w:bCs w:val="0"/>
        </w:rPr>
        <w:t>Даденото капаро надвишава нормалните търговски практики – един пункт;</w:t>
      </w:r>
    </w:p>
    <w:p w:rsidR="00D74BB3" w:rsidRPr="00D74BB3" w:rsidRDefault="00D74BB3" w:rsidP="00D74BB3">
      <w:pPr>
        <w:pStyle w:val="Title"/>
        <w:numPr>
          <w:ilvl w:val="0"/>
          <w:numId w:val="7"/>
        </w:numPr>
        <w:spacing w:before="120" w:after="120"/>
        <w:jc w:val="both"/>
        <w:rPr>
          <w:b w:val="0"/>
          <w:bCs w:val="0"/>
        </w:rPr>
      </w:pPr>
      <w:r w:rsidRPr="00D74BB3">
        <w:rPr>
          <w:b w:val="0"/>
          <w:bCs w:val="0"/>
        </w:rPr>
        <w:t>Липса на собствен транспорт  - два пункта;</w:t>
      </w:r>
    </w:p>
    <w:p w:rsidR="00D74BB3" w:rsidRPr="00D74BB3" w:rsidRDefault="00D74BB3" w:rsidP="00D74BB3">
      <w:pPr>
        <w:pStyle w:val="Title"/>
        <w:numPr>
          <w:ilvl w:val="0"/>
          <w:numId w:val="7"/>
        </w:numPr>
        <w:spacing w:before="120" w:after="120"/>
        <w:jc w:val="both"/>
        <w:rPr>
          <w:b w:val="0"/>
          <w:bCs w:val="0"/>
        </w:rPr>
      </w:pPr>
      <w:r w:rsidRPr="00D74BB3">
        <w:rPr>
          <w:b w:val="0"/>
          <w:bCs w:val="0"/>
        </w:rPr>
        <w:t>Данни за невъзстановени предишни заеми – три пункта;</w:t>
      </w:r>
    </w:p>
    <w:p w:rsidR="00D74BB3" w:rsidRPr="00D74BB3" w:rsidRDefault="00D74BB3" w:rsidP="00D74BB3">
      <w:pPr>
        <w:pStyle w:val="Title"/>
        <w:numPr>
          <w:ilvl w:val="0"/>
          <w:numId w:val="7"/>
        </w:numPr>
        <w:spacing w:before="120" w:after="120"/>
        <w:jc w:val="both"/>
        <w:rPr>
          <w:b w:val="0"/>
          <w:bCs w:val="0"/>
        </w:rPr>
      </w:pPr>
      <w:r w:rsidRPr="00D74BB3">
        <w:rPr>
          <w:b w:val="0"/>
          <w:bCs w:val="0"/>
        </w:rPr>
        <w:t>Фирма, за която има предишни коментари или публикации за некоректност и дори измама – три пункта;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>На този етап ще се задоволим с тези фактори, макар че сигурно може да открием и други. Максималният сбор от точките на горните шест фактора е 12 – тоест до четири пункта вероятността ще е ниска, между 4 и 8 средна и над 8 висока.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Cs w:val="0"/>
        </w:rPr>
      </w:pPr>
      <w:r w:rsidRPr="00D74BB3">
        <w:rPr>
          <w:bCs w:val="0"/>
        </w:rPr>
        <w:t>Нека сега да приемем хипотетично вариант при който сме дали капаро на една от утвърдените фирми на пазара, за която обаче в последните 6 месеца има редица публикации за отменени резервации, продадени собствени бусове и на всичкото отгоре исканото и даденото капаро е далеч о</w:t>
      </w:r>
      <w:r>
        <w:rPr>
          <w:bCs w:val="0"/>
        </w:rPr>
        <w:t>т нормалните търговски практики</w:t>
      </w:r>
      <w:r w:rsidRPr="00D74BB3">
        <w:rPr>
          <w:bCs w:val="0"/>
        </w:rPr>
        <w:t>.</w:t>
      </w:r>
    </w:p>
    <w:p w:rsidR="00D74BB3" w:rsidRPr="00D74BB3" w:rsidRDefault="00D74BB3" w:rsidP="00D74BB3">
      <w:pPr>
        <w:pStyle w:val="Title"/>
        <w:spacing w:before="120" w:after="120"/>
        <w:ind w:firstLine="720"/>
        <w:jc w:val="both"/>
        <w:rPr>
          <w:b w:val="0"/>
          <w:bCs w:val="0"/>
        </w:rPr>
      </w:pPr>
      <w:r w:rsidRPr="00D74BB3">
        <w:rPr>
          <w:b w:val="0"/>
          <w:bCs w:val="0"/>
        </w:rPr>
        <w:t>След като вече сме уточнили вероятността и влиянието да открием какъв е рискът върху рисковата схема по-долу:</w:t>
      </w:r>
    </w:p>
    <w:p w:rsidR="004B7F29" w:rsidRPr="008A0545" w:rsidRDefault="00D74BB3" w:rsidP="004E4EF9">
      <w:pPr>
        <w:pStyle w:val="Title"/>
        <w:spacing w:before="120" w:after="120"/>
        <w:rPr>
          <w:b w:val="0"/>
        </w:rPr>
      </w:pPr>
      <w:r w:rsidRPr="00F64FAE">
        <w:rPr>
          <w:rFonts w:ascii="Times New Roman" w:hAnsi="Times New Roman" w:cs="Times New Roman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4AF9" wp14:editId="7A87E51B">
                <wp:simplePos x="0" y="0"/>
                <wp:positionH relativeFrom="column">
                  <wp:posOffset>1090930</wp:posOffset>
                </wp:positionH>
                <wp:positionV relativeFrom="paragraph">
                  <wp:posOffset>865506</wp:posOffset>
                </wp:positionV>
                <wp:extent cx="1857235" cy="114300"/>
                <wp:effectExtent l="0" t="0" r="0" b="0"/>
                <wp:wrapNone/>
                <wp:docPr id="98" name="WordAr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2702">
                          <a:off x="0" y="0"/>
                          <a:ext cx="1857235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4BB3" w:rsidRDefault="00D74BB3" w:rsidP="00D74BB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FF6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1 2 3 4 5 6 7 8 </w:t>
                            </w:r>
                            <w:r w:rsidRPr="00044D3D">
                              <w:rPr>
                                <w:rFonts w:ascii="Arial Black" w:hAnsi="Arial Black"/>
                                <w:color w:val="FF6600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9 10 11 12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7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B4AF9" id="_x0000_t202" coordsize="21600,21600" o:spt="202" path="m,l,21600r21600,l21600,xe">
                <v:stroke joinstyle="miter"/>
                <v:path gradientshapeok="t" o:connecttype="rect"/>
              </v:shapetype>
              <v:shape id="WordArt 291" o:spid="_x0000_s1026" type="#_x0000_t202" style="position:absolute;left:0;text-align:left;margin-left:85.9pt;margin-top:68.15pt;width:146.25pt;height:9pt;rotation:-58952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D74BB3" w:rsidRDefault="00D74BB3" w:rsidP="00D74BB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FF6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1 2 3 4 5 6 7 8 </w:t>
                      </w:r>
                      <w:r w:rsidRPr="00044D3D">
                        <w:rPr>
                          <w:rFonts w:ascii="Arial Black" w:hAnsi="Arial Black"/>
                          <w:color w:val="FF6600"/>
                          <w:sz w:val="14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9 10 11 12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170052904"/>
      <w:bookmarkEnd w:id="1"/>
      <w:bookmarkStart w:id="2" w:name="_MON_1170052161"/>
      <w:bookmarkEnd w:id="2"/>
      <w:r w:rsidRPr="00F64FAE">
        <w:rPr>
          <w:rFonts w:ascii="Times New Roman" w:hAnsi="Times New Roman" w:cs="Times New Roman"/>
          <w:i/>
        </w:rPr>
        <w:object w:dxaOrig="5205" w:dyaOrig="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88.25pt" o:ole="">
            <v:imagedata r:id="rId7" o:title=""/>
          </v:shape>
          <o:OLEObject Type="Embed" ProgID="Word.Picture.8" ShapeID="_x0000_i1025" DrawAspect="Content" ObjectID="_1695821853" r:id="rId8"/>
        </w:object>
      </w:r>
    </w:p>
    <w:sectPr w:rsidR="004B7F29" w:rsidRPr="008A0545" w:rsidSect="00157598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E9" w:rsidRDefault="001C62E9" w:rsidP="00FD298C">
      <w:pPr>
        <w:spacing w:after="0" w:line="240" w:lineRule="auto"/>
      </w:pPr>
      <w:r>
        <w:separator/>
      </w:r>
    </w:p>
  </w:endnote>
  <w:endnote w:type="continuationSeparator" w:id="0">
    <w:p w:rsidR="001C62E9" w:rsidRDefault="001C62E9" w:rsidP="00FD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213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98C" w:rsidRDefault="00FD298C" w:rsidP="00FD298C">
        <w:pPr>
          <w:pStyle w:val="Footer"/>
          <w:pBdr>
            <w:top w:val="double" w:sz="4" w:space="1" w:color="auto"/>
          </w:pBdr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98C" w:rsidRPr="0062581A" w:rsidRDefault="00FD298C" w:rsidP="00FD298C">
    <w:pPr>
      <w:spacing w:after="0" w:line="240" w:lineRule="auto"/>
      <w:ind w:right="-144"/>
      <w:jc w:val="both"/>
      <w:rPr>
        <w:iCs/>
        <w:sz w:val="18"/>
        <w:szCs w:val="18"/>
      </w:rPr>
    </w:pPr>
    <w:r w:rsidRPr="000E7382">
      <w:rPr>
        <w:i/>
        <w:iCs/>
        <w:sz w:val="18"/>
        <w:szCs w:val="18"/>
        <w:lang w:val="en-US"/>
      </w:rPr>
      <w:t xml:space="preserve"> </w:t>
    </w:r>
    <w:r w:rsidRPr="0062581A">
      <w:rPr>
        <w:i/>
        <w:iCs/>
        <w:sz w:val="18"/>
        <w:szCs w:val="18"/>
        <w:lang w:val="en-US"/>
      </w:rPr>
      <w:t xml:space="preserve">Този документ е създаден съгласно Административен договор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r w:rsidRPr="0062581A">
      <w:rPr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 </w:t>
    </w:r>
    <w:r w:rsidRPr="0062581A">
      <w:rPr>
        <w:i/>
        <w:iCs/>
        <w:sz w:val="18"/>
        <w:szCs w:val="18"/>
        <w:lang w:val="en-US"/>
      </w:rPr>
      <w:t>за предоставяне на безвъзмездна финансова помощ по</w:t>
    </w:r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 “, съфинансирана от Европейския съюз чрез Европейския социален фонд. </w:t>
    </w:r>
  </w:p>
  <w:p w:rsidR="00FD298C" w:rsidRPr="0062581A" w:rsidRDefault="00FD298C" w:rsidP="00FD298C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:rsidR="00FD298C" w:rsidRPr="009503EB" w:rsidRDefault="00FD298C" w:rsidP="00FD298C">
    <w:pPr>
      <w:pStyle w:val="Footer"/>
    </w:pPr>
  </w:p>
  <w:p w:rsidR="00FD298C" w:rsidRDefault="00FD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E9" w:rsidRDefault="001C62E9" w:rsidP="00FD298C">
      <w:pPr>
        <w:spacing w:after="0" w:line="240" w:lineRule="auto"/>
      </w:pPr>
      <w:r>
        <w:separator/>
      </w:r>
    </w:p>
  </w:footnote>
  <w:footnote w:type="continuationSeparator" w:id="0">
    <w:p w:rsidR="001C62E9" w:rsidRDefault="001C62E9" w:rsidP="00FD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8C" w:rsidRDefault="00FD298C" w:rsidP="00FD298C">
    <w:pPr>
      <w:pStyle w:val="Header"/>
      <w:ind w:left="-284"/>
      <w:rPr>
        <w:noProof/>
      </w:rPr>
    </w:pPr>
    <w:r>
      <w:rPr>
        <w:noProof/>
        <w:lang w:val="en-GB" w:eastAsia="en-GB"/>
      </w:rPr>
      <w:drawing>
        <wp:inline distT="0" distB="0" distL="0" distR="0" wp14:anchorId="71C30893" wp14:editId="622CE783">
          <wp:extent cx="1440036" cy="6677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</w:t>
    </w:r>
    <w:r>
      <w:rPr>
        <w:noProof/>
        <w:lang w:val="en-GB" w:eastAsia="en-GB"/>
      </w:rPr>
      <w:drawing>
        <wp:inline distT="0" distB="0" distL="0" distR="0" wp14:anchorId="6FBA6D05" wp14:editId="5DF55040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</w:t>
    </w:r>
    <w:r>
      <w:rPr>
        <w:noProof/>
      </w:rPr>
      <w:t xml:space="preserve">   </w:t>
    </w:r>
    <w:r>
      <w:rPr>
        <w:noProof/>
        <w:lang w:val="en-US"/>
      </w:rPr>
      <w:t xml:space="preserve">  </w:t>
    </w:r>
    <w:r>
      <w:rPr>
        <w:noProof/>
      </w:rPr>
      <w:t xml:space="preserve">  </w:t>
    </w:r>
    <w:r>
      <w:rPr>
        <w:noProof/>
        <w:lang w:val="en-US"/>
      </w:rPr>
      <w:t xml:space="preserve"> </w:t>
    </w:r>
    <w:r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 wp14:anchorId="271495C5" wp14:editId="5BC27D55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298C" w:rsidRDefault="00FD2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AF4"/>
    <w:multiLevelType w:val="hybridMultilevel"/>
    <w:tmpl w:val="88ACD7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458"/>
    <w:multiLevelType w:val="hybridMultilevel"/>
    <w:tmpl w:val="86D07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D14"/>
    <w:multiLevelType w:val="hybridMultilevel"/>
    <w:tmpl w:val="CD362D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3A94"/>
    <w:multiLevelType w:val="hybridMultilevel"/>
    <w:tmpl w:val="B7AE39EC"/>
    <w:lvl w:ilvl="0" w:tplc="7DCECD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3000"/>
    <w:multiLevelType w:val="hybridMultilevel"/>
    <w:tmpl w:val="36F0E02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959E1"/>
    <w:multiLevelType w:val="hybridMultilevel"/>
    <w:tmpl w:val="A858DDC6"/>
    <w:lvl w:ilvl="0" w:tplc="329E20D2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0A4"/>
    <w:multiLevelType w:val="hybridMultilevel"/>
    <w:tmpl w:val="0E646B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29"/>
    <w:rsid w:val="00012B3C"/>
    <w:rsid w:val="001246C5"/>
    <w:rsid w:val="00157598"/>
    <w:rsid w:val="001C62E9"/>
    <w:rsid w:val="001E6724"/>
    <w:rsid w:val="002A7CF6"/>
    <w:rsid w:val="003E1BFC"/>
    <w:rsid w:val="004B7F29"/>
    <w:rsid w:val="004E4EF9"/>
    <w:rsid w:val="006D222F"/>
    <w:rsid w:val="007E7883"/>
    <w:rsid w:val="008A0545"/>
    <w:rsid w:val="00D23EC6"/>
    <w:rsid w:val="00D74BB3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35CF6-C2D5-4584-BB1D-90AE387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CF6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74BB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4BB3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7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D2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8C"/>
  </w:style>
  <w:style w:type="paragraph" w:styleId="Footer">
    <w:name w:val="footer"/>
    <w:basedOn w:val="Normal"/>
    <w:link w:val="FooterChar"/>
    <w:uiPriority w:val="99"/>
    <w:unhideWhenUsed/>
    <w:rsid w:val="00FD2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userMKVO</dc:creator>
  <cp:keywords/>
  <dc:description/>
  <cp:lastModifiedBy>DANY</cp:lastModifiedBy>
  <cp:revision>2</cp:revision>
  <dcterms:created xsi:type="dcterms:W3CDTF">2021-10-15T13:51:00Z</dcterms:created>
  <dcterms:modified xsi:type="dcterms:W3CDTF">2021-10-15T13:51:00Z</dcterms:modified>
</cp:coreProperties>
</file>