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F7" w:rsidRPr="00C86BA5" w:rsidRDefault="00DD3CF7" w:rsidP="00480D44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C86BA5">
        <w:rPr>
          <w:rFonts w:ascii="Arial" w:hAnsi="Arial" w:cs="Arial"/>
          <w:b/>
          <w:bCs/>
          <w:sz w:val="24"/>
          <w:szCs w:val="24"/>
          <w:lang w:eastAsia="ar-SA"/>
        </w:rPr>
        <w:t xml:space="preserve">Тема </w:t>
      </w:r>
      <w:r w:rsidR="00083EFF" w:rsidRPr="00C86BA5">
        <w:rPr>
          <w:rFonts w:ascii="Arial" w:hAnsi="Arial" w:cs="Arial"/>
          <w:b/>
          <w:bCs/>
          <w:sz w:val="24"/>
          <w:szCs w:val="24"/>
          <w:lang w:eastAsia="ar-SA"/>
        </w:rPr>
        <w:t>4</w:t>
      </w:r>
    </w:p>
    <w:p w:rsidR="00102752" w:rsidRPr="00C86BA5" w:rsidRDefault="00102752" w:rsidP="00480D44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EA6249" w:rsidRPr="00C86BA5" w:rsidRDefault="00EA6249" w:rsidP="00480D44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C86BA5">
        <w:rPr>
          <w:rFonts w:ascii="Arial" w:hAnsi="Arial" w:cs="Arial"/>
          <w:b/>
          <w:sz w:val="24"/>
          <w:szCs w:val="24"/>
        </w:rPr>
        <w:t xml:space="preserve">Вътрешният одит и вътрешния финансов контрол – ключови за ефективното управление на публичните средства в общините. Организация на дейностите и функции на звената. СФУК – как </w:t>
      </w:r>
      <w:r w:rsidR="00C65D03" w:rsidRPr="00C86BA5">
        <w:rPr>
          <w:rFonts w:ascii="Arial" w:hAnsi="Arial" w:cs="Arial"/>
          <w:b/>
          <w:sz w:val="24"/>
          <w:szCs w:val="24"/>
        </w:rPr>
        <w:t>да я поддържаме и развиваме?</w:t>
      </w:r>
    </w:p>
    <w:p w:rsidR="00102752" w:rsidRPr="00C86BA5" w:rsidRDefault="00102752" w:rsidP="00480D44">
      <w:pPr>
        <w:suppressAutoHyphens/>
        <w:spacing w:before="0"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010EF9" w:rsidRPr="00C86BA5" w:rsidRDefault="00010EF9" w:rsidP="00480D44">
      <w:pPr>
        <w:suppressAutoHyphens/>
        <w:spacing w:before="0"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382532" w:rsidRPr="00BA0FD1" w:rsidRDefault="00D91142" w:rsidP="00BA0FD1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32"/>
          <w:szCs w:val="24"/>
          <w:shd w:val="clear" w:color="auto" w:fill="FFFFFF"/>
        </w:rPr>
      </w:pPr>
      <w:r w:rsidRPr="00BA0FD1">
        <w:rPr>
          <w:rFonts w:ascii="Arial" w:hAnsi="Arial" w:cs="Arial"/>
          <w:b/>
          <w:sz w:val="32"/>
          <w:szCs w:val="24"/>
          <w:shd w:val="clear" w:color="auto" w:fill="FFFFFF"/>
        </w:rPr>
        <w:t>УПРАЖНЕНИЕ</w:t>
      </w:r>
      <w:r w:rsidR="00210944">
        <w:rPr>
          <w:rFonts w:ascii="Arial" w:hAnsi="Arial" w:cs="Arial"/>
          <w:b/>
          <w:sz w:val="32"/>
          <w:szCs w:val="24"/>
          <w:shd w:val="clear" w:color="auto" w:fill="FFFFFF"/>
        </w:rPr>
        <w:t xml:space="preserve"> 1</w:t>
      </w:r>
      <w:bookmarkStart w:id="0" w:name="_GoBack"/>
      <w:bookmarkEnd w:id="0"/>
    </w:p>
    <w:p w:rsidR="00BA0FD1" w:rsidRPr="00BA0FD1" w:rsidRDefault="00BA0FD1" w:rsidP="00BA0FD1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91142" w:rsidRDefault="00D91142" w:rsidP="00BA0FD1">
      <w:pPr>
        <w:autoSpaceDE w:val="0"/>
        <w:autoSpaceDN w:val="0"/>
        <w:adjustRightInd w:val="0"/>
        <w:spacing w:before="0" w:after="0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Свързано с коректното и обективно попълване на Въпросника за самооценка на Вътрешния контрол (СФУК)</w:t>
      </w:r>
    </w:p>
    <w:p w:rsidR="00D91142" w:rsidRDefault="00D91142" w:rsidP="00CD56EC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1142" w:rsidRDefault="00D91142" w:rsidP="00CD56EC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ИЗЛОЖЕНИЕ:</w:t>
      </w:r>
    </w:p>
    <w:p w:rsidR="00D91142" w:rsidRDefault="00D91142" w:rsidP="00CD56EC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D91142" w:rsidRDefault="002B32D8" w:rsidP="00CD56EC">
      <w:pPr>
        <w:autoSpaceDE w:val="0"/>
        <w:autoSpaceDN w:val="0"/>
        <w:adjustRightInd w:val="0"/>
        <w:spacing w:before="0" w:after="0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„</w:t>
      </w:r>
      <w:r w:rsidR="003776EA">
        <w:rPr>
          <w:rFonts w:ascii="Arial" w:hAnsi="Arial" w:cs="Arial"/>
          <w:sz w:val="24"/>
          <w:szCs w:val="24"/>
          <w:shd w:val="clear" w:color="auto" w:fill="FFFFFF"/>
        </w:rPr>
        <w:t>Община Кантарджиево</w:t>
      </w:r>
      <w:r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3776EA">
        <w:rPr>
          <w:rFonts w:ascii="Arial" w:hAnsi="Arial" w:cs="Arial"/>
          <w:sz w:val="24"/>
          <w:szCs w:val="24"/>
          <w:shd w:val="clear" w:color="auto" w:fill="FFFFFF"/>
        </w:rPr>
        <w:t xml:space="preserve"> е средно голяма община с население </w:t>
      </w:r>
      <w:r w:rsidR="00CD56EC">
        <w:rPr>
          <w:rFonts w:ascii="Arial" w:hAnsi="Arial" w:cs="Arial"/>
          <w:sz w:val="24"/>
          <w:szCs w:val="24"/>
          <w:shd w:val="clear" w:color="auto" w:fill="FFFFFF"/>
        </w:rPr>
        <w:t>9</w:t>
      </w:r>
      <w:r w:rsidR="003776EA">
        <w:rPr>
          <w:rFonts w:ascii="Arial" w:hAnsi="Arial" w:cs="Arial"/>
          <w:sz w:val="24"/>
          <w:szCs w:val="24"/>
          <w:shd w:val="clear" w:color="auto" w:fill="FFFFFF"/>
        </w:rPr>
        <w:t xml:space="preserve">0 000 души, която обхваща няколко кметства. </w:t>
      </w:r>
      <w:r w:rsidR="0026697F">
        <w:rPr>
          <w:rFonts w:ascii="Arial" w:hAnsi="Arial" w:cs="Arial"/>
          <w:sz w:val="24"/>
          <w:szCs w:val="24"/>
          <w:shd w:val="clear" w:color="auto" w:fill="FFFFFF"/>
        </w:rPr>
        <w:t>Съставът на общината е от 70 служители повечето от които са назначени през последната една година. Бюджет за планирани обучения по специфични теми и области не е определен. Звеното за вътрешен одит се състои от един човек, който е и ръководител на вътрешния одит. Двата щата за вътрешни одитори стоят незаети повече от 4 г. и планираните средства за тях за МРЗ, както и на още 14 незаети бройки се разпределят за ДВПР в края на всяко тримесечие</w:t>
      </w:r>
      <w:r w:rsidR="008B18BC">
        <w:rPr>
          <w:rFonts w:ascii="Arial" w:hAnsi="Arial" w:cs="Arial"/>
          <w:sz w:val="24"/>
          <w:szCs w:val="24"/>
          <w:shd w:val="clear" w:color="auto" w:fill="FFFFFF"/>
        </w:rPr>
        <w:t xml:space="preserve"> по субективен принцип на ръководството</w:t>
      </w:r>
      <w:r w:rsidR="0026697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3776EA">
        <w:rPr>
          <w:rFonts w:ascii="Arial" w:hAnsi="Arial" w:cs="Arial"/>
          <w:sz w:val="24"/>
          <w:szCs w:val="24"/>
          <w:shd w:val="clear" w:color="auto" w:fill="FFFFFF"/>
        </w:rPr>
        <w:t xml:space="preserve">През 2020 г. са проведени няколко обществени поръчки, включително и чрез проекти по еврофондове. </w:t>
      </w:r>
    </w:p>
    <w:p w:rsidR="00CD56EC" w:rsidRDefault="00D3517F" w:rsidP="00CD56EC">
      <w:pPr>
        <w:pStyle w:val="Title"/>
        <w:spacing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 xml:space="preserve">В края на предходната година е сключен договор по спешност за възстановяване на едно от помещенията след възникнал пожар, при който е погубена част от архивата. </w:t>
      </w:r>
      <w:r w:rsidR="00CD56EC">
        <w:rPr>
          <w:b w:val="0"/>
          <w:bCs w:val="0"/>
        </w:rPr>
        <w:t>Същата година е сключен договор за закупуването и доставката на изключително скъп софтуер</w:t>
      </w:r>
      <w:r w:rsidR="0026697F">
        <w:rPr>
          <w:b w:val="0"/>
          <w:bCs w:val="0"/>
        </w:rPr>
        <w:t>, който да замени остарелият такъв,</w:t>
      </w:r>
      <w:r w:rsidR="00CD56EC">
        <w:rPr>
          <w:b w:val="0"/>
          <w:bCs w:val="0"/>
        </w:rPr>
        <w:t xml:space="preserve"> без да е проведена обществена поръчка. Неговото изплащане ще бъде осъществено на части в продължение на 6 години за напред. В общественото пространство се разгаря силен медиен скандал, иска се оставката на кмета, който е избран в началото на същата година. Случаят е предаден на прокуратурата, която е излязла със заключението, че покрай сключения в нарушение на ЗОП договор, двама високо отговорни служители на общината са били лично облагодетелствани от договора чрез получаване на нерегламентирани комисионни. Финансовият контрольор е одобрил сключването на договора, тъй като според него казусът по договора не е достатъчно добре обвързан с изброените в ЗОП категории и процедури и като такъв подлежи на тълкуване. Отделно от това директорът на </w:t>
      </w:r>
      <w:r w:rsidR="00CD56EC">
        <w:rPr>
          <w:b w:val="0"/>
          <w:bCs w:val="0"/>
        </w:rPr>
        <w:lastRenderedPageBreak/>
        <w:t xml:space="preserve">дирекция “Информационни технологии и комуникация” е споделил, че на този етап общината няма техническия ресурс за поддръжката на този софтуер, но неговото мнение не е било взето предвид. </w:t>
      </w:r>
    </w:p>
    <w:p w:rsidR="0026697F" w:rsidRDefault="0026697F" w:rsidP="00CD56EC">
      <w:pPr>
        <w:pStyle w:val="Title"/>
        <w:spacing w:line="276" w:lineRule="auto"/>
        <w:ind w:firstLine="720"/>
        <w:jc w:val="both"/>
        <w:rPr>
          <w:b w:val="0"/>
          <w:bCs w:val="0"/>
        </w:rPr>
      </w:pPr>
    </w:p>
    <w:p w:rsidR="0026697F" w:rsidRDefault="0026697F" w:rsidP="00CD56EC">
      <w:pPr>
        <w:pStyle w:val="Title"/>
        <w:spacing w:line="276" w:lineRule="auto"/>
        <w:ind w:firstLine="720"/>
        <w:jc w:val="both"/>
        <w:rPr>
          <w:b w:val="0"/>
          <w:bCs w:val="0"/>
        </w:rPr>
      </w:pPr>
      <w:r>
        <w:rPr>
          <w:b w:val="0"/>
          <w:bCs w:val="0"/>
        </w:rPr>
        <w:t>На следващите няколко страници са представени примерни рискови категории, на базата на които следва да изготвим примерен риск-регистър за цели, рискове и контроли в общината:</w:t>
      </w:r>
    </w:p>
    <w:p w:rsidR="008A7C74" w:rsidRDefault="008A7C74" w:rsidP="00CD56EC">
      <w:pPr>
        <w:pStyle w:val="Title"/>
        <w:spacing w:line="276" w:lineRule="auto"/>
        <w:ind w:firstLine="720"/>
        <w:jc w:val="both"/>
      </w:pPr>
      <w:r>
        <w:rPr>
          <w:shd w:val="clear" w:color="auto" w:fill="FFFFFF"/>
        </w:rPr>
        <w:br w:type="column"/>
      </w:r>
    </w:p>
    <w:p w:rsidR="008A7C74" w:rsidRPr="008A7C74" w:rsidRDefault="008A7C74" w:rsidP="002B32D8">
      <w:pPr>
        <w:pStyle w:val="Title"/>
        <w:shd w:val="clear" w:color="auto" w:fill="EEECE1" w:themeFill="background2"/>
        <w:spacing w:before="120" w:after="120"/>
      </w:pPr>
      <w:r w:rsidRPr="008A7C74">
        <w:t>ПРИМЕРНИ РИСКОВИ КАТЕГОРИИ И ФАКТОРИ НА ВЛИЯНИЕ</w:t>
      </w:r>
    </w:p>
    <w:p w:rsidR="008A7C74" w:rsidRPr="008A7C74" w:rsidRDefault="008A7C74" w:rsidP="002B32D8">
      <w:pPr>
        <w:pStyle w:val="Title"/>
        <w:shd w:val="clear" w:color="auto" w:fill="EEECE1" w:themeFill="background2"/>
        <w:spacing w:before="120" w:after="120"/>
      </w:pPr>
      <w:r w:rsidRPr="008A7C74">
        <w:t>В ОБЩИНА КАНТАРДЖИЕВО</w:t>
      </w:r>
    </w:p>
    <w:p w:rsidR="008A7C74" w:rsidRPr="008A7C74" w:rsidRDefault="008A7C74" w:rsidP="008A7C74">
      <w:pPr>
        <w:pStyle w:val="Title"/>
        <w:spacing w:before="120" w:after="120"/>
        <w:jc w:val="both"/>
        <w:rPr>
          <w:b w:val="0"/>
          <w:bCs w:val="0"/>
        </w:rPr>
      </w:pPr>
    </w:p>
    <w:p w:rsidR="008A7C74" w:rsidRPr="008A7C74" w:rsidRDefault="008A7C74" w:rsidP="008A7C74">
      <w:pPr>
        <w:pStyle w:val="Title"/>
        <w:spacing w:before="120" w:after="120"/>
        <w:jc w:val="both"/>
        <w:rPr>
          <w:b w:val="0"/>
          <w:bCs w:val="0"/>
        </w:rPr>
      </w:pPr>
    </w:p>
    <w:tbl>
      <w:tblPr>
        <w:tblW w:w="9900" w:type="dxa"/>
        <w:tblInd w:w="-2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600"/>
        <w:gridCol w:w="4140"/>
      </w:tblGrid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</w:pPr>
            <w:r>
              <w:t xml:space="preserve">ПРИМЕРНА </w:t>
            </w:r>
            <w:r w:rsidRPr="008A7C74">
              <w:t>РИСКОВА КАТЕГОРИЯ</w:t>
            </w: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</w:pPr>
            <w:r>
              <w:t xml:space="preserve">ПРИМЕРНИ </w:t>
            </w:r>
            <w:r w:rsidRPr="008A7C74">
              <w:t>РИСКОВИ ФАКТОРИ НА ВЛИЯНИЕ</w:t>
            </w:r>
          </w:p>
          <w:p w:rsidR="008A7C74" w:rsidRPr="008A7C74" w:rsidRDefault="008A7C74" w:rsidP="008A7C74">
            <w:pPr>
              <w:pStyle w:val="Title"/>
              <w:spacing w:line="276" w:lineRule="auto"/>
            </w:pPr>
            <w:r w:rsidRPr="008A7C74">
              <w:t>/факторите на влияние повишават влиянието и/или вероятността на рисковете в организацията. Те са предпоставки за неизпълнение на организационните цели/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</w:pPr>
            <w:r>
              <w:t xml:space="preserve">ПРИМЕРНИ </w:t>
            </w:r>
            <w:r w:rsidRPr="008A7C74">
              <w:t>РИСКОВИ ИНДИКАТОРИ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Философия и стил на управление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Цели, контроли и рискове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Неясни или неизпълними организационни цели. Слаби контролни механизми и/или неидентифицирани рискове в процесите на организацията.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Управленски стаж и опит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Липса на управленски опит и/или подходящо образование на ръководството.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Вътрешни правила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Неясни, противоречащи си, неактуални или объркващи.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Управленски методи и контрол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Мотивация на ръководството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Слаба или липса на такава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Вертикална и хоризонтална комуникация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Слаба или липса на комуникация между отделните организационни звена. Прекъсване на пирамидалната верига в структурата.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Вътрешни и външни проверки на качеството и др.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Негативни оценки при последните проверки на контролните органи. Неизпълнение на дадените препоръки.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Човешки ресурси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Квалификация на персонала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Състав с неадекватна спрямо целите на организацията квалификация.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Стратегия при подбора на нови служители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Не</w:t>
            </w:r>
            <w:r>
              <w:rPr>
                <w:b w:val="0"/>
                <w:bCs w:val="0"/>
              </w:rPr>
              <w:t>мотивирани назначения, с предиз</w:t>
            </w:r>
            <w:r w:rsidRPr="008A7C74">
              <w:rPr>
                <w:b w:val="0"/>
                <w:bCs w:val="0"/>
              </w:rPr>
              <w:t>вестени и несъществени тестове – обикновено протичащи със заучаване на един и</w:t>
            </w:r>
            <w:r>
              <w:rPr>
                <w:b w:val="0"/>
                <w:bCs w:val="0"/>
              </w:rPr>
              <w:t>ли няколко нормативни акта. Лип</w:t>
            </w:r>
            <w:r w:rsidRPr="008A7C74">
              <w:rPr>
                <w:b w:val="0"/>
                <w:bCs w:val="0"/>
              </w:rPr>
              <w:t>са на обективни критерии за качествена оценка на новоназначените служители.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Мотивация и интегритет на персонала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Не</w:t>
            </w:r>
            <w:r>
              <w:rPr>
                <w:b w:val="0"/>
                <w:bCs w:val="0"/>
              </w:rPr>
              <w:t>мотивиран персонал поради субек</w:t>
            </w:r>
            <w:r w:rsidRPr="008A7C74">
              <w:rPr>
                <w:b w:val="0"/>
                <w:bCs w:val="0"/>
              </w:rPr>
              <w:t>тивни /междуличностни/ или обективни /заплата, условия на труд и др./ причини.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Компютърна грамотност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Слаба компютърна грамотност несъвместима, с изискванията на организационните цели.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Текущо професионално</w:t>
            </w:r>
            <w:r w:rsidR="008B18BC">
              <w:rPr>
                <w:b w:val="0"/>
                <w:bCs w:val="0"/>
              </w:rPr>
              <w:t xml:space="preserve"> </w:t>
            </w:r>
            <w:r w:rsidRPr="008A7C74">
              <w:rPr>
                <w:b w:val="0"/>
                <w:bCs w:val="0"/>
              </w:rPr>
              <w:t>обучение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Слаба или липса на допълнителна подготовка /семинари, квалификационни съвещания и др./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Външни фактори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Обществена значимост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Действия от значим мащаб и др.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Законодателство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Нормативни актове, ограничаващи или възпрепятстващи постигането на целите на организацията.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Аварии, метеорологични условия или здравни фактори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Затруднена метеорологична обстановка, природни бедствия или епидемии.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lastRenderedPageBreak/>
              <w:t>Финансов фактор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Размер на бюджетната субсидия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Висок бюджет /прагът се определя субективно/.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Размер на собствените приходи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Висок размер /прагът се определя субективно/.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Размер на капиталовите разходи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Висок процент на капиталовите разходи.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Проведени процедури по ЗОП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Повече от пет процедури за година.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Дълготрайни материални активи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Висок размер на ДМА.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Трудова и служ. дисциплина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Криминогенни действия на персонала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Измами, кражби, изнасяне на информация от организацията, саботиране на дейността и др.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Застрашаващи здравето на</w:t>
            </w:r>
            <w:r w:rsidR="008B18BC">
              <w:rPr>
                <w:b w:val="0"/>
                <w:bCs w:val="0"/>
              </w:rPr>
              <w:t xml:space="preserve"> </w:t>
            </w:r>
            <w:r w:rsidRPr="008A7C74">
              <w:rPr>
                <w:b w:val="0"/>
                <w:bCs w:val="0"/>
              </w:rPr>
              <w:t>персонала навици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 xml:space="preserve">Системна употреба на алкохол, тютюнопушене и др. 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Уплътнение на работния процес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Системно неспазване на работното време и др.</w:t>
            </w:r>
          </w:p>
        </w:tc>
      </w:tr>
      <w:tr w:rsidR="008A7C74" w:rsidRPr="008A7C74" w:rsidTr="008B18BC">
        <w:tc>
          <w:tcPr>
            <w:tcW w:w="216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  <w:r w:rsidRPr="008A7C74">
              <w:t>Компютърни системи и надеждност на информацията</w:t>
            </w:r>
          </w:p>
        </w:tc>
        <w:tc>
          <w:tcPr>
            <w:tcW w:w="360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  <w:tc>
          <w:tcPr>
            <w:tcW w:w="4140" w:type="dxa"/>
            <w:shd w:val="clear" w:color="auto" w:fill="EEECE1" w:themeFill="background2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</w:pP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Липса на пароли на персоналните компютри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Изтичане на информация, загуба на данни, блокиране на ИТ системата</w:t>
            </w:r>
          </w:p>
        </w:tc>
      </w:tr>
      <w:tr w:rsidR="008A7C74" w:rsidRPr="008A7C74" w:rsidTr="008B18BC">
        <w:tc>
          <w:tcPr>
            <w:tcW w:w="2160" w:type="dxa"/>
          </w:tcPr>
          <w:p w:rsidR="008A7C74" w:rsidRPr="008A7C74" w:rsidRDefault="008A7C74" w:rsidP="008A7C74">
            <w:pPr>
              <w:pStyle w:val="Title"/>
              <w:spacing w:line="276" w:lineRule="auto"/>
              <w:rPr>
                <w:b w:val="0"/>
                <w:bCs w:val="0"/>
              </w:rPr>
            </w:pPr>
          </w:p>
        </w:tc>
        <w:tc>
          <w:tcPr>
            <w:tcW w:w="360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Системно нарушаване на правилата за интернет-трафика и служебната поща</w:t>
            </w:r>
          </w:p>
        </w:tc>
        <w:tc>
          <w:tcPr>
            <w:tcW w:w="4140" w:type="dxa"/>
          </w:tcPr>
          <w:p w:rsidR="008A7C74" w:rsidRPr="008A7C74" w:rsidRDefault="008A7C74" w:rsidP="008A7C74">
            <w:pPr>
              <w:pStyle w:val="Title"/>
              <w:spacing w:line="276" w:lineRule="auto"/>
              <w:jc w:val="left"/>
              <w:rPr>
                <w:b w:val="0"/>
                <w:bCs w:val="0"/>
              </w:rPr>
            </w:pPr>
            <w:r w:rsidRPr="008A7C74">
              <w:rPr>
                <w:b w:val="0"/>
                <w:bCs w:val="0"/>
              </w:rPr>
              <w:t>Изтичане на информация, загуба на данни, блокиране на ИТ системата, не уплътняване на работното време</w:t>
            </w:r>
          </w:p>
        </w:tc>
      </w:tr>
    </w:tbl>
    <w:p w:rsidR="00D91142" w:rsidRPr="00C86BA5" w:rsidRDefault="00D91142" w:rsidP="008A7C74">
      <w:pPr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D91142" w:rsidRPr="00C86BA5" w:rsidSect="00102C58">
      <w:headerReference w:type="default" r:id="rId8"/>
      <w:footerReference w:type="default" r:id="rId9"/>
      <w:pgSz w:w="11906" w:h="16838"/>
      <w:pgMar w:top="2127" w:right="1133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EEF" w:rsidRDefault="00745EEF" w:rsidP="00F45B7A">
      <w:pPr>
        <w:spacing w:before="0" w:after="0" w:line="240" w:lineRule="auto"/>
      </w:pPr>
      <w:r>
        <w:separator/>
      </w:r>
    </w:p>
  </w:endnote>
  <w:endnote w:type="continuationSeparator" w:id="0">
    <w:p w:rsidR="00745EEF" w:rsidRDefault="00745EEF" w:rsidP="00F45B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213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841" w:rsidRDefault="00BD7841" w:rsidP="009503EB">
        <w:pPr>
          <w:pStyle w:val="Footer"/>
          <w:pBdr>
            <w:top w:val="double" w:sz="4" w:space="1" w:color="auto"/>
          </w:pBdr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841" w:rsidRPr="0062581A" w:rsidRDefault="00BD7841" w:rsidP="009503EB">
    <w:pPr>
      <w:spacing w:before="0" w:after="0" w:line="240" w:lineRule="auto"/>
      <w:ind w:right="-144"/>
      <w:jc w:val="both"/>
      <w:rPr>
        <w:iCs/>
        <w:sz w:val="18"/>
        <w:szCs w:val="18"/>
      </w:rPr>
    </w:pPr>
    <w:r w:rsidRPr="000E7382">
      <w:rPr>
        <w:i/>
        <w:iCs/>
        <w:sz w:val="18"/>
        <w:szCs w:val="18"/>
        <w:lang w:val="en-US"/>
      </w:rPr>
      <w:t xml:space="preserve"> </w:t>
    </w:r>
    <w:r w:rsidRPr="0062581A">
      <w:rPr>
        <w:i/>
        <w:iCs/>
        <w:sz w:val="18"/>
        <w:szCs w:val="18"/>
        <w:lang w:val="en-US"/>
      </w:rPr>
      <w:t xml:space="preserve">Този документ е създаден съгласно Административен договор № </w:t>
    </w:r>
    <w:r w:rsidRPr="0062581A">
      <w:rPr>
        <w:i/>
        <w:iCs/>
        <w:sz w:val="18"/>
        <w:szCs w:val="18"/>
        <w:lang w:val="ru-RU"/>
      </w:rPr>
      <w:t>BG05SFOP001-2.015-0001-C01</w:t>
    </w:r>
    <w:r w:rsidRPr="0062581A">
      <w:rPr>
        <w:i/>
        <w:iCs/>
        <w:sz w:val="18"/>
        <w:szCs w:val="18"/>
        <w:lang w:val="en-US"/>
      </w:rPr>
      <w:t>, п</w:t>
    </w:r>
    <w:r w:rsidRPr="0062581A">
      <w:rPr>
        <w:i/>
        <w:iCs/>
        <w:sz w:val="18"/>
        <w:szCs w:val="18"/>
        <w:lang w:val="ru-RU"/>
      </w:rPr>
      <w:t>роект „Повишаване на знанията, уменията и квалификацията на общинските служители</w:t>
    </w:r>
    <w:r w:rsidRPr="0062581A">
      <w:rPr>
        <w:i/>
        <w:iCs/>
        <w:sz w:val="18"/>
        <w:szCs w:val="18"/>
        <w:lang w:val="en-US"/>
      </w:rPr>
      <w:t>,</w:t>
    </w:r>
    <w:r w:rsidRPr="0062581A">
      <w:rPr>
        <w:i/>
        <w:iCs/>
        <w:sz w:val="18"/>
        <w:szCs w:val="18"/>
        <w:lang w:val="ru-RU"/>
      </w:rPr>
      <w:t xml:space="preserve"> </w:t>
    </w:r>
    <w:r w:rsidRPr="0062581A">
      <w:rPr>
        <w:i/>
        <w:iCs/>
        <w:sz w:val="18"/>
        <w:szCs w:val="18"/>
        <w:lang w:val="en-US"/>
      </w:rPr>
      <w:t>за предоставяне на безвъзмездна финансова помощ по</w:t>
    </w:r>
    <w:r w:rsidRPr="0062581A">
      <w:rPr>
        <w:i/>
        <w:iCs/>
        <w:sz w:val="18"/>
        <w:szCs w:val="18"/>
        <w:lang w:val="ru-RU"/>
      </w:rPr>
      <w:t xml:space="preserve"> Оперативна програма „Добро управление “, съфинансирана от Европейския съюз чрез Европейския социален фонд. </w:t>
    </w:r>
  </w:p>
  <w:p w:rsidR="00BD7841" w:rsidRPr="0062581A" w:rsidRDefault="00745EEF" w:rsidP="009503EB">
    <w:pPr>
      <w:spacing w:before="0" w:after="0" w:line="240" w:lineRule="auto"/>
      <w:ind w:right="-144"/>
      <w:jc w:val="center"/>
      <w:rPr>
        <w:iCs/>
        <w:sz w:val="18"/>
        <w:szCs w:val="18"/>
      </w:rPr>
    </w:pPr>
    <w:hyperlink r:id="rId1" w:history="1">
      <w:r w:rsidR="00BD7841" w:rsidRPr="0062581A">
        <w:rPr>
          <w:rStyle w:val="Hyperlink"/>
          <w:i/>
          <w:iCs/>
          <w:sz w:val="18"/>
          <w:szCs w:val="18"/>
          <w:lang w:val="en-US"/>
        </w:rPr>
        <w:t>www.eufunds.bg</w:t>
      </w:r>
    </w:hyperlink>
  </w:p>
  <w:p w:rsidR="00BD7841" w:rsidRPr="009503EB" w:rsidRDefault="00BD7841" w:rsidP="0095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EEF" w:rsidRDefault="00745EEF" w:rsidP="00F45B7A">
      <w:pPr>
        <w:spacing w:before="0" w:after="0" w:line="240" w:lineRule="auto"/>
      </w:pPr>
      <w:r>
        <w:separator/>
      </w:r>
    </w:p>
  </w:footnote>
  <w:footnote w:type="continuationSeparator" w:id="0">
    <w:p w:rsidR="00745EEF" w:rsidRDefault="00745EEF" w:rsidP="00F45B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841" w:rsidRDefault="00BD7841" w:rsidP="00327EA7">
    <w:pPr>
      <w:pStyle w:val="Header"/>
      <w:tabs>
        <w:tab w:val="clear" w:pos="9072"/>
      </w:tabs>
      <w:ind w:left="-284"/>
      <w:rPr>
        <w:noProof/>
      </w:rPr>
    </w:pPr>
    <w:r>
      <w:rPr>
        <w:noProof/>
        <w:lang w:val="en-GB" w:eastAsia="en-GB"/>
      </w:rPr>
      <w:drawing>
        <wp:inline distT="0" distB="0" distL="0" distR="0" wp14:anchorId="36D8D76A" wp14:editId="37CCBE9F">
          <wp:extent cx="1440036" cy="6677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735" cy="695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18BC">
      <w:rPr>
        <w:noProof/>
        <w:lang w:val="en-US"/>
      </w:rPr>
      <w:t xml:space="preserve">         </w:t>
    </w:r>
    <w:r>
      <w:rPr>
        <w:noProof/>
        <w:lang w:val="en-US"/>
      </w:rPr>
      <w:t xml:space="preserve"> </w:t>
    </w:r>
    <w:r>
      <w:rPr>
        <w:noProof/>
        <w:lang w:val="en-GB" w:eastAsia="en-GB"/>
      </w:rPr>
      <w:drawing>
        <wp:inline distT="0" distB="0" distL="0" distR="0" wp14:anchorId="6B212D79">
          <wp:extent cx="989739" cy="62972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B18BC">
      <w:rPr>
        <w:noProof/>
        <w:lang w:val="en-US"/>
      </w:rPr>
      <w:t xml:space="preserve">  </w:t>
    </w:r>
    <w:r w:rsidR="008B18BC">
      <w:rPr>
        <w:noProof/>
      </w:rPr>
      <w:t xml:space="preserve">   </w:t>
    </w:r>
    <w:r w:rsidR="008B18BC">
      <w:rPr>
        <w:noProof/>
        <w:lang w:val="en-US"/>
      </w:rPr>
      <w:t xml:space="preserve">  </w:t>
    </w:r>
    <w:r w:rsidR="008B18BC">
      <w:rPr>
        <w:noProof/>
      </w:rPr>
      <w:t xml:space="preserve">  </w:t>
    </w:r>
    <w:r w:rsidR="008B18BC">
      <w:rPr>
        <w:noProof/>
        <w:lang w:val="en-US"/>
      </w:rPr>
      <w:t xml:space="preserve"> </w:t>
    </w:r>
    <w:r w:rsidR="008B18BC"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 wp14:anchorId="572208D3">
          <wp:extent cx="1277897" cy="625000"/>
          <wp:effectExtent l="0" t="0" r="0" b="381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D7841" w:rsidRDefault="00BD7841" w:rsidP="00327EA7">
    <w:pPr>
      <w:pStyle w:val="Header"/>
      <w:tabs>
        <w:tab w:val="clear" w:pos="9072"/>
      </w:tabs>
      <w:ind w:left="-284"/>
      <w:rPr>
        <w:noProof/>
      </w:rPr>
    </w:pPr>
  </w:p>
  <w:p w:rsidR="00BD7841" w:rsidRDefault="00BD7841" w:rsidP="00327EA7">
    <w:pPr>
      <w:pStyle w:val="Header"/>
      <w:tabs>
        <w:tab w:val="clear" w:pos="9072"/>
      </w:tabs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2C"/>
    <w:multiLevelType w:val="hybridMultilevel"/>
    <w:tmpl w:val="58CE34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B12"/>
    <w:multiLevelType w:val="hybridMultilevel"/>
    <w:tmpl w:val="CF686470"/>
    <w:lvl w:ilvl="0" w:tplc="A37A1916">
      <w:start w:val="5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1C1"/>
    <w:multiLevelType w:val="hybridMultilevel"/>
    <w:tmpl w:val="58589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A58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6DC6"/>
    <w:multiLevelType w:val="hybridMultilevel"/>
    <w:tmpl w:val="242AB5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71021"/>
    <w:multiLevelType w:val="hybridMultilevel"/>
    <w:tmpl w:val="E03C0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62FF"/>
    <w:multiLevelType w:val="hybridMultilevel"/>
    <w:tmpl w:val="A2726B46"/>
    <w:lvl w:ilvl="0" w:tplc="C2B647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073EC"/>
    <w:multiLevelType w:val="hybridMultilevel"/>
    <w:tmpl w:val="CD68A18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1A63527"/>
    <w:multiLevelType w:val="hybridMultilevel"/>
    <w:tmpl w:val="E4B0C6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E09C8"/>
    <w:multiLevelType w:val="hybridMultilevel"/>
    <w:tmpl w:val="67DA9A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81DA9"/>
    <w:multiLevelType w:val="hybridMultilevel"/>
    <w:tmpl w:val="D29423D6"/>
    <w:lvl w:ilvl="0" w:tplc="9F46D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A412E6"/>
    <w:multiLevelType w:val="multilevel"/>
    <w:tmpl w:val="34563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5B7270"/>
    <w:multiLevelType w:val="hybridMultilevel"/>
    <w:tmpl w:val="29306708"/>
    <w:lvl w:ilvl="0" w:tplc="324279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E7CDA"/>
    <w:multiLevelType w:val="hybridMultilevel"/>
    <w:tmpl w:val="1DA24C6E"/>
    <w:lvl w:ilvl="0" w:tplc="A9F6BFB6">
      <w:numFmt w:val="bullet"/>
      <w:lvlText w:val="•"/>
      <w:lvlJc w:val="left"/>
      <w:pPr>
        <w:ind w:left="1440" w:hanging="360"/>
      </w:pPr>
      <w:rPr>
        <w:rFonts w:ascii="Arial" w:eastAsia="TimesNewRomanPSMT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240F4"/>
    <w:multiLevelType w:val="hybridMultilevel"/>
    <w:tmpl w:val="22044DB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771D2"/>
    <w:multiLevelType w:val="hybridMultilevel"/>
    <w:tmpl w:val="545C9E38"/>
    <w:lvl w:ilvl="0" w:tplc="987076D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0392652"/>
    <w:multiLevelType w:val="hybridMultilevel"/>
    <w:tmpl w:val="C13C90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205BB"/>
    <w:multiLevelType w:val="hybridMultilevel"/>
    <w:tmpl w:val="9C7E0798"/>
    <w:lvl w:ilvl="0" w:tplc="F202C0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0D93278"/>
    <w:multiLevelType w:val="hybridMultilevel"/>
    <w:tmpl w:val="F36ADD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6BFB6">
      <w:numFmt w:val="bullet"/>
      <w:lvlText w:val="•"/>
      <w:lvlJc w:val="left"/>
      <w:pPr>
        <w:ind w:left="1440" w:hanging="360"/>
      </w:pPr>
      <w:rPr>
        <w:rFonts w:ascii="Arial" w:eastAsia="TimesNewRomanPSMT" w:hAnsi="Arial" w:cs="Aria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311"/>
    <w:multiLevelType w:val="hybridMultilevel"/>
    <w:tmpl w:val="8F229448"/>
    <w:lvl w:ilvl="0" w:tplc="E5488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F43112"/>
    <w:multiLevelType w:val="hybridMultilevel"/>
    <w:tmpl w:val="97E25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41CDE"/>
    <w:multiLevelType w:val="hybridMultilevel"/>
    <w:tmpl w:val="666E15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9191C"/>
    <w:multiLevelType w:val="hybridMultilevel"/>
    <w:tmpl w:val="060AF8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74195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D329C"/>
    <w:multiLevelType w:val="hybridMultilevel"/>
    <w:tmpl w:val="7C007D2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90675A"/>
    <w:multiLevelType w:val="hybridMultilevel"/>
    <w:tmpl w:val="894EE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E65A8"/>
    <w:multiLevelType w:val="hybridMultilevel"/>
    <w:tmpl w:val="6F045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56D88"/>
    <w:multiLevelType w:val="multilevel"/>
    <w:tmpl w:val="6E923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5B4459A"/>
    <w:multiLevelType w:val="hybridMultilevel"/>
    <w:tmpl w:val="D0109A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56907"/>
    <w:multiLevelType w:val="hybridMultilevel"/>
    <w:tmpl w:val="05A86B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C0F24"/>
    <w:multiLevelType w:val="hybridMultilevel"/>
    <w:tmpl w:val="0972ABE0"/>
    <w:lvl w:ilvl="0" w:tplc="C7F6D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E5466"/>
    <w:multiLevelType w:val="hybridMultilevel"/>
    <w:tmpl w:val="748697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45B"/>
    <w:multiLevelType w:val="hybridMultilevel"/>
    <w:tmpl w:val="6B16AA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C649F"/>
    <w:multiLevelType w:val="hybridMultilevel"/>
    <w:tmpl w:val="F4D2E5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1508D"/>
    <w:multiLevelType w:val="hybridMultilevel"/>
    <w:tmpl w:val="D8DE77EA"/>
    <w:lvl w:ilvl="0" w:tplc="38A2F8E2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26043B"/>
    <w:multiLevelType w:val="hybridMultilevel"/>
    <w:tmpl w:val="1A36CF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47564"/>
    <w:multiLevelType w:val="hybridMultilevel"/>
    <w:tmpl w:val="83B41A54"/>
    <w:lvl w:ilvl="0" w:tplc="DDA0F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D67E8"/>
    <w:multiLevelType w:val="hybridMultilevel"/>
    <w:tmpl w:val="DB4234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1561C"/>
    <w:multiLevelType w:val="hybridMultilevel"/>
    <w:tmpl w:val="5968780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E7166A"/>
    <w:multiLevelType w:val="hybridMultilevel"/>
    <w:tmpl w:val="F83E2818"/>
    <w:lvl w:ilvl="0" w:tplc="5A26D3CE">
      <w:start w:val="1"/>
      <w:numFmt w:val="decimal"/>
      <w:lvlText w:val="%1."/>
      <w:lvlJc w:val="left"/>
      <w:pPr>
        <w:ind w:left="1259" w:hanging="360"/>
      </w:pPr>
      <w:rPr>
        <w:rFonts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 w15:restartNumberingAfterBreak="0">
    <w:nsid w:val="63F50C02"/>
    <w:multiLevelType w:val="hybridMultilevel"/>
    <w:tmpl w:val="9E4E7E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219DF"/>
    <w:multiLevelType w:val="hybridMultilevel"/>
    <w:tmpl w:val="84E27A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386FFC"/>
    <w:multiLevelType w:val="hybridMultilevel"/>
    <w:tmpl w:val="B4406F9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5537F17"/>
    <w:multiLevelType w:val="hybridMultilevel"/>
    <w:tmpl w:val="37E6D79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85603DA"/>
    <w:multiLevelType w:val="hybridMultilevel"/>
    <w:tmpl w:val="A1746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3C3222"/>
    <w:multiLevelType w:val="multilevel"/>
    <w:tmpl w:val="F68CE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198341E"/>
    <w:multiLevelType w:val="hybridMultilevel"/>
    <w:tmpl w:val="61127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C0622"/>
    <w:multiLevelType w:val="hybridMultilevel"/>
    <w:tmpl w:val="D04A3DF6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D15999"/>
    <w:multiLevelType w:val="hybridMultilevel"/>
    <w:tmpl w:val="23D29C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1"/>
  </w:num>
  <w:num w:numId="4">
    <w:abstractNumId w:val="13"/>
  </w:num>
  <w:num w:numId="5">
    <w:abstractNumId w:val="6"/>
  </w:num>
  <w:num w:numId="6">
    <w:abstractNumId w:val="34"/>
  </w:num>
  <w:num w:numId="7">
    <w:abstractNumId w:val="21"/>
  </w:num>
  <w:num w:numId="8">
    <w:abstractNumId w:val="23"/>
  </w:num>
  <w:num w:numId="9">
    <w:abstractNumId w:val="15"/>
  </w:num>
  <w:num w:numId="10">
    <w:abstractNumId w:val="7"/>
  </w:num>
  <w:num w:numId="11">
    <w:abstractNumId w:val="42"/>
  </w:num>
  <w:num w:numId="12">
    <w:abstractNumId w:val="3"/>
  </w:num>
  <w:num w:numId="13">
    <w:abstractNumId w:val="38"/>
  </w:num>
  <w:num w:numId="14">
    <w:abstractNumId w:val="33"/>
  </w:num>
  <w:num w:numId="15">
    <w:abstractNumId w:val="22"/>
  </w:num>
  <w:num w:numId="16">
    <w:abstractNumId w:val="30"/>
  </w:num>
  <w:num w:numId="17">
    <w:abstractNumId w:val="8"/>
  </w:num>
  <w:num w:numId="18">
    <w:abstractNumId w:val="28"/>
  </w:num>
  <w:num w:numId="19">
    <w:abstractNumId w:val="11"/>
  </w:num>
  <w:num w:numId="20">
    <w:abstractNumId w:val="5"/>
  </w:num>
  <w:num w:numId="21">
    <w:abstractNumId w:val="14"/>
  </w:num>
  <w:num w:numId="22">
    <w:abstractNumId w:val="14"/>
  </w:num>
  <w:num w:numId="23">
    <w:abstractNumId w:val="18"/>
  </w:num>
  <w:num w:numId="24">
    <w:abstractNumId w:val="9"/>
  </w:num>
  <w:num w:numId="25">
    <w:abstractNumId w:val="35"/>
  </w:num>
  <w:num w:numId="26">
    <w:abstractNumId w:val="43"/>
  </w:num>
  <w:num w:numId="27">
    <w:abstractNumId w:val="37"/>
  </w:num>
  <w:num w:numId="28">
    <w:abstractNumId w:val="32"/>
  </w:num>
  <w:num w:numId="29">
    <w:abstractNumId w:val="36"/>
  </w:num>
  <w:num w:numId="30">
    <w:abstractNumId w:val="10"/>
  </w:num>
  <w:num w:numId="31">
    <w:abstractNumId w:val="25"/>
  </w:num>
  <w:num w:numId="32">
    <w:abstractNumId w:val="17"/>
  </w:num>
  <w:num w:numId="33">
    <w:abstractNumId w:val="2"/>
  </w:num>
  <w:num w:numId="34">
    <w:abstractNumId w:val="45"/>
  </w:num>
  <w:num w:numId="35">
    <w:abstractNumId w:val="39"/>
  </w:num>
  <w:num w:numId="36">
    <w:abstractNumId w:val="26"/>
  </w:num>
  <w:num w:numId="37">
    <w:abstractNumId w:val="46"/>
  </w:num>
  <w:num w:numId="38">
    <w:abstractNumId w:val="16"/>
  </w:num>
  <w:num w:numId="39">
    <w:abstractNumId w:val="44"/>
  </w:num>
  <w:num w:numId="40">
    <w:abstractNumId w:val="1"/>
  </w:num>
  <w:num w:numId="41">
    <w:abstractNumId w:val="41"/>
  </w:num>
  <w:num w:numId="42">
    <w:abstractNumId w:val="24"/>
  </w:num>
  <w:num w:numId="43">
    <w:abstractNumId w:val="19"/>
  </w:num>
  <w:num w:numId="44">
    <w:abstractNumId w:val="4"/>
  </w:num>
  <w:num w:numId="45">
    <w:abstractNumId w:val="12"/>
  </w:num>
  <w:num w:numId="46">
    <w:abstractNumId w:val="27"/>
  </w:num>
  <w:num w:numId="47">
    <w:abstractNumId w:val="40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CF"/>
    <w:rsid w:val="00010EF9"/>
    <w:rsid w:val="00017A9F"/>
    <w:rsid w:val="00034190"/>
    <w:rsid w:val="00042A87"/>
    <w:rsid w:val="00045A16"/>
    <w:rsid w:val="00051203"/>
    <w:rsid w:val="00064388"/>
    <w:rsid w:val="0007789E"/>
    <w:rsid w:val="000805A2"/>
    <w:rsid w:val="00080BE8"/>
    <w:rsid w:val="00081CCB"/>
    <w:rsid w:val="00082894"/>
    <w:rsid w:val="00083EFF"/>
    <w:rsid w:val="000931DD"/>
    <w:rsid w:val="000A60A6"/>
    <w:rsid w:val="000B1596"/>
    <w:rsid w:val="000E163F"/>
    <w:rsid w:val="000F1F8A"/>
    <w:rsid w:val="00100655"/>
    <w:rsid w:val="001023F3"/>
    <w:rsid w:val="00102752"/>
    <w:rsid w:val="00102C58"/>
    <w:rsid w:val="0010420F"/>
    <w:rsid w:val="0010762C"/>
    <w:rsid w:val="0012182B"/>
    <w:rsid w:val="00124D76"/>
    <w:rsid w:val="00130299"/>
    <w:rsid w:val="00132DF0"/>
    <w:rsid w:val="00141EC2"/>
    <w:rsid w:val="00157FA4"/>
    <w:rsid w:val="001723E3"/>
    <w:rsid w:val="001875C0"/>
    <w:rsid w:val="001A1CA5"/>
    <w:rsid w:val="001B4644"/>
    <w:rsid w:val="001D30D0"/>
    <w:rsid w:val="001E1F47"/>
    <w:rsid w:val="00210944"/>
    <w:rsid w:val="00214C8C"/>
    <w:rsid w:val="002150AF"/>
    <w:rsid w:val="00221C72"/>
    <w:rsid w:val="00226051"/>
    <w:rsid w:val="00240E73"/>
    <w:rsid w:val="002421DC"/>
    <w:rsid w:val="002458A3"/>
    <w:rsid w:val="0025448E"/>
    <w:rsid w:val="0026697F"/>
    <w:rsid w:val="00296982"/>
    <w:rsid w:val="00296CEC"/>
    <w:rsid w:val="002976EA"/>
    <w:rsid w:val="002B32D8"/>
    <w:rsid w:val="002D00EB"/>
    <w:rsid w:val="002E4005"/>
    <w:rsid w:val="002F3BD6"/>
    <w:rsid w:val="002F537C"/>
    <w:rsid w:val="00317079"/>
    <w:rsid w:val="00322AEC"/>
    <w:rsid w:val="00327EA7"/>
    <w:rsid w:val="00343333"/>
    <w:rsid w:val="00353FC9"/>
    <w:rsid w:val="00363D6E"/>
    <w:rsid w:val="00375F30"/>
    <w:rsid w:val="003776EA"/>
    <w:rsid w:val="00382532"/>
    <w:rsid w:val="00387729"/>
    <w:rsid w:val="0039239B"/>
    <w:rsid w:val="003A73F8"/>
    <w:rsid w:val="003B51B9"/>
    <w:rsid w:val="003C37E2"/>
    <w:rsid w:val="003D76D2"/>
    <w:rsid w:val="003F177A"/>
    <w:rsid w:val="0042408A"/>
    <w:rsid w:val="00462FD3"/>
    <w:rsid w:val="0047741F"/>
    <w:rsid w:val="00480D44"/>
    <w:rsid w:val="00483B72"/>
    <w:rsid w:val="004D0E2D"/>
    <w:rsid w:val="00500D40"/>
    <w:rsid w:val="005209C0"/>
    <w:rsid w:val="00521860"/>
    <w:rsid w:val="005317E8"/>
    <w:rsid w:val="00567B9E"/>
    <w:rsid w:val="00577130"/>
    <w:rsid w:val="005D3E2F"/>
    <w:rsid w:val="005D78E9"/>
    <w:rsid w:val="0060742A"/>
    <w:rsid w:val="006217AC"/>
    <w:rsid w:val="0062581A"/>
    <w:rsid w:val="00643E67"/>
    <w:rsid w:val="00663604"/>
    <w:rsid w:val="00667757"/>
    <w:rsid w:val="00674C1E"/>
    <w:rsid w:val="00685CB3"/>
    <w:rsid w:val="006A35DE"/>
    <w:rsid w:val="006C578D"/>
    <w:rsid w:val="006E5BE0"/>
    <w:rsid w:val="006E618E"/>
    <w:rsid w:val="0070686D"/>
    <w:rsid w:val="007133CD"/>
    <w:rsid w:val="00745EEF"/>
    <w:rsid w:val="0076336E"/>
    <w:rsid w:val="00770B8A"/>
    <w:rsid w:val="00791AB1"/>
    <w:rsid w:val="007925FC"/>
    <w:rsid w:val="007B172E"/>
    <w:rsid w:val="007B4C9E"/>
    <w:rsid w:val="007D5BC0"/>
    <w:rsid w:val="007E1B92"/>
    <w:rsid w:val="00803C58"/>
    <w:rsid w:val="008149F0"/>
    <w:rsid w:val="00820C82"/>
    <w:rsid w:val="0083570E"/>
    <w:rsid w:val="008508CF"/>
    <w:rsid w:val="0086426F"/>
    <w:rsid w:val="00865BAC"/>
    <w:rsid w:val="00887679"/>
    <w:rsid w:val="00890D92"/>
    <w:rsid w:val="008A7C74"/>
    <w:rsid w:val="008B18BC"/>
    <w:rsid w:val="008D7372"/>
    <w:rsid w:val="008F0E12"/>
    <w:rsid w:val="008F1D9E"/>
    <w:rsid w:val="009025F8"/>
    <w:rsid w:val="0090706E"/>
    <w:rsid w:val="009219DB"/>
    <w:rsid w:val="009256D5"/>
    <w:rsid w:val="009323E7"/>
    <w:rsid w:val="00940DDA"/>
    <w:rsid w:val="009503EB"/>
    <w:rsid w:val="00961EB3"/>
    <w:rsid w:val="00985743"/>
    <w:rsid w:val="00994798"/>
    <w:rsid w:val="009B4DF5"/>
    <w:rsid w:val="009C2064"/>
    <w:rsid w:val="009D69C9"/>
    <w:rsid w:val="009F1175"/>
    <w:rsid w:val="009F540A"/>
    <w:rsid w:val="00A02669"/>
    <w:rsid w:val="00A07C38"/>
    <w:rsid w:val="00A1573B"/>
    <w:rsid w:val="00A20069"/>
    <w:rsid w:val="00A217E8"/>
    <w:rsid w:val="00A64668"/>
    <w:rsid w:val="00A650D4"/>
    <w:rsid w:val="00A65F3B"/>
    <w:rsid w:val="00A7382C"/>
    <w:rsid w:val="00AB22DB"/>
    <w:rsid w:val="00AD2F6E"/>
    <w:rsid w:val="00AD57A7"/>
    <w:rsid w:val="00B141DF"/>
    <w:rsid w:val="00B221CA"/>
    <w:rsid w:val="00B32B91"/>
    <w:rsid w:val="00B36359"/>
    <w:rsid w:val="00B400AE"/>
    <w:rsid w:val="00B509C5"/>
    <w:rsid w:val="00B50DF4"/>
    <w:rsid w:val="00B65B31"/>
    <w:rsid w:val="00B76DCA"/>
    <w:rsid w:val="00B77C0A"/>
    <w:rsid w:val="00BA0FD1"/>
    <w:rsid w:val="00BC12E6"/>
    <w:rsid w:val="00BC5300"/>
    <w:rsid w:val="00BD68EA"/>
    <w:rsid w:val="00BD7841"/>
    <w:rsid w:val="00BE56DF"/>
    <w:rsid w:val="00C00DD5"/>
    <w:rsid w:val="00C118B4"/>
    <w:rsid w:val="00C37B37"/>
    <w:rsid w:val="00C51749"/>
    <w:rsid w:val="00C56DE8"/>
    <w:rsid w:val="00C65D03"/>
    <w:rsid w:val="00C82577"/>
    <w:rsid w:val="00C86BA5"/>
    <w:rsid w:val="00CD56EC"/>
    <w:rsid w:val="00CE5C2D"/>
    <w:rsid w:val="00D13FB3"/>
    <w:rsid w:val="00D3517F"/>
    <w:rsid w:val="00D53B4A"/>
    <w:rsid w:val="00D6607E"/>
    <w:rsid w:val="00D85134"/>
    <w:rsid w:val="00D91142"/>
    <w:rsid w:val="00D95C14"/>
    <w:rsid w:val="00DA3166"/>
    <w:rsid w:val="00DD3352"/>
    <w:rsid w:val="00DD3CF7"/>
    <w:rsid w:val="00DE22BF"/>
    <w:rsid w:val="00E21932"/>
    <w:rsid w:val="00E45EDC"/>
    <w:rsid w:val="00E55328"/>
    <w:rsid w:val="00E55F03"/>
    <w:rsid w:val="00E96BA1"/>
    <w:rsid w:val="00EA6249"/>
    <w:rsid w:val="00EA721A"/>
    <w:rsid w:val="00EB31B8"/>
    <w:rsid w:val="00ED5867"/>
    <w:rsid w:val="00EF6E82"/>
    <w:rsid w:val="00F452D4"/>
    <w:rsid w:val="00F45B7A"/>
    <w:rsid w:val="00F5623A"/>
    <w:rsid w:val="00F95261"/>
    <w:rsid w:val="00FA2A28"/>
    <w:rsid w:val="00FB24D8"/>
    <w:rsid w:val="00FD5145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D7E8"/>
  <w15:docId w15:val="{FE7BE5D1-831B-463E-B2E0-57900915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8CF"/>
    <w:pPr>
      <w:spacing w:before="100" w:after="200" w:line="276" w:lineRule="auto"/>
      <w:jc w:val="left"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70686D"/>
    <w:pPr>
      <w:keepNext/>
      <w:spacing w:before="0" w:after="0" w:line="360" w:lineRule="auto"/>
      <w:ind w:firstLine="709"/>
      <w:jc w:val="both"/>
      <w:outlineLvl w:val="2"/>
    </w:pPr>
    <w:rPr>
      <w:rFonts w:ascii="Times New Roman" w:eastAsia="Cambria" w:hAnsi="Times New Roman"/>
      <w:b/>
      <w:bCs/>
      <w:i/>
      <w:sz w:val="2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508C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8508CF"/>
    <w:pPr>
      <w:spacing w:after="12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508C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5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B7A"/>
    <w:rPr>
      <w:rFonts w:ascii="Calibri" w:eastAsia="Times New Roman" w:hAnsi="Calibri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45B7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B7A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B7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B7A"/>
    <w:rPr>
      <w:rFonts w:ascii="Tahoma" w:eastAsia="Times New Roman" w:hAnsi="Tahoma" w:cs="Tahoma"/>
      <w:sz w:val="16"/>
      <w:szCs w:val="16"/>
      <w:lang w:eastAsia="bg-BG"/>
    </w:rPr>
  </w:style>
  <w:style w:type="character" w:styleId="Hyperlink">
    <w:name w:val="Hyperlink"/>
    <w:basedOn w:val="DefaultParagraphFont"/>
    <w:uiPriority w:val="99"/>
    <w:unhideWhenUsed/>
    <w:rsid w:val="006258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3CF7"/>
    <w:pPr>
      <w:spacing w:before="0"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m">
    <w:name w:val="m"/>
    <w:basedOn w:val="Normal"/>
    <w:rsid w:val="007E1B92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2894"/>
    <w:pPr>
      <w:spacing w:before="0" w:after="0" w:line="240" w:lineRule="auto"/>
    </w:pPr>
    <w:rPr>
      <w:rFonts w:eastAsiaTheme="minorHAns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2894"/>
    <w:rPr>
      <w:rFonts w:ascii="Calibri" w:hAnsi="Calibri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D03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D03"/>
    <w:rPr>
      <w:rFonts w:ascii="Calibri" w:eastAsia="Times New Roman" w:hAnsi="Calibri" w:cs="Times New Roman"/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65D03"/>
    <w:rPr>
      <w:vertAlign w:val="superscript"/>
    </w:rPr>
  </w:style>
  <w:style w:type="table" w:styleId="TableGrid">
    <w:name w:val="Table Grid"/>
    <w:basedOn w:val="TableNormal"/>
    <w:uiPriority w:val="59"/>
    <w:rsid w:val="00521860"/>
    <w:pPr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0686D"/>
    <w:rPr>
      <w:rFonts w:ascii="Times New Roman" w:eastAsia="Cambria" w:hAnsi="Times New Roman" w:cs="Times New Roman"/>
      <w:b/>
      <w:bCs/>
      <w:i/>
      <w:sz w:val="28"/>
      <w:szCs w:val="26"/>
      <w:lang w:val="en-US"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70686D"/>
    <w:pPr>
      <w:spacing w:before="0" w:after="120"/>
      <w:ind w:left="283"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0686D"/>
    <w:rPr>
      <w:rFonts w:ascii="Times New Roman" w:hAnsi="Times New Roman"/>
      <w:sz w:val="28"/>
    </w:rPr>
  </w:style>
  <w:style w:type="paragraph" w:styleId="Title">
    <w:name w:val="Title"/>
    <w:basedOn w:val="Normal"/>
    <w:link w:val="TitleChar"/>
    <w:qFormat/>
    <w:rsid w:val="00B141DF"/>
    <w:pPr>
      <w:spacing w:before="0" w:after="0" w:line="240" w:lineRule="auto"/>
      <w:jc w:val="center"/>
    </w:pPr>
    <w:rPr>
      <w:rFonts w:ascii="Arial" w:hAnsi="Arial" w:cs="Arial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141DF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68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68E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68EA"/>
    <w:rPr>
      <w:rFonts w:ascii="Calibri" w:eastAsia="Times New Roman" w:hAnsi="Calibri" w:cs="Times New Roman"/>
      <w:sz w:val="20"/>
      <w:szCs w:val="20"/>
      <w:lang w:eastAsia="bg-BG"/>
    </w:rPr>
  </w:style>
  <w:style w:type="character" w:customStyle="1" w:styleId="samedocreference">
    <w:name w:val="samedocreference"/>
    <w:basedOn w:val="DefaultParagraphFont"/>
    <w:rsid w:val="00BD68EA"/>
  </w:style>
  <w:style w:type="character" w:customStyle="1" w:styleId="ListParagraphChar">
    <w:name w:val="List Paragraph Char"/>
    <w:basedOn w:val="DefaultParagraphFont"/>
    <w:link w:val="ListParagraph"/>
    <w:rsid w:val="00102C58"/>
    <w:rPr>
      <w:rFonts w:ascii="Calibri" w:eastAsia="Times New Roman" w:hAnsi="Calibri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FEB7-1643-43C8-A52F-FF10DA35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Club 2000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Ivanova</dc:creator>
  <cp:lastModifiedBy>DANY</cp:lastModifiedBy>
  <cp:revision>4</cp:revision>
  <dcterms:created xsi:type="dcterms:W3CDTF">2021-10-15T13:21:00Z</dcterms:created>
  <dcterms:modified xsi:type="dcterms:W3CDTF">2021-10-15T13:42:00Z</dcterms:modified>
</cp:coreProperties>
</file>