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A73" w:rsidRDefault="005B2A73" w:rsidP="005B2A7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СПИСЪК НА ИЗПОЛЗВАНИТЕ РЕСУРСНИ МАТЕРИАЛИ</w:t>
      </w:r>
    </w:p>
    <w:p w:rsidR="005B2A73" w:rsidRDefault="005B2A73" w:rsidP="005B2A7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A2F87" w:rsidRDefault="001A2F87" w:rsidP="001A2F87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F87">
        <w:rPr>
          <w:rFonts w:ascii="Times New Roman" w:hAnsi="Times New Roman"/>
          <w:color w:val="000000" w:themeColor="text1"/>
          <w:sz w:val="24"/>
          <w:szCs w:val="24"/>
        </w:rPr>
        <w:t xml:space="preserve">Европейски зелен пакт – https://eur-lex.europa.eu/legal-content/BG/TXT/HTML/?uri=CELEX:52019DC0640&amp;from=EN, </w:t>
      </w:r>
      <w:hyperlink r:id="rId7" w:history="1">
        <w:r w:rsidRPr="005E4883">
          <w:rPr>
            <w:rStyle w:val="Hyperlink"/>
            <w:rFonts w:ascii="Times New Roman" w:hAnsi="Times New Roman"/>
            <w:sz w:val="24"/>
            <w:szCs w:val="24"/>
          </w:rPr>
          <w:t>https://ec.europa.eu/commission/presscorner/detail/bg/ip_19_6691</w:t>
        </w:r>
      </w:hyperlink>
    </w:p>
    <w:p w:rsidR="001A2F87" w:rsidRDefault="001A2F87" w:rsidP="001A2F87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F87">
        <w:rPr>
          <w:rFonts w:ascii="Times New Roman" w:hAnsi="Times New Roman"/>
          <w:color w:val="000000" w:themeColor="text1"/>
          <w:sz w:val="24"/>
          <w:szCs w:val="24"/>
        </w:rPr>
        <w:t xml:space="preserve">Планът за инвестиции и Механизмът за справедлив преход на Европейския зелен пакт - </w:t>
      </w:r>
      <w:hyperlink r:id="rId8" w:history="1">
        <w:r w:rsidRPr="005E4883">
          <w:rPr>
            <w:rStyle w:val="Hyperlink"/>
            <w:rFonts w:ascii="Times New Roman" w:hAnsi="Times New Roman"/>
            <w:sz w:val="24"/>
            <w:szCs w:val="24"/>
          </w:rPr>
          <w:t>https://ec.europa.eu/commission/presscorner/detail/bg/ip_20_17</w:t>
        </w:r>
      </w:hyperlink>
    </w:p>
    <w:p w:rsidR="001A2F87" w:rsidRDefault="001A2F87" w:rsidP="001A2F87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F87">
        <w:rPr>
          <w:rFonts w:ascii="Times New Roman" w:hAnsi="Times New Roman"/>
          <w:color w:val="000000" w:themeColor="text1"/>
          <w:sz w:val="24"/>
          <w:szCs w:val="24"/>
        </w:rPr>
        <w:t xml:space="preserve">Европейска промишлена стратегия - план за подготвена за бъдещето икономика - </w:t>
      </w:r>
      <w:hyperlink r:id="rId9" w:history="1">
        <w:r w:rsidRPr="005E4883">
          <w:rPr>
            <w:rStyle w:val="Hyperlink"/>
            <w:rFonts w:ascii="Times New Roman" w:hAnsi="Times New Roman"/>
            <w:sz w:val="24"/>
            <w:szCs w:val="24"/>
          </w:rPr>
          <w:t>https://ec.europa.eu/commission/presscorner/detail/bg/ip_20_416</w:t>
        </w:r>
      </w:hyperlink>
    </w:p>
    <w:p w:rsidR="001A2F87" w:rsidRDefault="001A2F87" w:rsidP="001A2F87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F87">
        <w:rPr>
          <w:rFonts w:ascii="Times New Roman" w:hAnsi="Times New Roman"/>
          <w:color w:val="000000" w:themeColor="text1"/>
          <w:sz w:val="24"/>
          <w:szCs w:val="24"/>
        </w:rPr>
        <w:t xml:space="preserve">Стратегия на ЕС за биологичното разнообразие до 2030 г. - </w:t>
      </w:r>
      <w:hyperlink r:id="rId10" w:history="1">
        <w:r w:rsidRPr="005E4883">
          <w:rPr>
            <w:rStyle w:val="Hyperlink"/>
            <w:rFonts w:ascii="Times New Roman" w:hAnsi="Times New Roman"/>
            <w:sz w:val="24"/>
            <w:szCs w:val="24"/>
          </w:rPr>
          <w:t>https://ec.europa.eu/info/strategy/priorities-2019-2024/european-green-deal/actions-being-taken-eu/eu-biodiversity-strategy-2030_bg</w:t>
        </w:r>
      </w:hyperlink>
    </w:p>
    <w:p w:rsidR="001A2F87" w:rsidRDefault="001A2F87" w:rsidP="001A2F87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F87">
        <w:rPr>
          <w:rFonts w:ascii="Times New Roman" w:hAnsi="Times New Roman"/>
          <w:color w:val="000000" w:themeColor="text1"/>
          <w:sz w:val="24"/>
          <w:szCs w:val="24"/>
        </w:rPr>
        <w:t xml:space="preserve">План за действие относно кръговата икономика - </w:t>
      </w:r>
      <w:hyperlink r:id="rId11" w:history="1">
        <w:r w:rsidRPr="005E4883">
          <w:rPr>
            <w:rStyle w:val="Hyperlink"/>
            <w:rFonts w:ascii="Times New Roman" w:hAnsi="Times New Roman"/>
            <w:sz w:val="24"/>
            <w:szCs w:val="24"/>
          </w:rPr>
          <w:t>https://ec.europa.eu/commission/presscorner/detail/bg/fs_20_437</w:t>
        </w:r>
      </w:hyperlink>
    </w:p>
    <w:p w:rsidR="001A2F87" w:rsidRDefault="001A2F87" w:rsidP="001A2F87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F87">
        <w:rPr>
          <w:rFonts w:ascii="Times New Roman" w:hAnsi="Times New Roman"/>
          <w:color w:val="000000" w:themeColor="text1"/>
          <w:sz w:val="24"/>
          <w:szCs w:val="24"/>
        </w:rPr>
        <w:t xml:space="preserve">Стратегията "От фермата към трапезата" за устойчивост на продоволствените системи - </w:t>
      </w:r>
      <w:hyperlink r:id="rId12" w:history="1">
        <w:r w:rsidRPr="005E4883">
          <w:rPr>
            <w:rStyle w:val="Hyperlink"/>
            <w:rFonts w:ascii="Times New Roman" w:hAnsi="Times New Roman"/>
            <w:sz w:val="24"/>
            <w:szCs w:val="24"/>
          </w:rPr>
          <w:t>https://ec.europa.eu/info/strategy/priorities-2019-2024/european-green-deal/actions-being-taken-eu/farm-fork_bg</w:t>
        </w:r>
      </w:hyperlink>
    </w:p>
    <w:p w:rsidR="001A2F87" w:rsidRDefault="001A2F87" w:rsidP="001A2F87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F87">
        <w:rPr>
          <w:rFonts w:ascii="Times New Roman" w:hAnsi="Times New Roman"/>
          <w:color w:val="000000" w:themeColor="text1"/>
          <w:sz w:val="24"/>
          <w:szCs w:val="24"/>
        </w:rPr>
        <w:t xml:space="preserve">Стратегия на ЕС за интегриране на енергийната система и използване на водорода за постигане на изцяло </w:t>
      </w:r>
      <w:proofErr w:type="spellStart"/>
      <w:r w:rsidRPr="001A2F87">
        <w:rPr>
          <w:rFonts w:ascii="Times New Roman" w:hAnsi="Times New Roman"/>
          <w:color w:val="000000" w:themeColor="text1"/>
          <w:sz w:val="24"/>
          <w:szCs w:val="24"/>
        </w:rPr>
        <w:t>декарбонизиран</w:t>
      </w:r>
      <w:proofErr w:type="spellEnd"/>
      <w:r w:rsidRPr="001A2F87">
        <w:rPr>
          <w:rFonts w:ascii="Times New Roman" w:hAnsi="Times New Roman"/>
          <w:color w:val="000000" w:themeColor="text1"/>
          <w:sz w:val="24"/>
          <w:szCs w:val="24"/>
        </w:rPr>
        <w:t xml:space="preserve">, ефективен и взаимосвързан енергиен сектор - </w:t>
      </w:r>
      <w:hyperlink r:id="rId13" w:history="1">
        <w:r w:rsidRPr="005E4883">
          <w:rPr>
            <w:rStyle w:val="Hyperlink"/>
            <w:rFonts w:ascii="Times New Roman" w:hAnsi="Times New Roman"/>
            <w:sz w:val="24"/>
            <w:szCs w:val="24"/>
          </w:rPr>
          <w:t>https://ec.europa.eu/energy/sites/ener/files/hydrogen_strategy.pdf</w:t>
        </w:r>
      </w:hyperlink>
    </w:p>
    <w:p w:rsidR="001A2F87" w:rsidRPr="001A2F87" w:rsidRDefault="001A2F87" w:rsidP="001A2F87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F87">
        <w:rPr>
          <w:rFonts w:ascii="Times New Roman" w:hAnsi="Times New Roman"/>
          <w:color w:val="000000" w:themeColor="text1"/>
          <w:sz w:val="24"/>
          <w:szCs w:val="24"/>
        </w:rPr>
        <w:t>План за целите в областта на климата до 2030г.</w:t>
      </w:r>
    </w:p>
    <w:p w:rsidR="001A2F87" w:rsidRDefault="001A2F87" w:rsidP="001A2F87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F87">
        <w:rPr>
          <w:rFonts w:ascii="Times New Roman" w:hAnsi="Times New Roman"/>
          <w:color w:val="000000" w:themeColor="text1"/>
          <w:sz w:val="24"/>
          <w:szCs w:val="24"/>
        </w:rPr>
        <w:t xml:space="preserve">План за саниране - </w:t>
      </w:r>
      <w:hyperlink r:id="rId14" w:history="1">
        <w:r w:rsidRPr="005E4883">
          <w:rPr>
            <w:rStyle w:val="Hyperlink"/>
            <w:rFonts w:ascii="Times New Roman" w:hAnsi="Times New Roman"/>
            <w:sz w:val="24"/>
            <w:szCs w:val="24"/>
          </w:rPr>
          <w:t>https://ec.europa.eu/commission/presscorner/detail/bg/ip_20_1835</w:t>
        </w:r>
      </w:hyperlink>
    </w:p>
    <w:p w:rsidR="001A2F87" w:rsidRDefault="001A2F87" w:rsidP="001A2F87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F87">
        <w:rPr>
          <w:rFonts w:ascii="Times New Roman" w:hAnsi="Times New Roman"/>
          <w:color w:val="000000" w:themeColor="text1"/>
          <w:sz w:val="24"/>
          <w:szCs w:val="24"/>
        </w:rPr>
        <w:t xml:space="preserve">План за метана - </w:t>
      </w:r>
      <w:hyperlink r:id="rId15" w:history="1">
        <w:r w:rsidRPr="005E4883">
          <w:rPr>
            <w:rStyle w:val="Hyperlink"/>
            <w:rFonts w:ascii="Times New Roman" w:hAnsi="Times New Roman"/>
            <w:sz w:val="24"/>
            <w:szCs w:val="24"/>
          </w:rPr>
          <w:t>https://ec.europa.eu/commission/presscorner/detail/bg/ip_20_1833</w:t>
        </w:r>
      </w:hyperlink>
    </w:p>
    <w:p w:rsidR="001A2F87" w:rsidRDefault="001A2F87" w:rsidP="001A2F87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F87">
        <w:rPr>
          <w:rFonts w:ascii="Times New Roman" w:hAnsi="Times New Roman"/>
          <w:color w:val="000000" w:themeColor="text1"/>
          <w:sz w:val="24"/>
          <w:szCs w:val="24"/>
        </w:rPr>
        <w:t xml:space="preserve">Стратегия за химичните вещества с цел устойчивост - </w:t>
      </w:r>
      <w:hyperlink r:id="rId16" w:history="1">
        <w:r w:rsidRPr="005E4883">
          <w:rPr>
            <w:rStyle w:val="Hyperlink"/>
            <w:rFonts w:ascii="Times New Roman" w:hAnsi="Times New Roman"/>
            <w:sz w:val="24"/>
            <w:szCs w:val="24"/>
          </w:rPr>
          <w:t>https://ec.europa.eu/commission/presscorner/detail/bg/ip_20_1839</w:t>
        </w:r>
      </w:hyperlink>
    </w:p>
    <w:p w:rsidR="001A2F87" w:rsidRDefault="001A2F87" w:rsidP="001A2F87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F87">
        <w:rPr>
          <w:rFonts w:ascii="Times New Roman" w:hAnsi="Times New Roman"/>
          <w:color w:val="000000" w:themeColor="text1"/>
          <w:sz w:val="24"/>
          <w:szCs w:val="24"/>
        </w:rPr>
        <w:t xml:space="preserve">Енергия от възобновяеми източници в морето - </w:t>
      </w:r>
      <w:hyperlink r:id="rId17" w:history="1">
        <w:r w:rsidRPr="005E4883">
          <w:rPr>
            <w:rStyle w:val="Hyperlink"/>
            <w:rFonts w:ascii="Times New Roman" w:hAnsi="Times New Roman"/>
            <w:sz w:val="24"/>
            <w:szCs w:val="24"/>
          </w:rPr>
          <w:t>https://ec.europa.eu/commission/presscorner/detail/bg/ip_20_2096</w:t>
        </w:r>
      </w:hyperlink>
    </w:p>
    <w:p w:rsidR="001A2F87" w:rsidRDefault="001A2F87" w:rsidP="001A2F87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F87">
        <w:rPr>
          <w:rFonts w:ascii="Times New Roman" w:hAnsi="Times New Roman"/>
          <w:color w:val="000000" w:themeColor="text1"/>
          <w:sz w:val="24"/>
          <w:szCs w:val="24"/>
        </w:rPr>
        <w:t xml:space="preserve">Европейски пакт за климата - </w:t>
      </w:r>
      <w:hyperlink r:id="rId18" w:history="1">
        <w:r w:rsidRPr="005E4883">
          <w:rPr>
            <w:rStyle w:val="Hyperlink"/>
            <w:rFonts w:ascii="Times New Roman" w:hAnsi="Times New Roman"/>
            <w:sz w:val="24"/>
            <w:szCs w:val="24"/>
          </w:rPr>
          <w:t>https://ec.europa.eu/commission/presscorner/detail/bg/ip_20_2323</w:t>
        </w:r>
      </w:hyperlink>
    </w:p>
    <w:p w:rsidR="001A2F87" w:rsidRDefault="001A2F87" w:rsidP="001A2F87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F87">
        <w:rPr>
          <w:rFonts w:ascii="Times New Roman" w:hAnsi="Times New Roman"/>
          <w:color w:val="000000" w:themeColor="text1"/>
          <w:sz w:val="24"/>
          <w:szCs w:val="24"/>
        </w:rPr>
        <w:t xml:space="preserve">Нов Европейски БАУХАУС - </w:t>
      </w:r>
      <w:hyperlink r:id="rId19" w:history="1">
        <w:r w:rsidRPr="005E4883">
          <w:rPr>
            <w:rStyle w:val="Hyperlink"/>
            <w:rFonts w:ascii="Times New Roman" w:hAnsi="Times New Roman"/>
            <w:sz w:val="24"/>
            <w:szCs w:val="24"/>
          </w:rPr>
          <w:t>https://europa.eu/new-european-bauhaus/index_bg</w:t>
        </w:r>
      </w:hyperlink>
    </w:p>
    <w:p w:rsidR="001A2F87" w:rsidRDefault="001A2F87" w:rsidP="001A2F87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F87">
        <w:rPr>
          <w:rFonts w:ascii="Times New Roman" w:hAnsi="Times New Roman"/>
          <w:color w:val="000000" w:themeColor="text1"/>
          <w:sz w:val="24"/>
          <w:szCs w:val="24"/>
        </w:rPr>
        <w:t xml:space="preserve">Национална програма за предотвратяване и намаляване на загубата на храни – 2021г. – 2026г. </w:t>
      </w:r>
      <w:hyperlink r:id="rId20" w:history="1">
        <w:r w:rsidRPr="005E4883">
          <w:rPr>
            <w:rStyle w:val="Hyperlink"/>
            <w:rFonts w:ascii="Times New Roman" w:hAnsi="Times New Roman"/>
            <w:sz w:val="24"/>
            <w:szCs w:val="24"/>
          </w:rPr>
          <w:t>https://www.mzh.government.bg/bg/politiki-i-programi/politiki-i-strategii/nacionalna-programa-za-predotvratyavane-i-namalyavane-na-zagubat/</w:t>
        </w:r>
      </w:hyperlink>
    </w:p>
    <w:p w:rsidR="001A2F87" w:rsidRPr="001A2F87" w:rsidRDefault="001A2F87" w:rsidP="001A2F87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F87">
        <w:rPr>
          <w:rFonts w:ascii="Times New Roman" w:hAnsi="Times New Roman"/>
          <w:color w:val="000000" w:themeColor="text1"/>
          <w:sz w:val="24"/>
          <w:szCs w:val="24"/>
        </w:rPr>
        <w:t xml:space="preserve">Закон за управление на отпадъците (ДВ, бр. 53 от 13.07.2012 г., </w:t>
      </w:r>
      <w:proofErr w:type="spellStart"/>
      <w:r w:rsidRPr="001A2F87">
        <w:rPr>
          <w:rFonts w:ascii="Times New Roman" w:hAnsi="Times New Roman"/>
          <w:color w:val="000000" w:themeColor="text1"/>
          <w:sz w:val="24"/>
          <w:szCs w:val="24"/>
        </w:rPr>
        <w:t>посл</w:t>
      </w:r>
      <w:proofErr w:type="spellEnd"/>
      <w:r w:rsidRPr="001A2F87">
        <w:rPr>
          <w:rFonts w:ascii="Times New Roman" w:hAnsi="Times New Roman"/>
          <w:color w:val="000000" w:themeColor="text1"/>
          <w:sz w:val="24"/>
          <w:szCs w:val="24"/>
        </w:rPr>
        <w:t>. изм. ДВ, бр. 19 от 05.03.2021 г.)</w:t>
      </w:r>
    </w:p>
    <w:p w:rsidR="001A2F87" w:rsidRPr="001A2F87" w:rsidRDefault="001A2F87" w:rsidP="001A2F87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F87">
        <w:rPr>
          <w:rFonts w:ascii="Times New Roman" w:hAnsi="Times New Roman"/>
          <w:color w:val="000000" w:themeColor="text1"/>
          <w:sz w:val="24"/>
          <w:szCs w:val="24"/>
        </w:rPr>
        <w:t xml:space="preserve">Наредба за разделно събиране на биоотпадъците и третиране на биоразградимите отпадъци (Приета с ПМС № 20 от 25.01.2017 г., </w:t>
      </w:r>
      <w:proofErr w:type="spellStart"/>
      <w:r w:rsidRPr="001A2F87">
        <w:rPr>
          <w:rFonts w:ascii="Times New Roman" w:hAnsi="Times New Roman"/>
          <w:color w:val="000000" w:themeColor="text1"/>
          <w:sz w:val="24"/>
          <w:szCs w:val="24"/>
        </w:rPr>
        <w:t>Обн</w:t>
      </w:r>
      <w:proofErr w:type="spellEnd"/>
      <w:r w:rsidRPr="001A2F87">
        <w:rPr>
          <w:rFonts w:ascii="Times New Roman" w:hAnsi="Times New Roman"/>
          <w:color w:val="000000" w:themeColor="text1"/>
          <w:sz w:val="24"/>
          <w:szCs w:val="24"/>
        </w:rPr>
        <w:t>. ДВ. бр.11 от 31 Януари 2017г., изм. и доп. ДВ. бр.2 от 8 януари 2021 г.)</w:t>
      </w:r>
    </w:p>
    <w:p w:rsidR="001A2F87" w:rsidRPr="001A2F87" w:rsidRDefault="001A2F87" w:rsidP="001A2F87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F87">
        <w:rPr>
          <w:rFonts w:ascii="Times New Roman" w:hAnsi="Times New Roman"/>
          <w:color w:val="000000" w:themeColor="text1"/>
          <w:sz w:val="24"/>
          <w:szCs w:val="24"/>
        </w:rPr>
        <w:t xml:space="preserve">Наредба за опаковките и отпадъците от опаковки (Приета с ПМС № 271 от 30.10.2012 г., </w:t>
      </w:r>
      <w:proofErr w:type="spellStart"/>
      <w:r w:rsidRPr="001A2F87">
        <w:rPr>
          <w:rFonts w:ascii="Times New Roman" w:hAnsi="Times New Roman"/>
          <w:color w:val="000000" w:themeColor="text1"/>
          <w:sz w:val="24"/>
          <w:szCs w:val="24"/>
        </w:rPr>
        <w:t>обн</w:t>
      </w:r>
      <w:proofErr w:type="spellEnd"/>
      <w:r w:rsidRPr="001A2F87">
        <w:rPr>
          <w:rFonts w:ascii="Times New Roman" w:hAnsi="Times New Roman"/>
          <w:color w:val="000000" w:themeColor="text1"/>
          <w:sz w:val="24"/>
          <w:szCs w:val="24"/>
        </w:rPr>
        <w:t xml:space="preserve">., ДВ, бр. 85 от 6.11.2012 г., в сила от 6.11.2012 г., </w:t>
      </w:r>
      <w:proofErr w:type="spellStart"/>
      <w:r w:rsidRPr="001A2F87">
        <w:rPr>
          <w:rFonts w:ascii="Times New Roman" w:hAnsi="Times New Roman"/>
          <w:color w:val="000000" w:themeColor="text1"/>
          <w:sz w:val="24"/>
          <w:szCs w:val="24"/>
        </w:rPr>
        <w:t>посл</w:t>
      </w:r>
      <w:proofErr w:type="spellEnd"/>
      <w:r w:rsidRPr="001A2F87">
        <w:rPr>
          <w:rFonts w:ascii="Times New Roman" w:hAnsi="Times New Roman"/>
          <w:color w:val="000000" w:themeColor="text1"/>
          <w:sz w:val="24"/>
          <w:szCs w:val="24"/>
        </w:rPr>
        <w:t>. Изм. и доп. ДВ бр. 2 от 8.01.2021 г.);</w:t>
      </w:r>
    </w:p>
    <w:p w:rsidR="001A2F87" w:rsidRPr="001A2F87" w:rsidRDefault="001A2F87" w:rsidP="001A2F87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1A2F87">
        <w:rPr>
          <w:rFonts w:ascii="Times New Roman" w:hAnsi="Times New Roman"/>
          <w:color w:val="FF0000"/>
          <w:sz w:val="24"/>
          <w:szCs w:val="24"/>
        </w:rPr>
        <w:t>Наредба № 7 от 19 декември 2013 г. за реда и начина за изчисляване и определяне размера на обезпеченията и отчисленията, изисквани при депониране на отпадъци (</w:t>
      </w:r>
      <w:proofErr w:type="spellStart"/>
      <w:r w:rsidRPr="001A2F87">
        <w:rPr>
          <w:rFonts w:ascii="Times New Roman" w:hAnsi="Times New Roman"/>
          <w:color w:val="FF0000"/>
          <w:sz w:val="24"/>
          <w:szCs w:val="24"/>
        </w:rPr>
        <w:t>Обн</w:t>
      </w:r>
      <w:proofErr w:type="spellEnd"/>
      <w:r w:rsidRPr="001A2F87">
        <w:rPr>
          <w:rFonts w:ascii="Times New Roman" w:hAnsi="Times New Roman"/>
          <w:color w:val="FF0000"/>
          <w:sz w:val="24"/>
          <w:szCs w:val="24"/>
        </w:rPr>
        <w:t>. ДВ. бр.111 от 27 декември 2013г., изм. и доп. ДВ. бр.26 от 22 март 2020г.,изм. и доп. ДВ. Бр.77от 16.09.2021г.)</w:t>
      </w:r>
    </w:p>
    <w:p w:rsidR="001A2F87" w:rsidRPr="001A2F87" w:rsidRDefault="001A2F87" w:rsidP="001A2F87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F87">
        <w:rPr>
          <w:rFonts w:ascii="Times New Roman" w:hAnsi="Times New Roman"/>
          <w:color w:val="000000" w:themeColor="text1"/>
          <w:sz w:val="24"/>
          <w:szCs w:val="24"/>
        </w:rPr>
        <w:t xml:space="preserve">Наредба за излезли от употреба моторни превозни средства (Приета с ПМС №11 от 15.01.2013 г., </w:t>
      </w:r>
      <w:proofErr w:type="spellStart"/>
      <w:r w:rsidRPr="001A2F87">
        <w:rPr>
          <w:rFonts w:ascii="Times New Roman" w:hAnsi="Times New Roman"/>
          <w:color w:val="000000" w:themeColor="text1"/>
          <w:sz w:val="24"/>
          <w:szCs w:val="24"/>
        </w:rPr>
        <w:t>посл</w:t>
      </w:r>
      <w:proofErr w:type="spellEnd"/>
      <w:r w:rsidRPr="001A2F87">
        <w:rPr>
          <w:rFonts w:ascii="Times New Roman" w:hAnsi="Times New Roman"/>
          <w:color w:val="000000" w:themeColor="text1"/>
          <w:sz w:val="24"/>
          <w:szCs w:val="24"/>
        </w:rPr>
        <w:t>. изм. и доп. ДВ. бр. 2 от 8.01.2021 г.)</w:t>
      </w:r>
    </w:p>
    <w:p w:rsidR="001A2F87" w:rsidRPr="001A2F87" w:rsidRDefault="001A2F87" w:rsidP="001A2F87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1A2F87">
        <w:rPr>
          <w:rFonts w:ascii="Times New Roman" w:hAnsi="Times New Roman"/>
          <w:color w:val="FF0000"/>
          <w:sz w:val="24"/>
          <w:szCs w:val="24"/>
        </w:rPr>
        <w:t>Наредба №1 от 4 юни 2014 г. за реда и образците, по който се предоставя информация за дейности с отпадъци, както и за реда на водене на публични регистри (</w:t>
      </w:r>
      <w:proofErr w:type="spellStart"/>
      <w:r w:rsidRPr="001A2F87">
        <w:rPr>
          <w:rFonts w:ascii="Times New Roman" w:hAnsi="Times New Roman"/>
          <w:color w:val="FF0000"/>
          <w:sz w:val="24"/>
          <w:szCs w:val="24"/>
        </w:rPr>
        <w:t>Обн</w:t>
      </w:r>
      <w:proofErr w:type="spellEnd"/>
      <w:r w:rsidRPr="001A2F87">
        <w:rPr>
          <w:rFonts w:ascii="Times New Roman" w:hAnsi="Times New Roman"/>
          <w:color w:val="FF0000"/>
          <w:sz w:val="24"/>
          <w:szCs w:val="24"/>
        </w:rPr>
        <w:t>. ДВ. бр. 51 от 20 юни 2014 г., изм. и доп. ДВ, бр. 30 от 31 Март 2020 г.,  изм. и доп. ДВ. бр.82 от 1 Октомври 2021г.)</w:t>
      </w:r>
    </w:p>
    <w:p w:rsidR="001A2F87" w:rsidRPr="001A2F87" w:rsidRDefault="001A2F87" w:rsidP="001A2F87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1A2F87">
        <w:rPr>
          <w:rFonts w:ascii="Times New Roman" w:hAnsi="Times New Roman"/>
          <w:color w:val="FF0000"/>
          <w:sz w:val="24"/>
          <w:szCs w:val="24"/>
        </w:rPr>
        <w:t>Наредба № 2 за класификация на отпадъците (</w:t>
      </w:r>
      <w:proofErr w:type="spellStart"/>
      <w:r w:rsidRPr="001A2F87">
        <w:rPr>
          <w:rFonts w:ascii="Times New Roman" w:hAnsi="Times New Roman"/>
          <w:color w:val="FF0000"/>
          <w:sz w:val="24"/>
          <w:szCs w:val="24"/>
        </w:rPr>
        <w:t>обн</w:t>
      </w:r>
      <w:proofErr w:type="spellEnd"/>
      <w:r w:rsidRPr="001A2F87">
        <w:rPr>
          <w:rFonts w:ascii="Times New Roman" w:hAnsi="Times New Roman"/>
          <w:color w:val="FF0000"/>
          <w:sz w:val="24"/>
          <w:szCs w:val="24"/>
        </w:rPr>
        <w:t xml:space="preserve">., ДВ, бр. 66 от 8.08.2014 г., изм. и доп., бр. 86 от 6.10.2020 г., изм. и доп. ДВ. бр.53 от 8 Юли 2022 г.  </w:t>
      </w:r>
    </w:p>
    <w:p w:rsidR="001A2F87" w:rsidRPr="001A2F87" w:rsidRDefault="001A2F87" w:rsidP="001A2F87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F87">
        <w:rPr>
          <w:rFonts w:ascii="Times New Roman" w:hAnsi="Times New Roman"/>
          <w:color w:val="000000" w:themeColor="text1"/>
          <w:sz w:val="24"/>
          <w:szCs w:val="24"/>
        </w:rPr>
        <w:t xml:space="preserve">Наредба за батерии и акумулатори и за негодни за употреба батерии и акумулатори (Приета с ПМС № 351 от 27.12.2012 г., </w:t>
      </w:r>
      <w:proofErr w:type="spellStart"/>
      <w:r w:rsidRPr="001A2F87">
        <w:rPr>
          <w:rFonts w:ascii="Times New Roman" w:hAnsi="Times New Roman"/>
          <w:color w:val="000000" w:themeColor="text1"/>
          <w:sz w:val="24"/>
          <w:szCs w:val="24"/>
        </w:rPr>
        <w:t>обн</w:t>
      </w:r>
      <w:proofErr w:type="spellEnd"/>
      <w:r w:rsidRPr="001A2F87">
        <w:rPr>
          <w:rFonts w:ascii="Times New Roman" w:hAnsi="Times New Roman"/>
          <w:color w:val="000000" w:themeColor="text1"/>
          <w:sz w:val="24"/>
          <w:szCs w:val="24"/>
        </w:rPr>
        <w:t xml:space="preserve">., ДВ, бр. 2 от 8.01.2013 г., </w:t>
      </w:r>
      <w:proofErr w:type="spellStart"/>
      <w:r w:rsidRPr="001A2F87">
        <w:rPr>
          <w:rFonts w:ascii="Times New Roman" w:hAnsi="Times New Roman"/>
          <w:color w:val="000000" w:themeColor="text1"/>
          <w:sz w:val="24"/>
          <w:szCs w:val="24"/>
        </w:rPr>
        <w:t>посл</w:t>
      </w:r>
      <w:proofErr w:type="spellEnd"/>
      <w:r w:rsidRPr="001A2F87">
        <w:rPr>
          <w:rFonts w:ascii="Times New Roman" w:hAnsi="Times New Roman"/>
          <w:color w:val="000000" w:themeColor="text1"/>
          <w:sz w:val="24"/>
          <w:szCs w:val="24"/>
        </w:rPr>
        <w:t>. доп., бр. 2 от 8.01.2021 г.)</w:t>
      </w:r>
    </w:p>
    <w:p w:rsidR="001A2F87" w:rsidRPr="001A2F87" w:rsidRDefault="001A2F87" w:rsidP="001A2F87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F87">
        <w:rPr>
          <w:rFonts w:ascii="Times New Roman" w:hAnsi="Times New Roman"/>
          <w:color w:val="000000" w:themeColor="text1"/>
          <w:sz w:val="24"/>
          <w:szCs w:val="24"/>
        </w:rPr>
        <w:t xml:space="preserve">Наредба за излязлото от употреба електрическо и електронно оборудване (Приета с ПМС № 256 от 13.11.2013 г., </w:t>
      </w:r>
      <w:proofErr w:type="spellStart"/>
      <w:r w:rsidRPr="001A2F87">
        <w:rPr>
          <w:rFonts w:ascii="Times New Roman" w:hAnsi="Times New Roman"/>
          <w:color w:val="000000" w:themeColor="text1"/>
          <w:sz w:val="24"/>
          <w:szCs w:val="24"/>
        </w:rPr>
        <w:t>обн</w:t>
      </w:r>
      <w:proofErr w:type="spellEnd"/>
      <w:r w:rsidRPr="001A2F87">
        <w:rPr>
          <w:rFonts w:ascii="Times New Roman" w:hAnsi="Times New Roman"/>
          <w:color w:val="000000" w:themeColor="text1"/>
          <w:sz w:val="24"/>
          <w:szCs w:val="24"/>
        </w:rPr>
        <w:t xml:space="preserve">., ДВ, бр. 100 от 19.11.2013 г., в сила от 1.01.2014 г., </w:t>
      </w:r>
      <w:proofErr w:type="spellStart"/>
      <w:r w:rsidRPr="001A2F87">
        <w:rPr>
          <w:rFonts w:ascii="Times New Roman" w:hAnsi="Times New Roman"/>
          <w:color w:val="000000" w:themeColor="text1"/>
          <w:sz w:val="24"/>
          <w:szCs w:val="24"/>
        </w:rPr>
        <w:t>посл</w:t>
      </w:r>
      <w:proofErr w:type="spellEnd"/>
      <w:r w:rsidRPr="001A2F87">
        <w:rPr>
          <w:rFonts w:ascii="Times New Roman" w:hAnsi="Times New Roman"/>
          <w:color w:val="000000" w:themeColor="text1"/>
          <w:sz w:val="24"/>
          <w:szCs w:val="24"/>
        </w:rPr>
        <w:t>. изм. и доп., бр. 2 от 8.01.2021 г.).</w:t>
      </w:r>
    </w:p>
    <w:p w:rsidR="001A2F87" w:rsidRPr="001A2F87" w:rsidRDefault="001A2F87" w:rsidP="001A2F87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1A2F87">
        <w:rPr>
          <w:rFonts w:ascii="Times New Roman" w:hAnsi="Times New Roman"/>
          <w:color w:val="FF0000"/>
          <w:sz w:val="24"/>
          <w:szCs w:val="24"/>
        </w:rPr>
        <w:t>Наредба за условията и изискванията за изграждане и експлоатация на депа и на други съоръжения и инсталации за оползотворяване и обезвреждане на отпадъци (</w:t>
      </w:r>
      <w:proofErr w:type="spellStart"/>
      <w:r w:rsidRPr="001A2F87">
        <w:rPr>
          <w:rFonts w:ascii="Times New Roman" w:hAnsi="Times New Roman"/>
          <w:color w:val="FF0000"/>
          <w:sz w:val="24"/>
          <w:szCs w:val="24"/>
        </w:rPr>
        <w:t>Обн</w:t>
      </w:r>
      <w:proofErr w:type="spellEnd"/>
      <w:r w:rsidRPr="001A2F87">
        <w:rPr>
          <w:rFonts w:ascii="Times New Roman" w:hAnsi="Times New Roman"/>
          <w:color w:val="FF0000"/>
          <w:sz w:val="24"/>
          <w:szCs w:val="24"/>
        </w:rPr>
        <w:t xml:space="preserve">. ДВ. бр.80 от 13 Септември 2013г., изм. и доп. ДВ. бр.13 от 7 Февруари 2017г., в сила от 01.05.2021г., </w:t>
      </w:r>
      <w:proofErr w:type="spellStart"/>
      <w:r w:rsidRPr="001A2F87">
        <w:rPr>
          <w:rFonts w:ascii="Times New Roman" w:hAnsi="Times New Roman"/>
          <w:color w:val="FF0000"/>
          <w:sz w:val="24"/>
          <w:szCs w:val="24"/>
        </w:rPr>
        <w:t>обн.ДВ</w:t>
      </w:r>
      <w:proofErr w:type="spellEnd"/>
      <w:r w:rsidRPr="001A2F87">
        <w:rPr>
          <w:rFonts w:ascii="Times New Roman" w:hAnsi="Times New Roman"/>
          <w:color w:val="FF0000"/>
          <w:sz w:val="24"/>
          <w:szCs w:val="24"/>
        </w:rPr>
        <w:t>. бр.36 )</w:t>
      </w:r>
    </w:p>
    <w:p w:rsidR="001A2F87" w:rsidRDefault="001A2F87" w:rsidP="001A2F87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1A2F87">
        <w:rPr>
          <w:rFonts w:ascii="Times New Roman" w:hAnsi="Times New Roman"/>
          <w:color w:val="FF0000"/>
          <w:sz w:val="24"/>
          <w:szCs w:val="24"/>
        </w:rPr>
        <w:t xml:space="preserve">Национален план за управление на отпадъците (НПУО) 2021 – 2028 г. - </w:t>
      </w:r>
      <w:hyperlink r:id="rId21" w:history="1">
        <w:r w:rsidRPr="005E4883">
          <w:rPr>
            <w:rStyle w:val="Hyperlink"/>
            <w:rFonts w:ascii="Times New Roman" w:hAnsi="Times New Roman"/>
            <w:sz w:val="24"/>
            <w:szCs w:val="24"/>
          </w:rPr>
          <w:t>https://www.moew.government.bg/static/media/ups/tiny/%D0%A3%D0%9E%D0%9E%D0%9F/%D0%9D%D0%9F%D0%A3%D0%9E-2021-2028/NPUO_2021-2028.pdf</w:t>
        </w:r>
      </w:hyperlink>
    </w:p>
    <w:p w:rsidR="001A2F87" w:rsidRDefault="001A2F87" w:rsidP="001A2F87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1A2F87">
        <w:rPr>
          <w:rFonts w:ascii="Times New Roman" w:hAnsi="Times New Roman"/>
          <w:color w:val="FF0000"/>
          <w:sz w:val="24"/>
          <w:szCs w:val="24"/>
        </w:rPr>
        <w:t xml:space="preserve">Методически указания за разработване на общински/регионални програми за управление на отпадъците, МОСВ, 08.2021 г. - </w:t>
      </w:r>
      <w:hyperlink r:id="rId22" w:history="1">
        <w:r w:rsidRPr="005E4883">
          <w:rPr>
            <w:rStyle w:val="Hyperlink"/>
            <w:rFonts w:ascii="Times New Roman" w:hAnsi="Times New Roman"/>
            <w:sz w:val="24"/>
            <w:szCs w:val="24"/>
          </w:rPr>
          <w:t>https://www.moew.government.bg/static/media/ups/tiny/%D0%A3%D0%9E%D0%9E%D0%9F/Ukazaniq_programi_upravlenie_otpadaci.pdf</w:t>
        </w:r>
      </w:hyperlink>
    </w:p>
    <w:p w:rsidR="001A2F87" w:rsidRDefault="001A2F87" w:rsidP="001A2F87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1A2F87">
        <w:rPr>
          <w:rFonts w:ascii="Times New Roman" w:hAnsi="Times New Roman"/>
          <w:color w:val="FF0000"/>
          <w:sz w:val="24"/>
          <w:szCs w:val="24"/>
        </w:rPr>
        <w:t xml:space="preserve">Стратегия и план за действие за преход към Кръгова икономика на Република България за периода 2021 – 2027 г. (проект!) </w:t>
      </w:r>
      <w:hyperlink r:id="rId23" w:history="1">
        <w:r w:rsidRPr="005E4883">
          <w:rPr>
            <w:rStyle w:val="Hyperlink"/>
            <w:rFonts w:ascii="Times New Roman" w:hAnsi="Times New Roman"/>
            <w:sz w:val="24"/>
            <w:szCs w:val="24"/>
          </w:rPr>
          <w:t>https://www.moew.government.bg/bg/strategiya-i-plan-za-dejstvie-za-prehod-kum-krugova-ikonomika-na-republika-bulgariya-za-perioda-2021-2027-g-10910/</w:t>
        </w:r>
      </w:hyperlink>
    </w:p>
    <w:p w:rsidR="001A2F87" w:rsidRPr="001A2F87" w:rsidRDefault="001A2F87" w:rsidP="001A2F87">
      <w:pPr>
        <w:pStyle w:val="ListParagraph"/>
        <w:tabs>
          <w:tab w:val="left" w:pos="426"/>
        </w:tabs>
        <w:spacing w:after="0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A5543" w:rsidRDefault="001A5543" w:rsidP="001A2F87">
      <w:pPr>
        <w:pStyle w:val="ListParagraph"/>
        <w:tabs>
          <w:tab w:val="left" w:pos="426"/>
        </w:tabs>
        <w:spacing w:after="0"/>
        <w:ind w:left="360"/>
        <w:jc w:val="both"/>
      </w:pPr>
      <w:bookmarkStart w:id="0" w:name="_GoBack"/>
      <w:bookmarkEnd w:id="0"/>
    </w:p>
    <w:sectPr w:rsidR="001A5543" w:rsidSect="00F559B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9B7" w:rsidRDefault="00F559B7" w:rsidP="00F559B7">
      <w:pPr>
        <w:spacing w:after="0" w:line="240" w:lineRule="auto"/>
      </w:pPr>
      <w:r>
        <w:separator/>
      </w:r>
    </w:p>
  </w:endnote>
  <w:endnote w:type="continuationSeparator" w:id="0">
    <w:p w:rsidR="00F559B7" w:rsidRDefault="00F559B7" w:rsidP="00F55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B7" w:rsidRDefault="00F55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B7" w:rsidRPr="00F559B7" w:rsidRDefault="00F559B7" w:rsidP="00F559B7">
    <w:pPr>
      <w:spacing w:before="100" w:after="0" w:line="240" w:lineRule="auto"/>
      <w:ind w:right="-144"/>
      <w:jc w:val="both"/>
      <w:rPr>
        <w:iCs/>
        <w:sz w:val="18"/>
        <w:szCs w:val="18"/>
        <w:lang w:eastAsia="bg-BG"/>
      </w:rPr>
    </w:pPr>
    <w:r w:rsidRPr="00F559B7">
      <w:rPr>
        <w:i/>
        <w:iCs/>
        <w:sz w:val="18"/>
        <w:szCs w:val="18"/>
        <w:lang w:val="ru-RU" w:eastAsia="bg-BG"/>
      </w:rPr>
      <w:t xml:space="preserve">Този документ е създаден съгласно Административен договор № BG05SFOP001-2.015-0001-C01, проект „Повишаване на знанията, уменията и квалификацията на общинските служители,,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 </w:t>
    </w:r>
  </w:p>
  <w:p w:rsidR="00F559B7" w:rsidRPr="00F559B7" w:rsidRDefault="001A2F87" w:rsidP="00F559B7">
    <w:pPr>
      <w:spacing w:before="100" w:after="0" w:line="240" w:lineRule="auto"/>
      <w:ind w:right="-144"/>
      <w:jc w:val="center"/>
      <w:rPr>
        <w:iCs/>
        <w:sz w:val="18"/>
        <w:szCs w:val="18"/>
        <w:lang w:eastAsia="bg-BG"/>
      </w:rPr>
    </w:pPr>
    <w:hyperlink r:id="rId1" w:history="1">
      <w:r w:rsidR="00F559B7" w:rsidRPr="00F559B7">
        <w:rPr>
          <w:i/>
          <w:iCs/>
          <w:color w:val="0000FF"/>
          <w:sz w:val="18"/>
          <w:szCs w:val="18"/>
          <w:u w:val="single"/>
          <w:lang w:val="en-US" w:eastAsia="bg-BG"/>
        </w:rPr>
        <w:t>www.eufunds.bg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B7" w:rsidRDefault="00F55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9B7" w:rsidRDefault="00F559B7" w:rsidP="00F559B7">
      <w:pPr>
        <w:spacing w:after="0" w:line="240" w:lineRule="auto"/>
      </w:pPr>
      <w:r>
        <w:separator/>
      </w:r>
    </w:p>
  </w:footnote>
  <w:footnote w:type="continuationSeparator" w:id="0">
    <w:p w:rsidR="00F559B7" w:rsidRDefault="00F559B7" w:rsidP="00F55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B7" w:rsidRDefault="00F559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B7" w:rsidRPr="00F559B7" w:rsidRDefault="00F559B7" w:rsidP="00F559B7">
    <w:pPr>
      <w:tabs>
        <w:tab w:val="center" w:pos="4536"/>
      </w:tabs>
      <w:spacing w:after="0" w:line="240" w:lineRule="auto"/>
      <w:ind w:left="-284"/>
      <w:rPr>
        <w:sz w:val="20"/>
        <w:szCs w:val="20"/>
        <w:lang w:eastAsia="bg-BG"/>
      </w:rPr>
    </w:pPr>
    <w:r w:rsidRPr="00F559B7">
      <w:rPr>
        <w:noProof/>
        <w:sz w:val="20"/>
        <w:szCs w:val="20"/>
        <w:lang w:eastAsia="bg-BG"/>
      </w:rPr>
      <w:drawing>
        <wp:inline distT="0" distB="0" distL="0" distR="0" wp14:anchorId="47184379" wp14:editId="08E15665">
          <wp:extent cx="1440036" cy="667709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735" cy="695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559B7">
      <w:rPr>
        <w:noProof/>
        <w:sz w:val="20"/>
        <w:szCs w:val="20"/>
        <w:lang w:val="en-US" w:eastAsia="bg-BG"/>
      </w:rPr>
      <w:t xml:space="preserve">                             </w:t>
    </w:r>
    <w:r w:rsidRPr="00F559B7">
      <w:rPr>
        <w:noProof/>
        <w:sz w:val="20"/>
        <w:szCs w:val="20"/>
        <w:lang w:eastAsia="bg-BG"/>
      </w:rPr>
      <w:t xml:space="preserve">  </w:t>
    </w:r>
    <w:r w:rsidRPr="00F559B7">
      <w:rPr>
        <w:noProof/>
        <w:sz w:val="20"/>
        <w:szCs w:val="20"/>
        <w:lang w:val="en-US" w:eastAsia="bg-BG"/>
      </w:rPr>
      <w:t xml:space="preserve">    </w:t>
    </w:r>
    <w:r w:rsidRPr="00F559B7">
      <w:rPr>
        <w:noProof/>
        <w:sz w:val="20"/>
        <w:szCs w:val="20"/>
        <w:lang w:eastAsia="bg-BG"/>
      </w:rPr>
      <w:t xml:space="preserve"> </w:t>
    </w:r>
    <w:r w:rsidRPr="00F559B7">
      <w:rPr>
        <w:noProof/>
        <w:sz w:val="20"/>
        <w:szCs w:val="20"/>
        <w:lang w:val="en-US" w:eastAsia="bg-BG"/>
      </w:rPr>
      <w:t xml:space="preserve"> </w:t>
    </w:r>
    <w:r w:rsidRPr="00F559B7">
      <w:rPr>
        <w:noProof/>
        <w:sz w:val="20"/>
        <w:szCs w:val="20"/>
        <w:lang w:eastAsia="bg-BG"/>
      </w:rPr>
      <w:drawing>
        <wp:inline distT="0" distB="0" distL="0" distR="0" wp14:anchorId="47BC2793" wp14:editId="184705CD">
          <wp:extent cx="989739" cy="629729"/>
          <wp:effectExtent l="0" t="0" r="127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89" cy="6949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559B7">
      <w:rPr>
        <w:noProof/>
        <w:sz w:val="20"/>
        <w:szCs w:val="20"/>
        <w:lang w:val="en-US" w:eastAsia="bg-BG"/>
      </w:rPr>
      <w:t xml:space="preserve">        </w:t>
    </w:r>
    <w:r w:rsidRPr="00F559B7">
      <w:rPr>
        <w:noProof/>
        <w:sz w:val="20"/>
        <w:szCs w:val="20"/>
        <w:lang w:eastAsia="bg-BG"/>
      </w:rPr>
      <w:t xml:space="preserve">          </w:t>
    </w:r>
    <w:r w:rsidRPr="00F559B7">
      <w:rPr>
        <w:noProof/>
        <w:sz w:val="20"/>
        <w:szCs w:val="20"/>
        <w:lang w:val="en-US" w:eastAsia="bg-BG"/>
      </w:rPr>
      <w:t xml:space="preserve">       </w:t>
    </w:r>
    <w:r w:rsidRPr="00F559B7">
      <w:rPr>
        <w:noProof/>
        <w:sz w:val="20"/>
        <w:szCs w:val="20"/>
        <w:lang w:eastAsia="bg-BG"/>
      </w:rPr>
      <w:t xml:space="preserve">        </w:t>
    </w:r>
    <w:r w:rsidRPr="00F559B7">
      <w:rPr>
        <w:noProof/>
        <w:sz w:val="20"/>
        <w:szCs w:val="20"/>
        <w:lang w:val="en-US" w:eastAsia="bg-BG"/>
      </w:rPr>
      <w:t xml:space="preserve">    </w:t>
    </w:r>
    <w:r w:rsidRPr="00F559B7">
      <w:rPr>
        <w:noProof/>
        <w:sz w:val="20"/>
        <w:szCs w:val="20"/>
        <w:lang w:eastAsia="bg-BG"/>
      </w:rPr>
      <w:t xml:space="preserve">      </w:t>
    </w:r>
    <w:r w:rsidRPr="00F559B7">
      <w:rPr>
        <w:noProof/>
        <w:sz w:val="20"/>
        <w:szCs w:val="20"/>
        <w:lang w:eastAsia="bg-BG"/>
      </w:rPr>
      <w:drawing>
        <wp:inline distT="0" distB="0" distL="0" distR="0" wp14:anchorId="77B64350" wp14:editId="26415CF5">
          <wp:extent cx="1277897" cy="625000"/>
          <wp:effectExtent l="0" t="0" r="0" b="381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301" cy="6432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559B7" w:rsidRDefault="00F559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B7" w:rsidRDefault="00F559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C1D6E"/>
    <w:multiLevelType w:val="hybridMultilevel"/>
    <w:tmpl w:val="D310AC9C"/>
    <w:lvl w:ilvl="0" w:tplc="58AAF8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D5B87"/>
    <w:multiLevelType w:val="hybridMultilevel"/>
    <w:tmpl w:val="45A2C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37A4A"/>
    <w:multiLevelType w:val="hybridMultilevel"/>
    <w:tmpl w:val="57F4A7B8"/>
    <w:lvl w:ilvl="0" w:tplc="0402000D">
      <w:start w:val="1"/>
      <w:numFmt w:val="bullet"/>
      <w:lvlText w:val=""/>
      <w:lvlJc w:val="left"/>
      <w:pPr>
        <w:ind w:left="49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 w15:restartNumberingAfterBreak="0">
    <w:nsid w:val="1D295DF1"/>
    <w:multiLevelType w:val="hybridMultilevel"/>
    <w:tmpl w:val="5472E9B4"/>
    <w:lvl w:ilvl="0" w:tplc="03EE1A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40E7C"/>
    <w:multiLevelType w:val="hybridMultilevel"/>
    <w:tmpl w:val="9B1C236A"/>
    <w:lvl w:ilvl="0" w:tplc="32EC03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74C08"/>
    <w:multiLevelType w:val="hybridMultilevel"/>
    <w:tmpl w:val="2898D1C4"/>
    <w:lvl w:ilvl="0" w:tplc="DEBC6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4457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EE57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2699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04A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DA6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425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103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3CE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D3D1133"/>
    <w:multiLevelType w:val="hybridMultilevel"/>
    <w:tmpl w:val="457071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D3873"/>
    <w:multiLevelType w:val="hybridMultilevel"/>
    <w:tmpl w:val="AA4CCA10"/>
    <w:lvl w:ilvl="0" w:tplc="58D44A18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600C6"/>
    <w:multiLevelType w:val="hybridMultilevel"/>
    <w:tmpl w:val="4FDAED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E175B"/>
    <w:multiLevelType w:val="hybridMultilevel"/>
    <w:tmpl w:val="475E5868"/>
    <w:lvl w:ilvl="0" w:tplc="E0DCF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487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081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504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AAD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061C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F4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DE3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6A1E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DD40801"/>
    <w:multiLevelType w:val="hybridMultilevel"/>
    <w:tmpl w:val="319803F8"/>
    <w:lvl w:ilvl="0" w:tplc="1F3244B2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8C"/>
    <w:rsid w:val="000C10D9"/>
    <w:rsid w:val="00107D07"/>
    <w:rsid w:val="001A2F87"/>
    <w:rsid w:val="001A5543"/>
    <w:rsid w:val="001F7C68"/>
    <w:rsid w:val="004B75D4"/>
    <w:rsid w:val="005B2A73"/>
    <w:rsid w:val="006832A7"/>
    <w:rsid w:val="0069043D"/>
    <w:rsid w:val="009852EE"/>
    <w:rsid w:val="00B4707F"/>
    <w:rsid w:val="00C10C20"/>
    <w:rsid w:val="00C10F8C"/>
    <w:rsid w:val="00D245F3"/>
    <w:rsid w:val="00E27DC9"/>
    <w:rsid w:val="00F07A49"/>
    <w:rsid w:val="00F559B7"/>
    <w:rsid w:val="00FC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C184F28"/>
  <w15:chartTrackingRefBased/>
  <w15:docId w15:val="{06CF4B68-41CA-40B4-AF87-63545DD3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A73"/>
    <w:pPr>
      <w:spacing w:after="200" w:line="276" w:lineRule="auto"/>
      <w:jc w:val="left"/>
    </w:pPr>
    <w:rPr>
      <w:rFonts w:ascii="Calibri" w:eastAsia="Times New Roman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A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2A7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852EE"/>
    <w:pPr>
      <w:jc w:val="left"/>
    </w:pPr>
    <w:rPr>
      <w:lang w:val="bg-BG"/>
    </w:rPr>
  </w:style>
  <w:style w:type="paragraph" w:styleId="Header">
    <w:name w:val="header"/>
    <w:basedOn w:val="Normal"/>
    <w:link w:val="HeaderChar"/>
    <w:uiPriority w:val="99"/>
    <w:unhideWhenUsed/>
    <w:rsid w:val="00F55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9B7"/>
    <w:rPr>
      <w:rFonts w:ascii="Calibri" w:eastAsia="Times New Roman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F55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9B7"/>
    <w:rPr>
      <w:rFonts w:ascii="Calibri" w:eastAsia="Times New Roman" w:hAnsi="Calibri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6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02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7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3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41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4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commission/presscorner/detail/bg/ip_20_17" TargetMode="External"/><Relationship Id="rId13" Type="http://schemas.openxmlformats.org/officeDocument/2006/relationships/hyperlink" Target="https://ec.europa.eu/energy/sites/ener/files/hydrogen_strategy.pdf" TargetMode="External"/><Relationship Id="rId18" Type="http://schemas.openxmlformats.org/officeDocument/2006/relationships/hyperlink" Target="https://ec.europa.eu/commission/presscorner/detail/bg/ip_20_2323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moew.government.bg/static/media/ups/tiny/%D0%A3%D0%9E%D0%9E%D0%9F/%D0%9D%D0%9F%D0%A3%D0%9E-2021-2028/NPUO_2021-2028.pdf" TargetMode="External"/><Relationship Id="rId7" Type="http://schemas.openxmlformats.org/officeDocument/2006/relationships/hyperlink" Target="https://ec.europa.eu/commission/presscorner/detail/bg/ip_19_6691" TargetMode="External"/><Relationship Id="rId12" Type="http://schemas.openxmlformats.org/officeDocument/2006/relationships/hyperlink" Target="https://ec.europa.eu/info/strategy/priorities-2019-2024/european-green-deal/actions-being-taken-eu/farm-fork_bg" TargetMode="External"/><Relationship Id="rId17" Type="http://schemas.openxmlformats.org/officeDocument/2006/relationships/hyperlink" Target="https://ec.europa.eu/commission/presscorner/detail/bg/ip_20_2096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ec.europa.eu/commission/presscorner/detail/bg/ip_20_1839" TargetMode="External"/><Relationship Id="rId20" Type="http://schemas.openxmlformats.org/officeDocument/2006/relationships/hyperlink" Target="https://www.mzh.government.bg/bg/politiki-i-programi/politiki-i-strategii/nacionalna-programa-za-predotvratyavane-i-namalyavane-na-zagubat/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c.europa.eu/commission/presscorner/detail/bg/fs_20_437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ec.europa.eu/commission/presscorner/detail/bg/ip_20_1833" TargetMode="External"/><Relationship Id="rId23" Type="http://schemas.openxmlformats.org/officeDocument/2006/relationships/hyperlink" Target="https://www.moew.government.bg/bg/strategiya-i-plan-za-dejstvie-za-prehod-kum-krugova-ikonomika-na-republika-bulgariya-za-perioda-2021-2027-g-10910/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ec.europa.eu/info/strategy/priorities-2019-2024/european-green-deal/actions-being-taken-eu/eu-biodiversity-strategy-2030_bg" TargetMode="External"/><Relationship Id="rId19" Type="http://schemas.openxmlformats.org/officeDocument/2006/relationships/hyperlink" Target="https://europa.eu/new-european-bauhaus/index_bg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commission/presscorner/detail/bg/ip_20_416" TargetMode="External"/><Relationship Id="rId14" Type="http://schemas.openxmlformats.org/officeDocument/2006/relationships/hyperlink" Target="https://ec.europa.eu/commission/presscorner/detail/bg/ip_20_1835" TargetMode="External"/><Relationship Id="rId22" Type="http://schemas.openxmlformats.org/officeDocument/2006/relationships/hyperlink" Target="https://www.moew.government.bg/static/media/ups/tiny/%D0%A3%D0%9E%D0%9E%D0%9F/Ukazaniq_programi_upravlenie_otpadaci.pdf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Katya</cp:lastModifiedBy>
  <cp:revision>10</cp:revision>
  <dcterms:created xsi:type="dcterms:W3CDTF">2021-04-05T10:17:00Z</dcterms:created>
  <dcterms:modified xsi:type="dcterms:W3CDTF">2022-12-19T08:13:00Z</dcterms:modified>
</cp:coreProperties>
</file>