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bottom w:val="single" w:sz="4" w:space="0" w:color="auto"/>
        </w:tblBorders>
        <w:tblCellMar>
          <w:left w:w="0" w:type="dxa"/>
          <w:right w:w="0" w:type="dxa"/>
        </w:tblCellMar>
        <w:tblLook w:val="04A0" w:firstRow="1" w:lastRow="0" w:firstColumn="1" w:lastColumn="0" w:noHBand="0" w:noVBand="1"/>
      </w:tblPr>
      <w:tblGrid>
        <w:gridCol w:w="9026"/>
      </w:tblGrid>
      <w:tr w:rsidR="00BE2256" w:rsidRPr="00BE2256" w14:paraId="2B24B96C" w14:textId="77777777" w:rsidTr="00E335F0">
        <w:tc>
          <w:tcPr>
            <w:tcW w:w="9399" w:type="dxa"/>
            <w:shd w:val="clear" w:color="auto" w:fill="auto"/>
            <w:tcMar>
              <w:top w:w="227" w:type="dxa"/>
              <w:bottom w:w="227" w:type="dxa"/>
            </w:tcMar>
            <w:vAlign w:val="center"/>
          </w:tcPr>
          <w:p w14:paraId="1E66875B" w14:textId="77777777" w:rsidR="00BE2256" w:rsidRPr="00BE2256" w:rsidRDefault="00BE2256" w:rsidP="00BE2256">
            <w:pPr>
              <w:autoSpaceDE w:val="0"/>
              <w:autoSpaceDN w:val="0"/>
              <w:adjustRightInd w:val="0"/>
              <w:spacing w:after="0" w:line="240" w:lineRule="auto"/>
              <w:rPr>
                <w:rFonts w:ascii="Arial" w:eastAsia="Calibri" w:hAnsi="Arial" w:cs="Arial"/>
                <w:color w:val="000000"/>
                <w:sz w:val="24"/>
                <w:szCs w:val="24"/>
                <w:lang w:val="bg-BG" w:eastAsia="en-GB"/>
              </w:rPr>
            </w:pPr>
          </w:p>
          <w:p w14:paraId="5E636188" w14:textId="77777777" w:rsidR="00BE2256" w:rsidRPr="00BE2256" w:rsidRDefault="00BE2256" w:rsidP="00BE2256">
            <w:pPr>
              <w:autoSpaceDE w:val="0"/>
              <w:autoSpaceDN w:val="0"/>
              <w:adjustRightInd w:val="0"/>
              <w:spacing w:after="0" w:line="240" w:lineRule="auto"/>
              <w:rPr>
                <w:rFonts w:ascii="Arial" w:eastAsia="Calibri" w:hAnsi="Arial" w:cs="Arial"/>
                <w:color w:val="000000"/>
                <w:sz w:val="18"/>
                <w:szCs w:val="18"/>
                <w:lang w:val="bg-BG" w:eastAsia="en-GB"/>
              </w:rPr>
            </w:pPr>
            <w:r w:rsidRPr="00BE2256">
              <w:rPr>
                <w:rFonts w:ascii="Arial" w:eastAsia="Calibri" w:hAnsi="Arial" w:cs="Arial"/>
                <w:color w:val="000000"/>
                <w:sz w:val="24"/>
                <w:szCs w:val="24"/>
                <w:lang w:val="bg-BG" w:eastAsia="en-GB"/>
              </w:rPr>
              <w:t xml:space="preserve"> </w:t>
            </w:r>
            <w:r w:rsidRPr="00BE2256">
              <w:rPr>
                <w:rFonts w:ascii="Arial" w:eastAsia="Calibri" w:hAnsi="Arial" w:cs="Arial"/>
                <w:color w:val="000000"/>
                <w:sz w:val="18"/>
                <w:szCs w:val="18"/>
                <w:lang w:val="bg-BG" w:eastAsia="en-GB"/>
              </w:rPr>
              <w:t xml:space="preserve">Неофициален превод на български </w:t>
            </w:r>
          </w:p>
          <w:p w14:paraId="25A19671" w14:textId="77777777" w:rsidR="00BE2256" w:rsidRPr="00BE2256" w:rsidRDefault="00BE2256" w:rsidP="00BE2256">
            <w:pPr>
              <w:autoSpaceDE w:val="0"/>
              <w:autoSpaceDN w:val="0"/>
              <w:adjustRightInd w:val="0"/>
              <w:spacing w:after="0" w:line="240" w:lineRule="auto"/>
              <w:rPr>
                <w:rFonts w:ascii="Arial" w:eastAsia="Calibri" w:hAnsi="Arial" w:cs="Arial"/>
                <w:sz w:val="24"/>
                <w:szCs w:val="24"/>
                <w:lang w:val="bg-BG" w:eastAsia="en-GB"/>
              </w:rPr>
            </w:pPr>
          </w:p>
          <w:p w14:paraId="43154671" w14:textId="77777777" w:rsidR="00BE2256" w:rsidRPr="00BE2256" w:rsidRDefault="00BE2256" w:rsidP="00BE2256">
            <w:pPr>
              <w:autoSpaceDE w:val="0"/>
              <w:autoSpaceDN w:val="0"/>
              <w:adjustRightInd w:val="0"/>
              <w:spacing w:after="0" w:line="240" w:lineRule="auto"/>
              <w:rPr>
                <w:rFonts w:ascii="Arial" w:eastAsia="Calibri" w:hAnsi="Arial" w:cs="Arial"/>
                <w:sz w:val="16"/>
                <w:szCs w:val="16"/>
                <w:lang w:val="bg-BG" w:eastAsia="en-GB"/>
              </w:rPr>
            </w:pPr>
            <w:r w:rsidRPr="00BE2256">
              <w:rPr>
                <w:rFonts w:ascii="Arial" w:eastAsia="Calibri" w:hAnsi="Arial" w:cs="Arial"/>
                <w:sz w:val="24"/>
                <w:szCs w:val="24"/>
                <w:lang w:val="bg-BG" w:eastAsia="en-GB"/>
              </w:rPr>
              <w:t xml:space="preserve"> </w:t>
            </w:r>
            <w:proofErr w:type="spellStart"/>
            <w:r w:rsidRPr="00BE2256">
              <w:rPr>
                <w:rFonts w:ascii="Arial" w:eastAsia="Calibri" w:hAnsi="Arial" w:cs="Arial"/>
                <w:sz w:val="16"/>
                <w:szCs w:val="16"/>
                <w:lang w:val="bg-BG" w:eastAsia="en-GB"/>
              </w:rPr>
              <w:t>Website</w:t>
            </w:r>
            <w:proofErr w:type="spellEnd"/>
            <w:r w:rsidRPr="00BE2256">
              <w:rPr>
                <w:rFonts w:ascii="Arial" w:eastAsia="Calibri" w:hAnsi="Arial" w:cs="Arial"/>
                <w:sz w:val="16"/>
                <w:szCs w:val="16"/>
                <w:lang w:val="bg-BG" w:eastAsia="en-GB"/>
              </w:rPr>
              <w:t xml:space="preserve">: www.coe.int/cm </w:t>
            </w:r>
          </w:p>
          <w:p w14:paraId="223C2B47" w14:textId="77777777" w:rsidR="00BE2256" w:rsidRPr="00BE2256" w:rsidRDefault="00BE2256" w:rsidP="00BE2256">
            <w:pPr>
              <w:autoSpaceDE w:val="0"/>
              <w:autoSpaceDN w:val="0"/>
              <w:adjustRightInd w:val="0"/>
              <w:spacing w:after="0" w:line="240" w:lineRule="auto"/>
              <w:rPr>
                <w:rFonts w:ascii="Arial" w:eastAsia="Calibri" w:hAnsi="Arial" w:cs="Arial"/>
                <w:sz w:val="24"/>
                <w:szCs w:val="24"/>
                <w:lang w:val="bg-BG" w:eastAsia="en-GB"/>
              </w:rPr>
            </w:pPr>
          </w:p>
          <w:p w14:paraId="79550E8B" w14:textId="77777777" w:rsidR="00BE2256" w:rsidRPr="00BE2256" w:rsidRDefault="00BE2256" w:rsidP="00BE2256">
            <w:pPr>
              <w:autoSpaceDE w:val="0"/>
              <w:autoSpaceDN w:val="0"/>
              <w:adjustRightInd w:val="0"/>
              <w:spacing w:after="0" w:line="240" w:lineRule="auto"/>
              <w:rPr>
                <w:rFonts w:ascii="Arial" w:eastAsia="Calibri" w:hAnsi="Arial" w:cs="Arial"/>
                <w:b/>
                <w:bCs/>
                <w:sz w:val="23"/>
                <w:szCs w:val="23"/>
                <w:lang w:val="bg-BG" w:eastAsia="en-GB"/>
              </w:rPr>
            </w:pPr>
            <w:r w:rsidRPr="00BE2256">
              <w:rPr>
                <w:rFonts w:ascii="Arial" w:eastAsia="Calibri" w:hAnsi="Arial" w:cs="Arial"/>
                <w:b/>
                <w:bCs/>
                <w:sz w:val="23"/>
                <w:szCs w:val="23"/>
                <w:lang w:val="bg-BG" w:eastAsia="en-GB"/>
              </w:rPr>
              <w:t xml:space="preserve">1390-ото заседание на Комитета на министрите към Съвета на Европа, формат „Права на човека“ (1-3 декември 2020 г.) </w:t>
            </w:r>
          </w:p>
          <w:p w14:paraId="4F1BDCD6" w14:textId="77777777" w:rsidR="00BE2256" w:rsidRPr="00BE2256" w:rsidRDefault="00BE2256" w:rsidP="00BE2256">
            <w:pPr>
              <w:autoSpaceDE w:val="0"/>
              <w:autoSpaceDN w:val="0"/>
              <w:adjustRightInd w:val="0"/>
              <w:spacing w:after="0" w:line="240" w:lineRule="auto"/>
              <w:rPr>
                <w:rFonts w:ascii="Arial" w:eastAsia="Calibri" w:hAnsi="Arial" w:cs="Arial"/>
                <w:sz w:val="23"/>
                <w:szCs w:val="23"/>
                <w:lang w:val="bg-BG" w:eastAsia="en-GB"/>
              </w:rPr>
            </w:pPr>
          </w:p>
          <w:p w14:paraId="7AF3DEC5" w14:textId="77777777" w:rsidR="00BE2256" w:rsidRPr="00BE2256" w:rsidRDefault="00BE2256" w:rsidP="00BE2256">
            <w:pPr>
              <w:autoSpaceDE w:val="0"/>
              <w:autoSpaceDN w:val="0"/>
              <w:adjustRightInd w:val="0"/>
              <w:spacing w:after="0" w:line="240" w:lineRule="auto"/>
              <w:rPr>
                <w:rFonts w:ascii="Arial" w:eastAsia="Calibri" w:hAnsi="Arial" w:cs="Arial"/>
                <w:sz w:val="28"/>
                <w:szCs w:val="28"/>
                <w:lang w:val="bg-BG" w:eastAsia="en-GB"/>
              </w:rPr>
            </w:pPr>
            <w:r w:rsidRPr="00BE2256">
              <w:rPr>
                <w:rFonts w:ascii="Arial" w:eastAsia="Calibri" w:hAnsi="Arial" w:cs="Arial"/>
                <w:b/>
                <w:bCs/>
                <w:sz w:val="28"/>
                <w:szCs w:val="28"/>
                <w:lang w:val="bg-BG" w:eastAsia="en-GB"/>
              </w:rPr>
              <w:t xml:space="preserve">Група дела </w:t>
            </w:r>
            <w:r w:rsidRPr="00BE2256">
              <w:rPr>
                <w:rFonts w:ascii="Arial" w:eastAsia="Calibri" w:hAnsi="Arial" w:cs="Arial"/>
                <w:b/>
                <w:bCs/>
                <w:i/>
                <w:iCs/>
                <w:sz w:val="28"/>
                <w:szCs w:val="28"/>
                <w:lang w:val="bg-BG" w:eastAsia="en-GB"/>
              </w:rPr>
              <w:t>„Йорданова и други“</w:t>
            </w:r>
            <w:r w:rsidRPr="00BE2256">
              <w:rPr>
                <w:rFonts w:ascii="Arial" w:eastAsia="Calibri" w:hAnsi="Arial" w:cs="Arial"/>
                <w:b/>
                <w:bCs/>
                <w:sz w:val="28"/>
                <w:szCs w:val="28"/>
                <w:lang w:val="bg-BG" w:eastAsia="en-GB"/>
              </w:rPr>
              <w:t xml:space="preserve"> срещу България </w:t>
            </w:r>
          </w:p>
          <w:p w14:paraId="78B63462" w14:textId="77777777" w:rsidR="00BE2256" w:rsidRPr="00BE2256" w:rsidRDefault="00BE2256" w:rsidP="00BE2256">
            <w:pPr>
              <w:autoSpaceDE w:val="0"/>
              <w:autoSpaceDN w:val="0"/>
              <w:adjustRightInd w:val="0"/>
              <w:spacing w:after="0" w:line="240" w:lineRule="auto"/>
              <w:rPr>
                <w:rFonts w:ascii="Arial" w:eastAsia="Calibri" w:hAnsi="Arial" w:cs="Arial"/>
                <w:sz w:val="23"/>
                <w:szCs w:val="23"/>
                <w:lang w:val="bg-BG" w:eastAsia="en-GB"/>
              </w:rPr>
            </w:pPr>
            <w:r w:rsidRPr="00BE2256">
              <w:rPr>
                <w:rFonts w:ascii="Arial" w:eastAsia="Calibri" w:hAnsi="Arial" w:cs="Arial"/>
                <w:sz w:val="23"/>
                <w:szCs w:val="23"/>
                <w:lang w:val="bg-BG" w:eastAsia="en-GB"/>
              </w:rPr>
              <w:t xml:space="preserve">Наблюдение на изпълнението на решенията на Европейския съд </w:t>
            </w:r>
          </w:p>
          <w:p w14:paraId="01048785" w14:textId="77777777" w:rsidR="00BE2256" w:rsidRPr="00BE2256" w:rsidRDefault="00BE2256" w:rsidP="00BE2256">
            <w:pPr>
              <w:autoSpaceDE w:val="0"/>
              <w:autoSpaceDN w:val="0"/>
              <w:adjustRightInd w:val="0"/>
              <w:spacing w:after="0" w:line="240" w:lineRule="auto"/>
              <w:rPr>
                <w:rFonts w:ascii="Arial" w:eastAsia="Calibri" w:hAnsi="Arial" w:cs="Arial"/>
                <w:sz w:val="23"/>
                <w:szCs w:val="23"/>
                <w:lang w:val="bg-BG" w:eastAsia="en-GB"/>
              </w:rPr>
            </w:pPr>
          </w:p>
          <w:p w14:paraId="25CFACCB" w14:textId="77777777" w:rsidR="00BE2256" w:rsidRPr="00BE2256" w:rsidRDefault="00BE2256" w:rsidP="00BE2256">
            <w:pPr>
              <w:spacing w:after="0" w:line="240" w:lineRule="auto"/>
              <w:rPr>
                <w:rFonts w:ascii="Arial" w:eastAsia="Calibri" w:hAnsi="Arial" w:cs="Arial"/>
                <w:b/>
                <w:sz w:val="20"/>
                <w:szCs w:val="20"/>
                <w:lang w:val="bg-BG"/>
              </w:rPr>
            </w:pPr>
            <w:r w:rsidRPr="00BE2256">
              <w:rPr>
                <w:rFonts w:ascii="Arial" w:eastAsia="Calibri" w:hAnsi="Arial" w:cs="Arial"/>
                <w:sz w:val="20"/>
                <w:szCs w:val="20"/>
                <w:lang w:val="bg-BG"/>
              </w:rPr>
              <w:t>Относими документи : DH-DD(2020)932-rev, DH-DD(2020)938, CM/</w:t>
            </w:r>
            <w:proofErr w:type="spellStart"/>
            <w:r w:rsidRPr="00BE2256">
              <w:rPr>
                <w:rFonts w:ascii="Arial" w:eastAsia="Calibri" w:hAnsi="Arial" w:cs="Arial"/>
                <w:sz w:val="20"/>
                <w:szCs w:val="20"/>
                <w:lang w:val="bg-BG"/>
              </w:rPr>
              <w:t>Del</w:t>
            </w:r>
            <w:proofErr w:type="spellEnd"/>
            <w:r w:rsidRPr="00BE2256">
              <w:rPr>
                <w:rFonts w:ascii="Arial" w:eastAsia="Calibri" w:hAnsi="Arial" w:cs="Arial"/>
                <w:sz w:val="20"/>
                <w:szCs w:val="20"/>
                <w:lang w:val="bg-BG"/>
              </w:rPr>
              <w:t>/</w:t>
            </w:r>
            <w:proofErr w:type="spellStart"/>
            <w:r w:rsidRPr="00BE2256">
              <w:rPr>
                <w:rFonts w:ascii="Arial" w:eastAsia="Calibri" w:hAnsi="Arial" w:cs="Arial"/>
                <w:sz w:val="20"/>
                <w:szCs w:val="20"/>
                <w:lang w:val="bg-BG"/>
              </w:rPr>
              <w:t>Dec</w:t>
            </w:r>
            <w:proofErr w:type="spellEnd"/>
            <w:r w:rsidRPr="00BE2256">
              <w:rPr>
                <w:rFonts w:ascii="Arial" w:eastAsia="Calibri" w:hAnsi="Arial" w:cs="Arial"/>
                <w:sz w:val="20"/>
                <w:szCs w:val="20"/>
                <w:lang w:val="bg-BG"/>
              </w:rPr>
              <w:t>(2020)1369/H46-9</w:t>
            </w:r>
          </w:p>
        </w:tc>
      </w:tr>
    </w:tbl>
    <w:p w14:paraId="3AEA22C3" w14:textId="77777777" w:rsidR="00BE2256" w:rsidRPr="00BE2256" w:rsidRDefault="00BE2256" w:rsidP="00BE2256">
      <w:pPr>
        <w:spacing w:after="0" w:line="240" w:lineRule="auto"/>
        <w:rPr>
          <w:rFonts w:ascii="Arial" w:eastAsia="Calibri" w:hAnsi="Arial" w:cs="Arial"/>
          <w:sz w:val="20"/>
          <w:lang w:val="bg-BG"/>
        </w:rPr>
      </w:pPr>
      <w:r w:rsidRPr="00BE2256">
        <w:rPr>
          <w:rFonts w:ascii="Arial" w:eastAsia="Times New Roman" w:hAnsi="Arial" w:cs="Arial"/>
          <w:sz w:val="20"/>
          <w:szCs w:val="24"/>
          <w:lang w:val="bg-BG"/>
        </w:rPr>
        <w:t xml:space="preserve"> </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3796"/>
        <w:gridCol w:w="1356"/>
        <w:gridCol w:w="1394"/>
        <w:gridCol w:w="1663"/>
      </w:tblGrid>
      <w:tr w:rsidR="00BE2256" w:rsidRPr="00BE2256" w14:paraId="60A5841E" w14:textId="77777777" w:rsidTr="00E335F0">
        <w:tc>
          <w:tcPr>
            <w:tcW w:w="1285" w:type="dxa"/>
            <w:tcBorders>
              <w:top w:val="single" w:sz="4" w:space="0" w:color="auto"/>
              <w:left w:val="single" w:sz="4" w:space="0" w:color="auto"/>
              <w:bottom w:val="single" w:sz="4" w:space="0" w:color="auto"/>
              <w:right w:val="single" w:sz="4" w:space="0" w:color="auto"/>
            </w:tcBorders>
            <w:hideMark/>
          </w:tcPr>
          <w:p w14:paraId="43446FB7" w14:textId="77777777" w:rsidR="00BE2256" w:rsidRPr="00BE2256" w:rsidRDefault="00BE2256" w:rsidP="00BE2256">
            <w:pPr>
              <w:spacing w:after="0" w:line="240" w:lineRule="auto"/>
              <w:rPr>
                <w:rFonts w:ascii="Arial" w:eastAsia="Calibri" w:hAnsi="Arial" w:cs="Arial"/>
                <w:b/>
                <w:bCs/>
                <w:sz w:val="18"/>
                <w:szCs w:val="18"/>
                <w:lang w:val="bg-BG"/>
              </w:rPr>
            </w:pPr>
            <w:r w:rsidRPr="00BE2256">
              <w:rPr>
                <w:rFonts w:ascii="Arial" w:eastAsia="Calibri" w:hAnsi="Arial" w:cs="Arial"/>
                <w:b/>
                <w:bCs/>
                <w:sz w:val="18"/>
                <w:szCs w:val="18"/>
                <w:lang w:val="bg-BG"/>
              </w:rPr>
              <w:t>Жалба</w:t>
            </w:r>
          </w:p>
        </w:tc>
        <w:tc>
          <w:tcPr>
            <w:tcW w:w="3795" w:type="dxa"/>
            <w:tcBorders>
              <w:top w:val="single" w:sz="4" w:space="0" w:color="auto"/>
              <w:left w:val="single" w:sz="4" w:space="0" w:color="auto"/>
              <w:bottom w:val="single" w:sz="4" w:space="0" w:color="auto"/>
              <w:right w:val="single" w:sz="4" w:space="0" w:color="auto"/>
            </w:tcBorders>
            <w:hideMark/>
          </w:tcPr>
          <w:p w14:paraId="337E8B9C" w14:textId="77777777" w:rsidR="00BE2256" w:rsidRPr="00BE2256" w:rsidRDefault="00BE2256" w:rsidP="00BE2256">
            <w:pPr>
              <w:spacing w:after="0" w:line="240" w:lineRule="auto"/>
              <w:rPr>
                <w:rFonts w:ascii="Arial" w:eastAsia="Calibri" w:hAnsi="Arial" w:cs="Arial"/>
                <w:b/>
                <w:bCs/>
                <w:sz w:val="18"/>
                <w:szCs w:val="18"/>
                <w:lang w:val="bg-BG"/>
              </w:rPr>
            </w:pPr>
            <w:r w:rsidRPr="00BE2256">
              <w:rPr>
                <w:rFonts w:ascii="Arial" w:eastAsia="Calibri" w:hAnsi="Arial" w:cs="Arial"/>
                <w:b/>
                <w:bCs/>
                <w:sz w:val="18"/>
                <w:szCs w:val="18"/>
                <w:lang w:val="bg-BG"/>
              </w:rPr>
              <w:t>Дело</w:t>
            </w:r>
          </w:p>
        </w:tc>
        <w:tc>
          <w:tcPr>
            <w:tcW w:w="1356" w:type="dxa"/>
            <w:tcBorders>
              <w:top w:val="single" w:sz="4" w:space="0" w:color="auto"/>
              <w:left w:val="single" w:sz="4" w:space="0" w:color="auto"/>
              <w:bottom w:val="single" w:sz="4" w:space="0" w:color="auto"/>
              <w:right w:val="single" w:sz="4" w:space="0" w:color="auto"/>
            </w:tcBorders>
            <w:hideMark/>
          </w:tcPr>
          <w:p w14:paraId="18BEA821" w14:textId="77777777" w:rsidR="00BE2256" w:rsidRPr="00BE2256" w:rsidRDefault="00BE2256" w:rsidP="00BE2256">
            <w:pPr>
              <w:spacing w:after="0" w:line="240" w:lineRule="auto"/>
              <w:rPr>
                <w:rFonts w:ascii="Arial" w:eastAsia="Calibri" w:hAnsi="Arial" w:cs="Arial"/>
                <w:b/>
                <w:bCs/>
                <w:sz w:val="18"/>
                <w:szCs w:val="18"/>
                <w:lang w:val="bg-BG"/>
              </w:rPr>
            </w:pPr>
            <w:r w:rsidRPr="00BE2256">
              <w:rPr>
                <w:rFonts w:ascii="Arial" w:eastAsia="Calibri" w:hAnsi="Arial" w:cs="Arial"/>
                <w:b/>
                <w:bCs/>
                <w:sz w:val="18"/>
                <w:szCs w:val="18"/>
                <w:lang w:val="bg-BG"/>
              </w:rPr>
              <w:t>Решение от</w:t>
            </w:r>
          </w:p>
        </w:tc>
        <w:tc>
          <w:tcPr>
            <w:tcW w:w="1394" w:type="dxa"/>
            <w:tcBorders>
              <w:top w:val="single" w:sz="4" w:space="0" w:color="auto"/>
              <w:left w:val="single" w:sz="4" w:space="0" w:color="auto"/>
              <w:bottom w:val="single" w:sz="4" w:space="0" w:color="auto"/>
              <w:right w:val="single" w:sz="4" w:space="0" w:color="auto"/>
            </w:tcBorders>
            <w:hideMark/>
          </w:tcPr>
          <w:p w14:paraId="6544C643" w14:textId="77777777" w:rsidR="00BE2256" w:rsidRPr="00BE2256" w:rsidRDefault="00BE2256" w:rsidP="00BE2256">
            <w:pPr>
              <w:spacing w:after="0" w:line="240" w:lineRule="auto"/>
              <w:rPr>
                <w:rFonts w:ascii="Arial" w:eastAsia="Calibri" w:hAnsi="Arial" w:cs="Arial"/>
                <w:b/>
                <w:bCs/>
                <w:sz w:val="18"/>
                <w:szCs w:val="18"/>
                <w:lang w:val="bg-BG"/>
              </w:rPr>
            </w:pPr>
            <w:r w:rsidRPr="00BE2256">
              <w:rPr>
                <w:rFonts w:ascii="Arial" w:eastAsia="Calibri" w:hAnsi="Arial" w:cs="Arial"/>
                <w:b/>
                <w:bCs/>
                <w:sz w:val="18"/>
                <w:szCs w:val="18"/>
                <w:lang w:val="bg-BG"/>
              </w:rPr>
              <w:t>Окончателно на</w:t>
            </w:r>
          </w:p>
        </w:tc>
        <w:tc>
          <w:tcPr>
            <w:tcW w:w="1663" w:type="dxa"/>
            <w:tcBorders>
              <w:top w:val="single" w:sz="4" w:space="0" w:color="auto"/>
              <w:left w:val="single" w:sz="4" w:space="0" w:color="auto"/>
              <w:bottom w:val="single" w:sz="4" w:space="0" w:color="auto"/>
              <w:right w:val="single" w:sz="4" w:space="0" w:color="auto"/>
            </w:tcBorders>
            <w:hideMark/>
          </w:tcPr>
          <w:p w14:paraId="1A76F519" w14:textId="77777777" w:rsidR="00BE2256" w:rsidRPr="00BE2256" w:rsidRDefault="00BE2256" w:rsidP="00BE2256">
            <w:pPr>
              <w:spacing w:after="0" w:line="240" w:lineRule="auto"/>
              <w:rPr>
                <w:rFonts w:ascii="Arial" w:eastAsia="Calibri" w:hAnsi="Arial" w:cs="Arial"/>
                <w:b/>
                <w:bCs/>
                <w:sz w:val="18"/>
                <w:szCs w:val="18"/>
                <w:lang w:val="bg-BG"/>
              </w:rPr>
            </w:pPr>
            <w:r w:rsidRPr="00BE2256">
              <w:rPr>
                <w:rFonts w:ascii="Arial" w:eastAsia="Calibri" w:hAnsi="Arial" w:cs="Arial"/>
                <w:b/>
                <w:bCs/>
                <w:sz w:val="18"/>
                <w:szCs w:val="18"/>
                <w:lang w:val="bg-BG"/>
              </w:rPr>
              <w:t>Индикатор за класификация</w:t>
            </w:r>
          </w:p>
        </w:tc>
      </w:tr>
      <w:tr w:rsidR="00BE2256" w:rsidRPr="00BE2256" w14:paraId="4814636C" w14:textId="77777777" w:rsidTr="00E335F0">
        <w:tc>
          <w:tcPr>
            <w:tcW w:w="1285" w:type="dxa"/>
            <w:tcBorders>
              <w:top w:val="single" w:sz="4" w:space="0" w:color="auto"/>
              <w:left w:val="single" w:sz="4" w:space="0" w:color="auto"/>
              <w:bottom w:val="single" w:sz="4" w:space="0" w:color="auto"/>
              <w:right w:val="single" w:sz="4" w:space="0" w:color="auto"/>
            </w:tcBorders>
            <w:hideMark/>
          </w:tcPr>
          <w:p w14:paraId="48CA4A0A" w14:textId="77777777" w:rsidR="00BE2256" w:rsidRPr="00BE2256" w:rsidRDefault="00BE2256" w:rsidP="00BE2256">
            <w:pPr>
              <w:spacing w:after="0" w:line="240" w:lineRule="auto"/>
              <w:rPr>
                <w:rFonts w:ascii="Arial" w:eastAsia="Calibri" w:hAnsi="Arial" w:cs="Arial"/>
                <w:sz w:val="18"/>
                <w:szCs w:val="18"/>
                <w:lang w:val="bg-BG"/>
              </w:rPr>
            </w:pPr>
            <w:r w:rsidRPr="00BE2256">
              <w:rPr>
                <w:rFonts w:ascii="Arial" w:eastAsia="Calibri" w:hAnsi="Arial" w:cs="Arial"/>
                <w:sz w:val="18"/>
                <w:szCs w:val="18"/>
                <w:lang w:val="bg-BG"/>
              </w:rPr>
              <w:t>25446/06</w:t>
            </w:r>
          </w:p>
        </w:tc>
        <w:tc>
          <w:tcPr>
            <w:tcW w:w="3795" w:type="dxa"/>
            <w:tcBorders>
              <w:top w:val="single" w:sz="4" w:space="0" w:color="auto"/>
              <w:left w:val="single" w:sz="4" w:space="0" w:color="auto"/>
              <w:bottom w:val="single" w:sz="4" w:space="0" w:color="auto"/>
              <w:right w:val="single" w:sz="4" w:space="0" w:color="auto"/>
            </w:tcBorders>
            <w:hideMark/>
          </w:tcPr>
          <w:p w14:paraId="138744FE" w14:textId="77777777" w:rsidR="00BE2256" w:rsidRPr="00BE2256" w:rsidRDefault="00BE2256" w:rsidP="00BE2256">
            <w:pPr>
              <w:spacing w:after="0" w:line="240" w:lineRule="auto"/>
              <w:rPr>
                <w:rFonts w:ascii="Arial" w:eastAsia="Calibri" w:hAnsi="Arial" w:cs="Arial"/>
                <w:sz w:val="18"/>
                <w:szCs w:val="18"/>
                <w:lang w:val="bg-BG"/>
              </w:rPr>
            </w:pPr>
            <w:r w:rsidRPr="00BE2256">
              <w:rPr>
                <w:rFonts w:ascii="Arial" w:eastAsia="Calibri" w:hAnsi="Arial" w:cs="Arial"/>
                <w:sz w:val="18"/>
                <w:szCs w:val="18"/>
                <w:lang w:val="bg-BG"/>
              </w:rPr>
              <w:t xml:space="preserve">Йорданова и други </w:t>
            </w:r>
          </w:p>
        </w:tc>
        <w:tc>
          <w:tcPr>
            <w:tcW w:w="1356" w:type="dxa"/>
            <w:tcBorders>
              <w:top w:val="single" w:sz="4" w:space="0" w:color="auto"/>
              <w:left w:val="single" w:sz="4" w:space="0" w:color="auto"/>
              <w:bottom w:val="single" w:sz="4" w:space="0" w:color="auto"/>
              <w:right w:val="single" w:sz="4" w:space="0" w:color="auto"/>
            </w:tcBorders>
            <w:hideMark/>
          </w:tcPr>
          <w:p w14:paraId="476E7234" w14:textId="77777777" w:rsidR="00BE2256" w:rsidRPr="00BE2256" w:rsidRDefault="00BE2256" w:rsidP="00BE2256">
            <w:pPr>
              <w:spacing w:after="0" w:line="240" w:lineRule="auto"/>
              <w:rPr>
                <w:rFonts w:ascii="Arial" w:eastAsia="Calibri" w:hAnsi="Arial" w:cs="Arial"/>
                <w:sz w:val="18"/>
                <w:szCs w:val="18"/>
                <w:lang w:val="bg-BG"/>
              </w:rPr>
            </w:pPr>
            <w:r w:rsidRPr="00BE2256">
              <w:rPr>
                <w:rFonts w:ascii="Arial" w:eastAsia="Calibri" w:hAnsi="Arial" w:cs="Arial"/>
                <w:sz w:val="18"/>
                <w:szCs w:val="18"/>
                <w:lang w:val="bg-BG"/>
              </w:rPr>
              <w:t>24/04/2012</w:t>
            </w:r>
          </w:p>
        </w:tc>
        <w:tc>
          <w:tcPr>
            <w:tcW w:w="1394" w:type="dxa"/>
            <w:tcBorders>
              <w:top w:val="single" w:sz="4" w:space="0" w:color="auto"/>
              <w:left w:val="single" w:sz="4" w:space="0" w:color="auto"/>
              <w:bottom w:val="single" w:sz="4" w:space="0" w:color="auto"/>
              <w:right w:val="single" w:sz="4" w:space="0" w:color="auto"/>
            </w:tcBorders>
            <w:hideMark/>
          </w:tcPr>
          <w:p w14:paraId="73201BFD" w14:textId="77777777" w:rsidR="00BE2256" w:rsidRPr="00BE2256" w:rsidRDefault="00BE2256" w:rsidP="00BE2256">
            <w:pPr>
              <w:spacing w:after="0" w:line="240" w:lineRule="auto"/>
              <w:rPr>
                <w:rFonts w:ascii="Arial" w:eastAsia="Calibri" w:hAnsi="Arial" w:cs="Arial"/>
                <w:sz w:val="18"/>
                <w:szCs w:val="18"/>
                <w:lang w:val="bg-BG"/>
              </w:rPr>
            </w:pPr>
            <w:r w:rsidRPr="00BE2256">
              <w:rPr>
                <w:rFonts w:ascii="Arial" w:eastAsia="Calibri" w:hAnsi="Arial" w:cs="Arial"/>
                <w:sz w:val="18"/>
                <w:szCs w:val="18"/>
                <w:lang w:val="bg-BG"/>
              </w:rPr>
              <w:t>24/09/2012</w:t>
            </w:r>
          </w:p>
        </w:tc>
        <w:tc>
          <w:tcPr>
            <w:tcW w:w="1663" w:type="dxa"/>
            <w:vMerge w:val="restart"/>
            <w:tcBorders>
              <w:top w:val="single" w:sz="4" w:space="0" w:color="auto"/>
              <w:left w:val="single" w:sz="4" w:space="0" w:color="auto"/>
              <w:bottom w:val="single" w:sz="4" w:space="0" w:color="auto"/>
              <w:right w:val="single" w:sz="4" w:space="0" w:color="auto"/>
            </w:tcBorders>
            <w:hideMark/>
          </w:tcPr>
          <w:p w14:paraId="31DEB6B7" w14:textId="77777777" w:rsidR="00BE2256" w:rsidRPr="00BE2256" w:rsidRDefault="00BE2256" w:rsidP="00BE2256">
            <w:pPr>
              <w:spacing w:after="0" w:line="240" w:lineRule="auto"/>
              <w:rPr>
                <w:rFonts w:ascii="Arial" w:eastAsia="Calibri" w:hAnsi="Arial" w:cs="Arial"/>
                <w:sz w:val="18"/>
                <w:szCs w:val="18"/>
                <w:lang w:val="bg-BG"/>
              </w:rPr>
            </w:pPr>
            <w:r w:rsidRPr="00BE2256">
              <w:rPr>
                <w:rFonts w:ascii="Arial" w:eastAsia="Calibri" w:hAnsi="Arial" w:cs="Arial"/>
                <w:sz w:val="18"/>
                <w:szCs w:val="18"/>
                <w:lang w:val="bg-BG"/>
              </w:rPr>
              <w:t>Сложен проблем</w:t>
            </w:r>
          </w:p>
        </w:tc>
      </w:tr>
      <w:tr w:rsidR="00BE2256" w:rsidRPr="00BE2256" w14:paraId="78F47266" w14:textId="77777777" w:rsidTr="00E335F0">
        <w:tc>
          <w:tcPr>
            <w:tcW w:w="1285" w:type="dxa"/>
            <w:tcBorders>
              <w:top w:val="single" w:sz="4" w:space="0" w:color="auto"/>
              <w:left w:val="single" w:sz="4" w:space="0" w:color="auto"/>
              <w:bottom w:val="single" w:sz="4" w:space="0" w:color="auto"/>
              <w:right w:val="single" w:sz="4" w:space="0" w:color="auto"/>
            </w:tcBorders>
            <w:hideMark/>
          </w:tcPr>
          <w:p w14:paraId="5136F103" w14:textId="77777777" w:rsidR="00BE2256" w:rsidRPr="00BE2256" w:rsidRDefault="00BE2256" w:rsidP="00BE2256">
            <w:pPr>
              <w:spacing w:after="0" w:line="240" w:lineRule="auto"/>
              <w:rPr>
                <w:rFonts w:ascii="Arial" w:eastAsia="Calibri" w:hAnsi="Arial" w:cs="Arial"/>
                <w:sz w:val="18"/>
                <w:szCs w:val="18"/>
                <w:lang w:val="bg-BG"/>
              </w:rPr>
            </w:pPr>
            <w:r w:rsidRPr="00BE2256">
              <w:rPr>
                <w:rFonts w:ascii="Arial" w:eastAsia="Calibri" w:hAnsi="Arial" w:cs="Arial"/>
                <w:sz w:val="18"/>
                <w:szCs w:val="18"/>
                <w:lang w:val="bg-BG"/>
              </w:rPr>
              <w:t>46577/15</w:t>
            </w:r>
          </w:p>
        </w:tc>
        <w:tc>
          <w:tcPr>
            <w:tcW w:w="3795" w:type="dxa"/>
            <w:tcBorders>
              <w:top w:val="single" w:sz="4" w:space="0" w:color="auto"/>
              <w:left w:val="single" w:sz="4" w:space="0" w:color="auto"/>
              <w:bottom w:val="single" w:sz="4" w:space="0" w:color="auto"/>
              <w:right w:val="single" w:sz="4" w:space="0" w:color="auto"/>
            </w:tcBorders>
            <w:hideMark/>
          </w:tcPr>
          <w:p w14:paraId="43C8E492" w14:textId="77777777" w:rsidR="00BE2256" w:rsidRPr="00BE2256" w:rsidRDefault="00BE2256" w:rsidP="00BE2256">
            <w:pPr>
              <w:spacing w:after="0" w:line="240" w:lineRule="auto"/>
              <w:rPr>
                <w:rFonts w:ascii="Arial" w:eastAsia="Calibri" w:hAnsi="Arial" w:cs="Arial"/>
                <w:sz w:val="18"/>
                <w:szCs w:val="18"/>
                <w:lang w:val="bg-BG"/>
              </w:rPr>
            </w:pPr>
            <w:r w:rsidRPr="00BE2256">
              <w:rPr>
                <w:rFonts w:ascii="Arial" w:eastAsia="Calibri" w:hAnsi="Arial" w:cs="Arial"/>
                <w:sz w:val="18"/>
                <w:szCs w:val="18"/>
                <w:lang w:val="bg-BG"/>
              </w:rPr>
              <w:t>Иванова и Черкезов</w:t>
            </w:r>
          </w:p>
        </w:tc>
        <w:tc>
          <w:tcPr>
            <w:tcW w:w="1356" w:type="dxa"/>
            <w:tcBorders>
              <w:top w:val="single" w:sz="4" w:space="0" w:color="auto"/>
              <w:left w:val="single" w:sz="4" w:space="0" w:color="auto"/>
              <w:bottom w:val="single" w:sz="4" w:space="0" w:color="auto"/>
              <w:right w:val="single" w:sz="4" w:space="0" w:color="auto"/>
            </w:tcBorders>
            <w:hideMark/>
          </w:tcPr>
          <w:p w14:paraId="0CF57EC6" w14:textId="77777777" w:rsidR="00BE2256" w:rsidRPr="00BE2256" w:rsidRDefault="00BE2256" w:rsidP="00BE2256">
            <w:pPr>
              <w:spacing w:after="0" w:line="240" w:lineRule="auto"/>
              <w:rPr>
                <w:rFonts w:ascii="Arial" w:eastAsia="Calibri" w:hAnsi="Arial" w:cs="Arial"/>
                <w:sz w:val="18"/>
                <w:szCs w:val="18"/>
                <w:lang w:val="bg-BG"/>
              </w:rPr>
            </w:pPr>
            <w:r w:rsidRPr="00BE2256">
              <w:rPr>
                <w:rFonts w:ascii="Arial" w:eastAsia="Calibri" w:hAnsi="Arial" w:cs="Arial"/>
                <w:sz w:val="18"/>
                <w:szCs w:val="18"/>
                <w:lang w:val="bg-BG"/>
              </w:rPr>
              <w:t>21/04/2016</w:t>
            </w:r>
          </w:p>
        </w:tc>
        <w:tc>
          <w:tcPr>
            <w:tcW w:w="1394" w:type="dxa"/>
            <w:tcBorders>
              <w:top w:val="single" w:sz="4" w:space="0" w:color="auto"/>
              <w:left w:val="single" w:sz="4" w:space="0" w:color="auto"/>
              <w:bottom w:val="single" w:sz="4" w:space="0" w:color="auto"/>
              <w:right w:val="single" w:sz="4" w:space="0" w:color="auto"/>
            </w:tcBorders>
            <w:hideMark/>
          </w:tcPr>
          <w:p w14:paraId="410D1B37" w14:textId="77777777" w:rsidR="00BE2256" w:rsidRPr="00BE2256" w:rsidRDefault="00BE2256" w:rsidP="00BE2256">
            <w:pPr>
              <w:spacing w:after="0" w:line="240" w:lineRule="auto"/>
              <w:rPr>
                <w:rFonts w:ascii="Arial" w:eastAsia="Calibri" w:hAnsi="Arial" w:cs="Arial"/>
                <w:sz w:val="18"/>
                <w:szCs w:val="18"/>
                <w:lang w:val="bg-BG"/>
              </w:rPr>
            </w:pPr>
            <w:r w:rsidRPr="00BE2256">
              <w:rPr>
                <w:rFonts w:ascii="Arial" w:eastAsia="Calibri" w:hAnsi="Arial" w:cs="Arial"/>
                <w:sz w:val="18"/>
                <w:szCs w:val="18"/>
                <w:lang w:val="bg-BG"/>
              </w:rPr>
              <w:t>21/07/2016</w:t>
            </w: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2ED9EA0B" w14:textId="77777777" w:rsidR="00BE2256" w:rsidRPr="00BE2256" w:rsidRDefault="00BE2256" w:rsidP="00BE2256">
            <w:pPr>
              <w:spacing w:after="0" w:line="240" w:lineRule="auto"/>
              <w:rPr>
                <w:rFonts w:ascii="Arial" w:eastAsia="Calibri" w:hAnsi="Arial" w:cs="Arial"/>
                <w:sz w:val="18"/>
                <w:szCs w:val="18"/>
                <w:lang w:val="bg-BG"/>
              </w:rPr>
            </w:pPr>
          </w:p>
        </w:tc>
      </w:tr>
    </w:tbl>
    <w:p w14:paraId="54D59B0E" w14:textId="77777777" w:rsidR="00BE2256" w:rsidRPr="00BE2256" w:rsidRDefault="00BE2256" w:rsidP="00BE2256">
      <w:pPr>
        <w:spacing w:after="0" w:line="240" w:lineRule="auto"/>
        <w:rPr>
          <w:rFonts w:ascii="Arial" w:eastAsia="Times New Roman" w:hAnsi="Arial" w:cs="Arial"/>
          <w:b/>
          <w:bCs/>
          <w:sz w:val="20"/>
          <w:szCs w:val="24"/>
          <w:lang w:val="bg-BG"/>
        </w:rPr>
      </w:pPr>
    </w:p>
    <w:p w14:paraId="21AA466C" w14:textId="77777777" w:rsidR="00BE2256" w:rsidRPr="00BE2256" w:rsidRDefault="00BE2256" w:rsidP="00BE2256">
      <w:pPr>
        <w:spacing w:after="0" w:line="240" w:lineRule="auto"/>
        <w:rPr>
          <w:rFonts w:ascii="Arial" w:eastAsia="Calibri" w:hAnsi="Arial" w:cs="Arial"/>
          <w:b/>
          <w:bCs/>
          <w:sz w:val="20"/>
        </w:rPr>
      </w:pPr>
    </w:p>
    <w:p w14:paraId="1C5C6B03" w14:textId="77777777" w:rsidR="00BE2256" w:rsidRPr="00BE2256" w:rsidRDefault="00BE2256" w:rsidP="00BE2256">
      <w:pPr>
        <w:spacing w:after="0" w:line="240" w:lineRule="auto"/>
        <w:rPr>
          <w:rFonts w:ascii="Arial" w:eastAsia="Calibri" w:hAnsi="Arial" w:cs="Arial"/>
          <w:b/>
          <w:bCs/>
          <w:sz w:val="20"/>
          <w:lang w:val="bg-BG"/>
        </w:rPr>
      </w:pPr>
      <w:r w:rsidRPr="00BE2256">
        <w:rPr>
          <w:rFonts w:ascii="Arial" w:eastAsia="Calibri" w:hAnsi="Arial" w:cs="Arial"/>
          <w:b/>
          <w:bCs/>
          <w:sz w:val="20"/>
          <w:lang w:val="bg-BG"/>
        </w:rPr>
        <w:t>Описание на делата</w:t>
      </w:r>
    </w:p>
    <w:p w14:paraId="20821A66" w14:textId="77777777" w:rsidR="00BE2256" w:rsidRPr="00BE2256" w:rsidRDefault="00BE2256" w:rsidP="00BE2256">
      <w:pPr>
        <w:spacing w:after="0" w:line="240" w:lineRule="auto"/>
        <w:rPr>
          <w:rFonts w:ascii="Arial" w:eastAsia="Calibri" w:hAnsi="Arial" w:cs="Arial"/>
          <w:bCs/>
          <w:sz w:val="20"/>
          <w:szCs w:val="20"/>
          <w:lang w:val="bg-BG"/>
        </w:rPr>
      </w:pPr>
    </w:p>
    <w:p w14:paraId="3A3B7965" w14:textId="77777777" w:rsidR="00BE2256" w:rsidRPr="00BE2256" w:rsidRDefault="00BE2256" w:rsidP="00BE2256">
      <w:pPr>
        <w:spacing w:after="0" w:line="240" w:lineRule="auto"/>
        <w:rPr>
          <w:rFonts w:ascii="Arial" w:eastAsia="Calibri" w:hAnsi="Arial" w:cs="Arial"/>
          <w:bCs/>
          <w:sz w:val="20"/>
          <w:szCs w:val="20"/>
          <w:lang w:val="bg-BG"/>
        </w:rPr>
      </w:pPr>
      <w:r w:rsidRPr="00BE2256">
        <w:rPr>
          <w:rFonts w:ascii="Arial" w:eastAsia="Calibri" w:hAnsi="Arial" w:cs="Arial"/>
          <w:bCs/>
          <w:sz w:val="20"/>
          <w:szCs w:val="20"/>
          <w:lang w:val="bg-BG"/>
        </w:rPr>
        <w:t xml:space="preserve">Тази група дела се отнася до намеса в правото на жалбоподателите на неприкосновеност на жилището или на личния и семейния им живот в резултат на заповеди за </w:t>
      </w:r>
      <w:r w:rsidRPr="00BE2256">
        <w:rPr>
          <w:rFonts w:ascii="Arial" w:eastAsia="Calibri" w:hAnsi="Arial" w:cs="Arial"/>
          <w:sz w:val="20"/>
          <w:lang w:val="bg-BG"/>
        </w:rPr>
        <w:t xml:space="preserve">изземване [на публичен имот] </w:t>
      </w:r>
      <w:r w:rsidRPr="00BE2256">
        <w:rPr>
          <w:rFonts w:ascii="Arial" w:eastAsia="Calibri" w:hAnsi="Arial" w:cs="Arial"/>
          <w:bCs/>
          <w:sz w:val="20"/>
          <w:szCs w:val="20"/>
          <w:lang w:val="bg-BG"/>
        </w:rPr>
        <w:t xml:space="preserve"> или </w:t>
      </w:r>
      <w:r w:rsidRPr="00BE2256">
        <w:rPr>
          <w:rFonts w:ascii="Arial" w:eastAsia="Calibri" w:hAnsi="Arial" w:cs="Arial"/>
          <w:sz w:val="20"/>
          <w:lang w:val="bg-BG"/>
        </w:rPr>
        <w:t>за премахване [на незаконен строеж]</w:t>
      </w:r>
      <w:r w:rsidRPr="00BE2256">
        <w:rPr>
          <w:rFonts w:ascii="Arial" w:eastAsia="Calibri" w:hAnsi="Arial" w:cs="Arial"/>
          <w:bCs/>
          <w:sz w:val="20"/>
          <w:szCs w:val="20"/>
          <w:lang w:val="bg-BG"/>
        </w:rPr>
        <w:t>, издадени и подложени на съдебен контрол в съответствие с вътрешна правна уредба, която не е изисквала никаква преценка за пропорционалност (потенциални нарушения на чл. 8). Делото „</w:t>
      </w:r>
      <w:r w:rsidRPr="00BE2256">
        <w:rPr>
          <w:rFonts w:ascii="Arial" w:eastAsia="Calibri" w:hAnsi="Arial" w:cs="Arial"/>
          <w:bCs/>
          <w:i/>
          <w:iCs/>
          <w:sz w:val="20"/>
          <w:szCs w:val="20"/>
          <w:lang w:val="bg-BG"/>
        </w:rPr>
        <w:t>Йорданова и други</w:t>
      </w:r>
      <w:r w:rsidRPr="00BE2256">
        <w:rPr>
          <w:rFonts w:ascii="Arial" w:eastAsia="Calibri" w:hAnsi="Arial" w:cs="Arial"/>
          <w:bCs/>
          <w:sz w:val="20"/>
          <w:szCs w:val="20"/>
          <w:lang w:val="bg-BG"/>
        </w:rPr>
        <w:t>“ се отнася до планираното отстраняване на жалбоподателите, от ромски произход</w:t>
      </w:r>
      <w:r w:rsidRPr="00BE2256">
        <w:rPr>
          <w:rFonts w:ascii="Arial" w:eastAsia="Calibri" w:hAnsi="Arial" w:cs="Arial"/>
          <w:bCs/>
          <w:sz w:val="20"/>
          <w:szCs w:val="20"/>
          <w:vertAlign w:val="superscript"/>
          <w:lang w:val="bg-BG"/>
        </w:rPr>
        <w:footnoteReference w:id="1"/>
      </w:r>
      <w:r w:rsidRPr="00BE2256">
        <w:rPr>
          <w:rFonts w:ascii="Arial" w:eastAsia="Calibri" w:hAnsi="Arial" w:cs="Arial"/>
          <w:bCs/>
          <w:sz w:val="20"/>
          <w:szCs w:val="20"/>
          <w:lang w:val="bg-BG"/>
        </w:rPr>
        <w:t>, от незаконно селище в София (</w:t>
      </w:r>
      <w:proofErr w:type="spellStart"/>
      <w:r w:rsidRPr="00BE2256">
        <w:rPr>
          <w:rFonts w:ascii="Arial" w:eastAsia="Calibri" w:hAnsi="Arial" w:cs="Arial"/>
          <w:bCs/>
          <w:sz w:val="20"/>
          <w:szCs w:val="20"/>
          <w:lang w:val="bg-BG"/>
        </w:rPr>
        <w:t>Баталова</w:t>
      </w:r>
      <w:proofErr w:type="spellEnd"/>
      <w:r w:rsidRPr="00BE2256">
        <w:rPr>
          <w:rFonts w:ascii="Arial" w:eastAsia="Calibri" w:hAnsi="Arial" w:cs="Arial"/>
          <w:bCs/>
          <w:sz w:val="20"/>
          <w:szCs w:val="20"/>
          <w:lang w:val="bg-BG"/>
        </w:rPr>
        <w:t xml:space="preserve"> воденица) въз основа на заповед за </w:t>
      </w:r>
      <w:r w:rsidRPr="00BE2256">
        <w:rPr>
          <w:rFonts w:ascii="Arial" w:eastAsia="Calibri" w:hAnsi="Arial" w:cs="Arial"/>
          <w:sz w:val="20"/>
          <w:lang w:val="bg-BG"/>
        </w:rPr>
        <w:t xml:space="preserve">изземване [на публичен имот] </w:t>
      </w:r>
      <w:r w:rsidRPr="00BE2256">
        <w:rPr>
          <w:rFonts w:ascii="Arial" w:eastAsia="Calibri" w:hAnsi="Arial" w:cs="Arial"/>
          <w:bCs/>
          <w:sz w:val="20"/>
          <w:szCs w:val="20"/>
          <w:lang w:val="bg-BG"/>
        </w:rPr>
        <w:t xml:space="preserve"> от 2005 г., потвърдена от Върховния административен съд (ВАС) през 2006 г. Делото „</w:t>
      </w:r>
      <w:r w:rsidRPr="00BE2256">
        <w:rPr>
          <w:rFonts w:ascii="Arial" w:eastAsia="Calibri" w:hAnsi="Arial" w:cs="Arial"/>
          <w:bCs/>
          <w:i/>
          <w:iCs/>
          <w:sz w:val="20"/>
          <w:szCs w:val="20"/>
          <w:lang w:val="bg-BG"/>
        </w:rPr>
        <w:t>Иванова и Черкезов</w:t>
      </w:r>
      <w:r w:rsidRPr="00BE2256">
        <w:rPr>
          <w:rFonts w:ascii="Arial" w:eastAsia="Calibri" w:hAnsi="Arial" w:cs="Arial"/>
          <w:bCs/>
          <w:sz w:val="20"/>
          <w:szCs w:val="20"/>
          <w:lang w:val="bg-BG"/>
        </w:rPr>
        <w:t xml:space="preserve">“ касае планираното събаряне на къщата на жалбоподателите, построена без разрешение за строеж, въз основа на заповед за </w:t>
      </w:r>
      <w:r w:rsidRPr="00BE2256">
        <w:rPr>
          <w:rFonts w:ascii="Arial" w:eastAsia="Calibri" w:hAnsi="Arial" w:cs="Arial"/>
          <w:sz w:val="20"/>
          <w:lang w:val="bg-BG"/>
        </w:rPr>
        <w:t>премахване [на незаконен строеж]</w:t>
      </w:r>
      <w:r w:rsidRPr="00BE2256">
        <w:rPr>
          <w:rFonts w:ascii="Arial" w:eastAsia="Calibri" w:hAnsi="Arial" w:cs="Arial"/>
          <w:bCs/>
          <w:sz w:val="20"/>
          <w:szCs w:val="20"/>
          <w:lang w:val="bg-BG"/>
        </w:rPr>
        <w:t xml:space="preserve"> от 2013 г., потвърдена от ВАС през 2015 г. </w:t>
      </w:r>
    </w:p>
    <w:p w14:paraId="16ACF654" w14:textId="77777777" w:rsidR="00BE2256" w:rsidRPr="00BE2256" w:rsidRDefault="00BE2256" w:rsidP="00BE2256">
      <w:pPr>
        <w:spacing w:after="0" w:line="240" w:lineRule="auto"/>
        <w:rPr>
          <w:rFonts w:ascii="Arial" w:eastAsia="Calibri" w:hAnsi="Arial" w:cs="Arial"/>
          <w:bCs/>
          <w:sz w:val="20"/>
          <w:szCs w:val="20"/>
          <w:lang w:val="bg-BG"/>
        </w:rPr>
      </w:pPr>
    </w:p>
    <w:p w14:paraId="0472B7CE" w14:textId="77777777" w:rsidR="00BE2256" w:rsidRPr="00BE2256" w:rsidRDefault="00BE2256" w:rsidP="00BE2256">
      <w:pPr>
        <w:spacing w:after="0" w:line="240" w:lineRule="auto"/>
        <w:rPr>
          <w:rFonts w:ascii="Arial" w:eastAsia="Calibri" w:hAnsi="Arial" w:cs="Arial"/>
          <w:bCs/>
          <w:sz w:val="20"/>
          <w:szCs w:val="20"/>
          <w:lang w:val="bg-BG"/>
        </w:rPr>
      </w:pPr>
      <w:r w:rsidRPr="00BE2256">
        <w:rPr>
          <w:rFonts w:ascii="Arial" w:eastAsia="Calibri" w:hAnsi="Arial" w:cs="Arial"/>
          <w:bCs/>
          <w:sz w:val="20"/>
          <w:szCs w:val="20"/>
          <w:lang w:val="bg-BG"/>
        </w:rPr>
        <w:t>В решението по делото „</w:t>
      </w:r>
      <w:r w:rsidRPr="00BE2256">
        <w:rPr>
          <w:rFonts w:ascii="Arial" w:eastAsia="Calibri" w:hAnsi="Arial" w:cs="Arial"/>
          <w:bCs/>
          <w:i/>
          <w:iCs/>
          <w:sz w:val="20"/>
          <w:szCs w:val="20"/>
          <w:lang w:val="bg-BG"/>
        </w:rPr>
        <w:t>Йорданова и други“</w:t>
      </w:r>
      <w:r w:rsidRPr="00BE2256">
        <w:rPr>
          <w:rFonts w:ascii="Arial" w:eastAsia="Calibri" w:hAnsi="Arial" w:cs="Arial"/>
          <w:bCs/>
          <w:sz w:val="20"/>
          <w:szCs w:val="20"/>
          <w:lang w:val="bg-BG"/>
        </w:rPr>
        <w:t xml:space="preserve"> Европейският съд указа, във връзка с чл. 46 от Конвенцията, че общите мерки трябва да включват изменения в относимите вътрешно законодателство и практика, за да се гарантира, че заповедите за изземване на публична земя или сгради „ясно идентифицират преследваните цели, засегнатите лица и мерките за осигуряване на пропорционалност“ дори в случаи на незаконно владеене, като по този начин се даде възможност за проверка на пропорционалността. Той също така посочи някои индивидуални мерки (отмяна на заповедта или спиране на нейното изпълнение до предприемане на мерки за осигуряване на пропорционалност).</w:t>
      </w:r>
    </w:p>
    <w:p w14:paraId="400211A8" w14:textId="77777777" w:rsidR="00BE2256" w:rsidRPr="00BE2256" w:rsidRDefault="00BE2256" w:rsidP="00BE2256">
      <w:pPr>
        <w:autoSpaceDE w:val="0"/>
        <w:autoSpaceDN w:val="0"/>
        <w:adjustRightInd w:val="0"/>
        <w:spacing w:after="0" w:line="240" w:lineRule="auto"/>
        <w:rPr>
          <w:rFonts w:ascii="Arial" w:eastAsia="Calibri" w:hAnsi="Arial" w:cs="Arial"/>
          <w:sz w:val="24"/>
          <w:szCs w:val="24"/>
          <w:lang w:val="bg-BG" w:eastAsia="en-GB"/>
        </w:rPr>
      </w:pPr>
      <w:bookmarkStart w:id="0" w:name="CaseDescriptionEnglish"/>
      <w:bookmarkEnd w:id="0"/>
    </w:p>
    <w:p w14:paraId="2A6C403C" w14:textId="77777777" w:rsidR="00BE2256" w:rsidRPr="00BE2256" w:rsidRDefault="00BE2256" w:rsidP="00BE2256">
      <w:pPr>
        <w:spacing w:after="0" w:line="240" w:lineRule="auto"/>
        <w:rPr>
          <w:rFonts w:ascii="Arial" w:eastAsia="Calibri" w:hAnsi="Arial" w:cs="Arial"/>
          <w:b/>
          <w:bCs/>
          <w:sz w:val="20"/>
          <w:szCs w:val="20"/>
          <w:lang w:val="bg-BG"/>
        </w:rPr>
      </w:pPr>
      <w:r w:rsidRPr="00BE2256">
        <w:rPr>
          <w:rFonts w:ascii="Arial" w:eastAsia="Calibri" w:hAnsi="Arial" w:cs="Arial"/>
          <w:b/>
          <w:bCs/>
          <w:sz w:val="20"/>
          <w:szCs w:val="20"/>
          <w:lang w:val="bg-BG"/>
        </w:rPr>
        <w:t>Състояние на изпълнението на решенията</w:t>
      </w:r>
    </w:p>
    <w:p w14:paraId="15E90E59" w14:textId="77777777" w:rsidR="00BE2256" w:rsidRPr="00BE2256" w:rsidRDefault="00BE2256" w:rsidP="00BE2256">
      <w:pPr>
        <w:spacing w:after="0" w:line="240" w:lineRule="auto"/>
        <w:rPr>
          <w:rFonts w:ascii="Arial" w:eastAsia="Calibri" w:hAnsi="Arial" w:cs="Arial"/>
          <w:i/>
          <w:sz w:val="20"/>
          <w:szCs w:val="20"/>
          <w:u w:val="single"/>
          <w:lang w:val="bg-BG"/>
        </w:rPr>
      </w:pPr>
    </w:p>
    <w:p w14:paraId="28D829ED" w14:textId="77777777" w:rsidR="00BE2256" w:rsidRPr="00BE2256" w:rsidRDefault="00BE2256" w:rsidP="00BE2256">
      <w:pPr>
        <w:spacing w:after="0" w:line="240" w:lineRule="auto"/>
        <w:rPr>
          <w:rFonts w:ascii="Arial" w:eastAsia="Calibri" w:hAnsi="Arial" w:cs="Arial"/>
          <w:i/>
          <w:sz w:val="20"/>
          <w:szCs w:val="20"/>
          <w:u w:val="single"/>
          <w:lang w:val="bg-BG"/>
        </w:rPr>
      </w:pPr>
      <w:r w:rsidRPr="00BE2256">
        <w:rPr>
          <w:rFonts w:ascii="Arial" w:eastAsia="Calibri" w:hAnsi="Arial" w:cs="Arial"/>
          <w:i/>
          <w:sz w:val="20"/>
          <w:szCs w:val="20"/>
          <w:u w:val="single"/>
          <w:lang w:val="bg-BG"/>
        </w:rPr>
        <w:t xml:space="preserve">Индивидуални мерки: </w:t>
      </w:r>
    </w:p>
    <w:p w14:paraId="07CD286A" w14:textId="77777777" w:rsidR="00BE2256" w:rsidRPr="00BE2256" w:rsidRDefault="00BE2256" w:rsidP="00BE2256">
      <w:pPr>
        <w:spacing w:after="0" w:line="240" w:lineRule="auto"/>
        <w:rPr>
          <w:rFonts w:ascii="Arial" w:eastAsia="Calibri" w:hAnsi="Arial" w:cs="Arial"/>
          <w:i/>
          <w:sz w:val="20"/>
          <w:szCs w:val="20"/>
          <w:lang w:val="bg-BG"/>
        </w:rPr>
      </w:pPr>
    </w:p>
    <w:p w14:paraId="649430A4"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i/>
          <w:iCs/>
          <w:sz w:val="20"/>
          <w:szCs w:val="20"/>
          <w:u w:val="single"/>
          <w:lang w:val="bg-BG"/>
        </w:rPr>
        <w:t>По време на последното разглеждане от Комитета н</w:t>
      </w:r>
      <w:r w:rsidRPr="00BE2256">
        <w:rPr>
          <w:rFonts w:ascii="Arial" w:eastAsia="Calibri" w:hAnsi="Arial" w:cs="Arial"/>
          <w:i/>
          <w:iCs/>
          <w:sz w:val="20"/>
          <w:szCs w:val="20"/>
          <w:u w:val="single"/>
          <w:lang w:val="fr-FR"/>
        </w:rPr>
        <w:t>a</w:t>
      </w:r>
      <w:r w:rsidRPr="00BE2256">
        <w:rPr>
          <w:rFonts w:ascii="Arial" w:eastAsia="Calibri" w:hAnsi="Arial" w:cs="Arial"/>
          <w:i/>
          <w:iCs/>
          <w:sz w:val="20"/>
          <w:szCs w:val="20"/>
          <w:u w:val="single"/>
          <w:lang w:val="bg-BG"/>
        </w:rPr>
        <w:t xml:space="preserve"> тези дела (март 2020),</w:t>
      </w:r>
      <w:r w:rsidRPr="00BE2256">
        <w:rPr>
          <w:rFonts w:ascii="Arial" w:eastAsia="Calibri" w:hAnsi="Arial" w:cs="Arial"/>
          <w:sz w:val="20"/>
          <w:szCs w:val="20"/>
          <w:lang w:val="bg-BG"/>
        </w:rPr>
        <w:t xml:space="preserve"> Комитетът припомни, че индивидуалните мерки по делото „</w:t>
      </w:r>
      <w:r w:rsidRPr="00BE2256">
        <w:rPr>
          <w:rFonts w:ascii="Arial" w:eastAsia="Calibri" w:hAnsi="Arial" w:cs="Arial"/>
          <w:i/>
          <w:iCs/>
          <w:sz w:val="20"/>
          <w:szCs w:val="20"/>
          <w:lang w:val="bg-BG"/>
        </w:rPr>
        <w:t>Йорданова“</w:t>
      </w:r>
      <w:r w:rsidRPr="00BE2256">
        <w:rPr>
          <w:rFonts w:ascii="Arial" w:eastAsia="Calibri" w:hAnsi="Arial" w:cs="Arial"/>
          <w:sz w:val="20"/>
          <w:szCs w:val="20"/>
          <w:lang w:val="bg-BG"/>
        </w:rPr>
        <w:t xml:space="preserve"> по отношение на евентуална нова </w:t>
      </w:r>
      <w:r w:rsidRPr="00BE2256">
        <w:rPr>
          <w:rFonts w:ascii="Arial" w:eastAsia="Calibri" w:hAnsi="Arial" w:cs="Arial"/>
          <w:sz w:val="20"/>
          <w:szCs w:val="20"/>
          <w:lang w:val="bg-BG"/>
        </w:rPr>
        <w:lastRenderedPageBreak/>
        <w:t xml:space="preserve">заповед за принудително извеждане на жалбоподателите са тясно свързани с общите мерки, които следва да бъдат предприети по тези дела. Следва да се напомни, че по това дело властите първоначално спряха изпълнението на заповедта </w:t>
      </w:r>
      <w:r w:rsidRPr="00BE2256">
        <w:rPr>
          <w:rFonts w:ascii="Arial" w:eastAsia="Calibri" w:hAnsi="Arial" w:cs="Arial"/>
          <w:bCs/>
          <w:sz w:val="20"/>
          <w:szCs w:val="20"/>
          <w:lang w:val="bg-BG"/>
        </w:rPr>
        <w:t xml:space="preserve">за </w:t>
      </w:r>
      <w:r w:rsidRPr="00BE2256">
        <w:rPr>
          <w:rFonts w:ascii="Arial" w:eastAsia="Calibri" w:hAnsi="Arial" w:cs="Arial"/>
          <w:sz w:val="20"/>
          <w:lang w:val="bg-BG"/>
        </w:rPr>
        <w:t xml:space="preserve">изземване [на имот] </w:t>
      </w:r>
      <w:r w:rsidRPr="00BE2256">
        <w:rPr>
          <w:rFonts w:ascii="Arial" w:eastAsia="Calibri" w:hAnsi="Arial" w:cs="Arial"/>
          <w:sz w:val="20"/>
          <w:szCs w:val="20"/>
          <w:lang w:val="bg-BG"/>
        </w:rPr>
        <w:t xml:space="preserve">и че законният </w:t>
      </w:r>
      <w:proofErr w:type="spellStart"/>
      <w:r w:rsidRPr="00BE2256">
        <w:rPr>
          <w:rFonts w:ascii="Arial" w:eastAsia="Calibri" w:hAnsi="Arial" w:cs="Arial"/>
          <w:sz w:val="20"/>
          <w:szCs w:val="20"/>
          <w:lang w:val="bg-BG"/>
        </w:rPr>
        <w:t>давностен</w:t>
      </w:r>
      <w:proofErr w:type="spellEnd"/>
      <w:r w:rsidRPr="00BE2256">
        <w:rPr>
          <w:rFonts w:ascii="Arial" w:eastAsia="Calibri" w:hAnsi="Arial" w:cs="Arial"/>
          <w:sz w:val="20"/>
          <w:szCs w:val="20"/>
          <w:lang w:val="bg-BG"/>
        </w:rPr>
        <w:t xml:space="preserve"> срок за нейното изпълнение вече е изтекъл. По отношение на делото </w:t>
      </w:r>
      <w:r w:rsidRPr="00BE2256">
        <w:rPr>
          <w:rFonts w:ascii="Arial" w:eastAsia="Calibri" w:hAnsi="Arial" w:cs="Arial"/>
          <w:i/>
          <w:iCs/>
          <w:sz w:val="20"/>
          <w:szCs w:val="20"/>
          <w:lang w:val="bg-BG"/>
        </w:rPr>
        <w:t>„Иванова и Черкезов“</w:t>
      </w:r>
      <w:r w:rsidRPr="00BE2256">
        <w:rPr>
          <w:rFonts w:ascii="Arial" w:eastAsia="Calibri" w:hAnsi="Arial" w:cs="Arial"/>
          <w:sz w:val="20"/>
          <w:szCs w:val="20"/>
          <w:lang w:val="bg-BG"/>
        </w:rPr>
        <w:t xml:space="preserve"> Комитетът отново отправи покана към властите да уточнят дали е извършена преценка за пропорционалност след отмяната през 2016 г. на действията за изпълнение на заповедта за </w:t>
      </w:r>
      <w:r w:rsidRPr="00BE2256">
        <w:rPr>
          <w:rFonts w:ascii="Arial" w:eastAsia="Calibri" w:hAnsi="Arial" w:cs="Arial"/>
          <w:sz w:val="20"/>
          <w:lang w:val="bg-BG"/>
        </w:rPr>
        <w:t xml:space="preserve">премахване [на незаконен строеж] и връщането на </w:t>
      </w:r>
      <w:r w:rsidRPr="00BE2256">
        <w:rPr>
          <w:rFonts w:ascii="Arial" w:eastAsia="Calibri" w:hAnsi="Arial" w:cs="Arial"/>
          <w:sz w:val="20"/>
          <w:szCs w:val="20"/>
          <w:lang w:val="bg-BG"/>
        </w:rPr>
        <w:t>преписката на регионалната служба на Дирекция за национален строителен контрол с указания за извършване на преценка на пропорционалността</w:t>
      </w:r>
      <w:r w:rsidRPr="00BE2256">
        <w:rPr>
          <w:rFonts w:ascii="Arial" w:eastAsia="Calibri" w:hAnsi="Arial" w:cs="Arial"/>
          <w:sz w:val="20"/>
          <w:lang w:val="bg-BG"/>
        </w:rPr>
        <w:t>.</w:t>
      </w:r>
      <w:r w:rsidRPr="00BE2256">
        <w:rPr>
          <w:rFonts w:ascii="Arial" w:eastAsia="Calibri" w:hAnsi="Arial" w:cs="Arial"/>
          <w:bCs/>
          <w:sz w:val="20"/>
          <w:szCs w:val="20"/>
          <w:lang w:val="bg-BG"/>
        </w:rPr>
        <w:t xml:space="preserve"> </w:t>
      </w:r>
      <w:r w:rsidRPr="00BE2256">
        <w:rPr>
          <w:rFonts w:ascii="Arial" w:eastAsia="Calibri" w:hAnsi="Arial" w:cs="Arial"/>
          <w:sz w:val="20"/>
          <w:szCs w:val="20"/>
          <w:lang w:val="bg-BG"/>
        </w:rPr>
        <w:t>До момента не е предоставена информация по последния въпрос.</w:t>
      </w:r>
      <w:r w:rsidRPr="00BE2256">
        <w:rPr>
          <w:rFonts w:ascii="Arial" w:eastAsia="Calibri" w:hAnsi="Arial" w:cs="Arial"/>
          <w:sz w:val="20"/>
          <w:szCs w:val="20"/>
          <w:vertAlign w:val="superscript"/>
        </w:rPr>
        <w:footnoteReference w:id="2"/>
      </w:r>
      <w:r w:rsidRPr="00BE2256">
        <w:rPr>
          <w:rFonts w:ascii="Arial" w:eastAsia="Calibri" w:hAnsi="Arial" w:cs="Arial"/>
          <w:sz w:val="20"/>
          <w:szCs w:val="20"/>
          <w:lang w:val="bg-BG"/>
        </w:rPr>
        <w:t xml:space="preserve">  </w:t>
      </w:r>
    </w:p>
    <w:p w14:paraId="241ADE05" w14:textId="77777777" w:rsidR="00BE2256" w:rsidRPr="00BE2256" w:rsidRDefault="00BE2256" w:rsidP="00BE2256">
      <w:pPr>
        <w:spacing w:after="0" w:line="240" w:lineRule="auto"/>
        <w:rPr>
          <w:rFonts w:ascii="Arial" w:eastAsia="Calibri" w:hAnsi="Arial" w:cs="Arial"/>
          <w:sz w:val="20"/>
          <w:szCs w:val="20"/>
          <w:lang w:val="bg-BG"/>
        </w:rPr>
      </w:pPr>
    </w:p>
    <w:p w14:paraId="35C42282" w14:textId="77777777" w:rsidR="00BE2256" w:rsidRPr="00BE2256" w:rsidRDefault="00BE2256" w:rsidP="00BE2256">
      <w:pPr>
        <w:spacing w:after="0" w:line="240" w:lineRule="auto"/>
        <w:rPr>
          <w:rFonts w:ascii="Arial" w:eastAsia="Calibri" w:hAnsi="Arial" w:cs="Arial"/>
          <w:bCs/>
          <w:sz w:val="20"/>
          <w:szCs w:val="20"/>
          <w:lang w:val="bg-BG"/>
        </w:rPr>
      </w:pPr>
      <w:r w:rsidRPr="00BE2256">
        <w:rPr>
          <w:rFonts w:ascii="Arial" w:eastAsia="Calibri" w:hAnsi="Arial" w:cs="Arial"/>
          <w:bCs/>
          <w:i/>
          <w:sz w:val="20"/>
          <w:szCs w:val="20"/>
          <w:u w:val="single"/>
          <w:lang w:val="bg-BG"/>
        </w:rPr>
        <w:t>Общи мерки</w:t>
      </w:r>
      <w:r w:rsidRPr="00BE2256">
        <w:rPr>
          <w:rFonts w:ascii="Arial" w:eastAsia="Calibri" w:hAnsi="Arial" w:cs="Arial"/>
          <w:bCs/>
          <w:sz w:val="20"/>
          <w:szCs w:val="20"/>
          <w:lang w:val="bg-BG"/>
        </w:rPr>
        <w:t xml:space="preserve">:   </w:t>
      </w:r>
    </w:p>
    <w:p w14:paraId="406CB403" w14:textId="77777777" w:rsidR="00BE2256" w:rsidRPr="00BE2256" w:rsidRDefault="00BE2256" w:rsidP="00BE2256">
      <w:pPr>
        <w:spacing w:after="0" w:line="240" w:lineRule="auto"/>
        <w:rPr>
          <w:rFonts w:ascii="Arial" w:eastAsia="Calibri" w:hAnsi="Arial" w:cs="Arial"/>
          <w:bCs/>
          <w:sz w:val="20"/>
          <w:szCs w:val="20"/>
          <w:lang w:val="bg-BG"/>
        </w:rPr>
      </w:pPr>
    </w:p>
    <w:p w14:paraId="2542A850"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i/>
          <w:iCs/>
          <w:sz w:val="20"/>
          <w:szCs w:val="20"/>
          <w:u w:val="single"/>
          <w:lang w:val="bg-BG"/>
        </w:rPr>
        <w:t>- Предишно разглеждане от Комитета</w:t>
      </w:r>
      <w:r w:rsidRPr="00BE2256">
        <w:rPr>
          <w:rFonts w:ascii="Arial" w:eastAsia="Calibri" w:hAnsi="Arial" w:cs="Arial"/>
          <w:sz w:val="20"/>
          <w:szCs w:val="20"/>
          <w:lang w:val="bg-BG"/>
        </w:rPr>
        <w:t xml:space="preserve">: По време на заседанието си през март 2020 г., Комитетът отбеляза развитието на практиката на съдилищата относно преценката за съразмерност на заповеди за премахване [на незаконни жилища] и на </w:t>
      </w:r>
      <w:r w:rsidRPr="00BE2256">
        <w:rPr>
          <w:rFonts w:ascii="Arial" w:eastAsia="Calibri" w:hAnsi="Arial" w:cs="Arial"/>
          <w:bCs/>
          <w:sz w:val="20"/>
          <w:szCs w:val="20"/>
          <w:lang w:val="bg-BG"/>
        </w:rPr>
        <w:t xml:space="preserve">заповеди за </w:t>
      </w:r>
      <w:r w:rsidRPr="00BE2256">
        <w:rPr>
          <w:rFonts w:ascii="Arial" w:eastAsia="Calibri" w:hAnsi="Arial" w:cs="Arial"/>
          <w:sz w:val="20"/>
          <w:lang w:val="bg-BG"/>
        </w:rPr>
        <w:t>изземване [на публичен имот], която практика обаче не</w:t>
      </w:r>
      <w:r w:rsidRPr="00BE2256">
        <w:rPr>
          <w:rFonts w:ascii="Arial" w:eastAsia="Calibri" w:hAnsi="Arial" w:cs="Arial"/>
          <w:sz w:val="20"/>
          <w:szCs w:val="20"/>
          <w:lang w:val="bg-BG"/>
        </w:rPr>
        <w:t xml:space="preserve"> изглеждаше достатъчно консолидирана и изглеждаше недостатъчна, за да създаде ясна правна рамка за оценка на пропорционалността от страна на администрацията. Поради това прикани властите да довършат бързо законодателния процес по отношение на изготвен през 2019 г. законопроект и възложи на Секретариата да подготви проект за междинна резолюция за разглеждане на настоящето заседание, в случай че не се постигне осезаем напредък до 1 октомври 2020 г. в това отношение. Той също прикани властите да го информират за тяхната оценка относно това : 1) дали е необходимо да се предвиди изрично, че административни актове, които засягат правото на неприкосновеност на дома по начин, подобен на изземване [на имот] или на премахване [на незаконен строеж], трябва да подлежат на проверка за пропорционалност; 2) дали правилата за регистрация за общински жилища трябва да бъдат изменени.</w:t>
      </w:r>
    </w:p>
    <w:p w14:paraId="093FDB02" w14:textId="77777777" w:rsidR="00BE2256" w:rsidRPr="00BE2256" w:rsidRDefault="00BE2256" w:rsidP="00BE2256">
      <w:pPr>
        <w:spacing w:after="0" w:line="240" w:lineRule="auto"/>
        <w:rPr>
          <w:rFonts w:ascii="Arial" w:eastAsia="Calibri" w:hAnsi="Arial" w:cs="Arial"/>
          <w:sz w:val="20"/>
          <w:szCs w:val="20"/>
          <w:u w:val="single"/>
          <w:lang w:val="bg-BG"/>
        </w:rPr>
      </w:pPr>
    </w:p>
    <w:p w14:paraId="71C19C50" w14:textId="77777777" w:rsidR="00BE2256" w:rsidRPr="00BE2256" w:rsidRDefault="00BE2256" w:rsidP="00BE2256">
      <w:pPr>
        <w:numPr>
          <w:ilvl w:val="0"/>
          <w:numId w:val="1"/>
        </w:numPr>
        <w:spacing w:after="0" w:line="240" w:lineRule="auto"/>
        <w:contextualSpacing/>
        <w:rPr>
          <w:rFonts w:ascii="Arial" w:eastAsia="Calibri" w:hAnsi="Arial" w:cs="Arial"/>
          <w:sz w:val="20"/>
          <w:szCs w:val="20"/>
          <w:u w:val="single"/>
          <w:lang w:val="bg-BG"/>
        </w:rPr>
      </w:pPr>
      <w:r w:rsidRPr="00BE2256">
        <w:rPr>
          <w:rFonts w:ascii="Arial" w:eastAsia="Calibri" w:hAnsi="Arial" w:cs="Arial"/>
          <w:sz w:val="20"/>
          <w:szCs w:val="20"/>
          <w:u w:val="single"/>
          <w:lang w:val="bg-BG"/>
        </w:rPr>
        <w:t>Сегашна правна рамка и възможност за преценка на пропорционалността</w:t>
      </w:r>
    </w:p>
    <w:p w14:paraId="2B9698EF" w14:textId="77777777" w:rsidR="00BE2256" w:rsidRPr="00BE2256" w:rsidRDefault="00BE2256" w:rsidP="00BE2256">
      <w:pPr>
        <w:spacing w:after="0" w:line="240" w:lineRule="auto"/>
        <w:rPr>
          <w:rFonts w:ascii="Arial" w:eastAsia="Calibri" w:hAnsi="Arial" w:cs="Arial"/>
          <w:sz w:val="20"/>
          <w:szCs w:val="20"/>
          <w:lang w:val="bg-BG"/>
        </w:rPr>
      </w:pPr>
    </w:p>
    <w:p w14:paraId="4B75C3A4"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i/>
          <w:iCs/>
          <w:sz w:val="20"/>
          <w:szCs w:val="20"/>
          <w:u w:val="single"/>
          <w:lang w:val="bg-BG"/>
        </w:rPr>
        <w:t>- Вътрешни разпоредби относно прилагането на принципа на пропорционалност</w:t>
      </w:r>
      <w:r w:rsidRPr="00BE2256">
        <w:rPr>
          <w:rFonts w:ascii="Arial" w:eastAsia="Calibri" w:hAnsi="Arial" w:cs="Arial"/>
          <w:sz w:val="20"/>
          <w:szCs w:val="20"/>
          <w:u w:val="single"/>
          <w:lang w:val="bg-BG"/>
        </w:rPr>
        <w:t>:</w:t>
      </w:r>
      <w:r w:rsidRPr="00BE2256">
        <w:rPr>
          <w:rFonts w:ascii="Arial" w:eastAsia="Calibri" w:hAnsi="Arial" w:cs="Arial"/>
          <w:sz w:val="20"/>
          <w:szCs w:val="20"/>
          <w:lang w:val="bg-BG"/>
        </w:rPr>
        <w:t xml:space="preserve"> Чл. 6 от Административнопроцесуалния кодекс от юли 2006 г. урежда принципа на съразмерност. Освен това чл. 272 от същия кодекс урежда принципа на съразмерност при изпълнението на административни актове или решения на административните съдилища. Властите посочват, че при издаване на решения администрацията на практика често прави анализ за пропорционалност, но този анализ не е отразен в решенията й.</w:t>
      </w:r>
    </w:p>
    <w:p w14:paraId="7FDF5AF8" w14:textId="77777777" w:rsidR="00BE2256" w:rsidRPr="00BE2256" w:rsidRDefault="00BE2256" w:rsidP="00BE2256">
      <w:pPr>
        <w:spacing w:after="0" w:line="240" w:lineRule="auto"/>
        <w:rPr>
          <w:rFonts w:ascii="Arial" w:eastAsia="Calibri" w:hAnsi="Arial" w:cs="Arial"/>
          <w:sz w:val="20"/>
          <w:szCs w:val="20"/>
          <w:u w:val="single"/>
          <w:lang w:val="bg-BG"/>
        </w:rPr>
      </w:pPr>
    </w:p>
    <w:p w14:paraId="36B1C79E"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u w:val="single"/>
          <w:lang w:val="bg-BG"/>
        </w:rPr>
        <w:t>- Правила, свързани с изземването на незаконно заети имоти, принадлежащи на общината или държавата, и контрол за пропорционалност от съдилищата</w:t>
      </w:r>
      <w:r w:rsidRPr="00BE2256">
        <w:rPr>
          <w:rFonts w:ascii="Arial" w:eastAsia="Calibri" w:hAnsi="Arial" w:cs="Arial"/>
          <w:sz w:val="20"/>
          <w:szCs w:val="20"/>
          <w:lang w:val="bg-BG"/>
        </w:rPr>
        <w:t xml:space="preserve">: Чл. 65 от Закона за общинската собственост („ЗОС“) задължава кметовете да постановят изземването на всеки недвижим имот, принадлежащ на общината, който се владее без правно основание. Чл. 80 от Закона за държавната собственост от 1996 г. („ЗДС“) определя сходни задължения за областните управители по отношение на незаконно заети имоти, принадлежащи на държавата. </w:t>
      </w:r>
    </w:p>
    <w:p w14:paraId="5D43C50C" w14:textId="77777777" w:rsidR="00BE2256" w:rsidRPr="00BE2256" w:rsidRDefault="00BE2256" w:rsidP="00BE2256">
      <w:pPr>
        <w:spacing w:after="0" w:line="240" w:lineRule="auto"/>
        <w:rPr>
          <w:rFonts w:ascii="Arial" w:eastAsia="Calibri" w:hAnsi="Arial" w:cs="Arial"/>
          <w:sz w:val="20"/>
          <w:szCs w:val="20"/>
          <w:lang w:val="bg-BG"/>
        </w:rPr>
      </w:pPr>
    </w:p>
    <w:p w14:paraId="0BEB5699"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lang w:val="bg-BG"/>
        </w:rPr>
        <w:t>Примерите за решения, споменати от властите</w:t>
      </w:r>
      <w:r w:rsidRPr="00BE2256">
        <w:rPr>
          <w:rFonts w:ascii="Arial" w:eastAsia="Calibri" w:hAnsi="Arial" w:cs="Arial"/>
          <w:sz w:val="20"/>
          <w:szCs w:val="20"/>
          <w:vertAlign w:val="superscript"/>
        </w:rPr>
        <w:footnoteReference w:id="3"/>
      </w:r>
      <w:r w:rsidRPr="00BE2256">
        <w:rPr>
          <w:rFonts w:ascii="Arial" w:eastAsia="Calibri" w:hAnsi="Arial" w:cs="Arial"/>
          <w:sz w:val="20"/>
          <w:szCs w:val="20"/>
          <w:lang w:val="bg-BG"/>
        </w:rPr>
        <w:t xml:space="preserve"> и от Българския </w:t>
      </w:r>
      <w:proofErr w:type="spellStart"/>
      <w:r w:rsidRPr="00BE2256">
        <w:rPr>
          <w:rFonts w:ascii="Arial" w:eastAsia="Calibri" w:hAnsi="Arial" w:cs="Arial"/>
          <w:sz w:val="20"/>
          <w:szCs w:val="20"/>
          <w:lang w:val="bg-BG"/>
        </w:rPr>
        <w:t>Хелзински</w:t>
      </w:r>
      <w:proofErr w:type="spellEnd"/>
      <w:r w:rsidRPr="00BE2256">
        <w:rPr>
          <w:rFonts w:ascii="Arial" w:eastAsia="Calibri" w:hAnsi="Arial" w:cs="Arial"/>
          <w:sz w:val="20"/>
          <w:szCs w:val="20"/>
          <w:lang w:val="bg-BG"/>
        </w:rPr>
        <w:t xml:space="preserve"> Комитет („БХК“)</w:t>
      </w:r>
      <w:r w:rsidRPr="00BE2256">
        <w:rPr>
          <w:rFonts w:ascii="Arial" w:eastAsia="Calibri" w:hAnsi="Arial" w:cs="Arial"/>
          <w:sz w:val="20"/>
          <w:szCs w:val="20"/>
          <w:vertAlign w:val="superscript"/>
          <w:lang w:val="bg-BG"/>
        </w:rPr>
        <w:t xml:space="preserve"> </w:t>
      </w:r>
      <w:r w:rsidRPr="00BE2256">
        <w:rPr>
          <w:rFonts w:ascii="Arial" w:eastAsia="Calibri" w:hAnsi="Arial" w:cs="Arial"/>
          <w:sz w:val="20"/>
          <w:szCs w:val="20"/>
          <w:vertAlign w:val="superscript"/>
        </w:rPr>
        <w:footnoteReference w:id="4"/>
      </w:r>
      <w:r w:rsidRPr="00BE2256">
        <w:rPr>
          <w:rFonts w:ascii="Arial" w:eastAsia="Calibri" w:hAnsi="Arial" w:cs="Arial"/>
          <w:sz w:val="20"/>
          <w:szCs w:val="20"/>
          <w:lang w:val="bg-BG"/>
        </w:rPr>
        <w:t xml:space="preserve"> изглежда да сочат на това, че ВАС  разглежда съразмерността на заповеди за изземване на недвижим имот, но не и на заповеди за прекратяване на договори за наем, които предхождат заповедите за изземване. В поне едно решение от декември 2019 г. относно заповед за изземване, ВАС е тълкувал чл. 8 (от Конвенцията) като даващ закрила единствено на наематели, които стриктно са спазвали закона и договора за наем</w:t>
      </w:r>
      <w:r w:rsidRPr="00BE2256">
        <w:rPr>
          <w:rFonts w:ascii="Arial" w:eastAsia="Calibri" w:hAnsi="Arial" w:cs="Arial"/>
          <w:sz w:val="20"/>
          <w:szCs w:val="20"/>
          <w:vertAlign w:val="superscript"/>
        </w:rPr>
        <w:footnoteReference w:id="5"/>
      </w:r>
      <w:r w:rsidRPr="00BE2256">
        <w:rPr>
          <w:rFonts w:ascii="Arial" w:eastAsia="Calibri" w:hAnsi="Arial" w:cs="Arial"/>
          <w:sz w:val="20"/>
          <w:szCs w:val="20"/>
          <w:lang w:val="bg-BG"/>
        </w:rPr>
        <w:t xml:space="preserve">. Според властите, малкият брой подобни скорошни дела е индикация за това, че общинските власти взимат предвид </w:t>
      </w:r>
      <w:r w:rsidRPr="00BE2256">
        <w:rPr>
          <w:rFonts w:ascii="Arial" w:eastAsia="Calibri" w:hAnsi="Arial" w:cs="Arial"/>
          <w:sz w:val="20"/>
          <w:szCs w:val="20"/>
          <w:lang w:val="bg-BG"/>
        </w:rPr>
        <w:lastRenderedPageBreak/>
        <w:t>положението на засегнатите лица. Според БХК малкият брой скорошни дела от този вид може да бъде обяснен с бедността на лицата, от които се изземват жилища, както и с липсата на правна помощ.</w:t>
      </w:r>
    </w:p>
    <w:p w14:paraId="5E65DB03" w14:textId="77777777" w:rsidR="00BE2256" w:rsidRPr="00BE2256" w:rsidRDefault="00BE2256" w:rsidP="00BE2256">
      <w:pPr>
        <w:spacing w:after="0" w:line="240" w:lineRule="auto"/>
        <w:rPr>
          <w:rFonts w:ascii="Arial" w:eastAsia="Calibri" w:hAnsi="Arial" w:cs="Arial"/>
          <w:sz w:val="20"/>
          <w:szCs w:val="20"/>
          <w:lang w:val="bg-BG"/>
        </w:rPr>
      </w:pPr>
    </w:p>
    <w:p w14:paraId="048FDB1C" w14:textId="77777777" w:rsidR="00BE2256" w:rsidRPr="00BE2256" w:rsidRDefault="00BE2256" w:rsidP="00BE2256">
      <w:pPr>
        <w:spacing w:after="0" w:line="240" w:lineRule="auto"/>
        <w:rPr>
          <w:rFonts w:ascii="Arial" w:eastAsia="Calibri" w:hAnsi="Arial" w:cs="Arial"/>
          <w:sz w:val="20"/>
          <w:szCs w:val="20"/>
          <w:u w:val="single"/>
          <w:lang w:val="bg-BG"/>
        </w:rPr>
      </w:pPr>
    </w:p>
    <w:p w14:paraId="1DD56C8F"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u w:val="single"/>
          <w:lang w:val="bg-BG"/>
        </w:rPr>
        <w:t>- Правила относно събарянето на незаконни строежи и контрол за пропорционалност от съдилищата</w:t>
      </w:r>
      <w:r w:rsidRPr="00BE2256">
        <w:rPr>
          <w:rFonts w:ascii="Arial" w:eastAsia="Calibri" w:hAnsi="Arial" w:cs="Arial"/>
          <w:sz w:val="20"/>
          <w:szCs w:val="20"/>
          <w:lang w:val="bg-BG"/>
        </w:rPr>
        <w:t xml:space="preserve">:  Чл. чл. 225 и 225а от Закона за устройство на територията от 2001 г. („ЗУТ“ 2001) предвиждат, че всяка сграда или част от сграда, построена без разрешение, е незаконна и подлежи на премахване. В продължение на много години установената практика на ВАС считаше, че изискването за съразмерност, предвидено в чл. 6 от Административнопроцесуалния кодекс, не е приложимо при издаването или съдебния контрол на заповедите за </w:t>
      </w:r>
      <w:r w:rsidRPr="00BE2256">
        <w:rPr>
          <w:rFonts w:ascii="Arial" w:eastAsia="Calibri" w:hAnsi="Arial" w:cs="Arial"/>
          <w:sz w:val="20"/>
          <w:lang w:val="bg-BG"/>
        </w:rPr>
        <w:t>премахване [на незаконен строеж]</w:t>
      </w:r>
      <w:r w:rsidRPr="00BE2256">
        <w:rPr>
          <w:rFonts w:ascii="Arial" w:eastAsia="Calibri" w:hAnsi="Arial" w:cs="Arial"/>
          <w:sz w:val="20"/>
          <w:szCs w:val="20"/>
          <w:vertAlign w:val="superscript"/>
          <w:lang w:val="bg-BG"/>
        </w:rPr>
        <w:t xml:space="preserve"> </w:t>
      </w:r>
      <w:r w:rsidRPr="00BE2256">
        <w:rPr>
          <w:rFonts w:ascii="Arial" w:eastAsia="Calibri" w:hAnsi="Arial" w:cs="Arial"/>
          <w:sz w:val="20"/>
          <w:szCs w:val="20"/>
          <w:vertAlign w:val="superscript"/>
          <w:lang w:val="bg-BG"/>
        </w:rPr>
        <w:footnoteReference w:id="6"/>
      </w:r>
      <w:r w:rsidRPr="00BE2256">
        <w:rPr>
          <w:rFonts w:ascii="Arial" w:eastAsia="Calibri" w:hAnsi="Arial" w:cs="Arial"/>
          <w:sz w:val="20"/>
          <w:szCs w:val="20"/>
          <w:lang w:val="bg-BG"/>
        </w:rPr>
        <w:t xml:space="preserve">. </w:t>
      </w:r>
    </w:p>
    <w:p w14:paraId="1FB263F2" w14:textId="77777777" w:rsidR="00BE2256" w:rsidRPr="00BE2256" w:rsidRDefault="00BE2256" w:rsidP="00BE2256">
      <w:pPr>
        <w:spacing w:after="0" w:line="240" w:lineRule="auto"/>
        <w:rPr>
          <w:rFonts w:ascii="Arial" w:eastAsia="Calibri" w:hAnsi="Arial" w:cs="Arial"/>
          <w:sz w:val="20"/>
          <w:szCs w:val="20"/>
          <w:lang w:val="bg-BG"/>
        </w:rPr>
      </w:pPr>
    </w:p>
    <w:p w14:paraId="19B10505"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lang w:val="bg-BG"/>
        </w:rPr>
        <w:t xml:space="preserve">След знаково решение на ВАС от 3 октомври 2018 г. съдилищата започнаха да разглеждат съразмерността на заповедите за </w:t>
      </w:r>
      <w:r w:rsidRPr="00BE2256">
        <w:rPr>
          <w:rFonts w:ascii="Arial" w:eastAsia="Calibri" w:hAnsi="Arial" w:cs="Arial"/>
          <w:sz w:val="20"/>
          <w:lang w:val="bg-BG"/>
        </w:rPr>
        <w:t>премахване [на незаконен строеж]</w:t>
      </w:r>
      <w:r w:rsidRPr="00BE2256">
        <w:rPr>
          <w:rFonts w:ascii="Arial" w:eastAsia="Calibri" w:hAnsi="Arial" w:cs="Arial"/>
          <w:sz w:val="20"/>
          <w:szCs w:val="20"/>
          <w:lang w:val="bg-BG"/>
        </w:rPr>
        <w:t>. Властите посочват, че през 2020 г. съдилищата последователно са разглеждали съразмерността на подобни заповеди.</w:t>
      </w:r>
    </w:p>
    <w:p w14:paraId="371A5CF2" w14:textId="77777777" w:rsidR="00BE2256" w:rsidRPr="00BE2256" w:rsidRDefault="00BE2256" w:rsidP="00BE2256">
      <w:pPr>
        <w:spacing w:after="0" w:line="240" w:lineRule="auto"/>
        <w:rPr>
          <w:rFonts w:ascii="Arial" w:eastAsia="Calibri" w:hAnsi="Arial" w:cs="Arial"/>
          <w:sz w:val="20"/>
          <w:szCs w:val="20"/>
          <w:lang w:val="bg-BG"/>
        </w:rPr>
      </w:pPr>
    </w:p>
    <w:p w14:paraId="096C7860" w14:textId="77777777" w:rsidR="00BE2256" w:rsidRPr="00BE2256" w:rsidRDefault="00BE2256" w:rsidP="00BE2256">
      <w:pPr>
        <w:spacing w:after="0" w:line="240" w:lineRule="auto"/>
        <w:rPr>
          <w:rFonts w:ascii="Arial" w:eastAsia="Calibri" w:hAnsi="Arial" w:cs="Arial"/>
          <w:sz w:val="20"/>
          <w:szCs w:val="20"/>
          <w:shd w:val="clear" w:color="auto" w:fill="FFFFFF"/>
          <w:lang w:val="bg-BG"/>
        </w:rPr>
      </w:pPr>
      <w:r w:rsidRPr="00BE2256">
        <w:rPr>
          <w:rFonts w:ascii="Arial" w:eastAsia="Calibri" w:hAnsi="Arial" w:cs="Arial"/>
          <w:sz w:val="20"/>
          <w:szCs w:val="20"/>
          <w:lang w:val="bg-BG"/>
        </w:rPr>
        <w:t xml:space="preserve">В своята комуникация от октомври 2020 г. БХК твърди, че административната и съдебна практика в тази област се характеризира с множество недостатъци. Позовавайки се на принудителното извеждане на многобройни ромски семейства от село Войводиново през 2019 г., БХК отбелязва, че много заповеди за премахване на жилища са издадени срещу „неизвестни лица“ и не описват адекватно къщите, определени за разрушаване. Поради това засегнатите семейства са били изправени пред трудности при подаването на жалби. БХК посочва, че съдебната практика позволява на административните власти „неограничена </w:t>
      </w:r>
      <w:proofErr w:type="spellStart"/>
      <w:r w:rsidRPr="00BE2256">
        <w:rPr>
          <w:rFonts w:ascii="Arial" w:eastAsia="Calibri" w:hAnsi="Arial" w:cs="Arial"/>
          <w:sz w:val="20"/>
          <w:szCs w:val="20"/>
          <w:lang w:val="bg-BG"/>
        </w:rPr>
        <w:t>дискреция</w:t>
      </w:r>
      <w:proofErr w:type="spellEnd"/>
      <w:r w:rsidRPr="00BE2256">
        <w:rPr>
          <w:rFonts w:ascii="Arial" w:eastAsia="Calibri" w:hAnsi="Arial" w:cs="Arial"/>
          <w:sz w:val="20"/>
          <w:szCs w:val="20"/>
          <w:lang w:val="bg-BG"/>
        </w:rPr>
        <w:t>“ да разрушават незаконни жилища, а съдебните оценки на законните цели и пропорционалността на разрушаването са изключително формалистични.</w:t>
      </w:r>
      <w:r w:rsidRPr="00BE2256">
        <w:rPr>
          <w:rFonts w:ascii="Arial" w:eastAsia="Calibri" w:hAnsi="Arial" w:cs="Times New Roman"/>
          <w:sz w:val="20"/>
          <w:lang w:val="bg-BG"/>
        </w:rPr>
        <w:t xml:space="preserve"> </w:t>
      </w:r>
      <w:r w:rsidRPr="00BE2256">
        <w:rPr>
          <w:rFonts w:ascii="Arial" w:eastAsia="Calibri" w:hAnsi="Arial" w:cs="Arial"/>
          <w:sz w:val="20"/>
          <w:szCs w:val="20"/>
          <w:lang w:val="bg-BG"/>
        </w:rPr>
        <w:t>БХК също посочва решение, в което ВАС е отбелязал, че само лице, което стриктно е спазвало строителните разпоредби, може да разчита на защита съгласно чл. 8 от Конвенцията.</w:t>
      </w:r>
      <w:r w:rsidRPr="00BE2256">
        <w:rPr>
          <w:rFonts w:ascii="Arial" w:eastAsia="Calibri" w:hAnsi="Arial" w:cs="Arial"/>
          <w:sz w:val="20"/>
          <w:szCs w:val="20"/>
          <w:shd w:val="clear" w:color="auto" w:fill="FFFFFF"/>
          <w:vertAlign w:val="superscript"/>
        </w:rPr>
        <w:footnoteReference w:id="7"/>
      </w:r>
    </w:p>
    <w:p w14:paraId="2152A0CA" w14:textId="77777777" w:rsidR="00BE2256" w:rsidRPr="00BE2256" w:rsidRDefault="00BE2256" w:rsidP="00BE2256">
      <w:pPr>
        <w:spacing w:after="0" w:line="240" w:lineRule="auto"/>
        <w:rPr>
          <w:rFonts w:ascii="Arial" w:eastAsia="Calibri" w:hAnsi="Arial" w:cs="Arial"/>
          <w:sz w:val="20"/>
          <w:szCs w:val="20"/>
          <w:shd w:val="clear" w:color="auto" w:fill="FFFFFF"/>
          <w:lang w:val="bg-BG"/>
        </w:rPr>
      </w:pPr>
    </w:p>
    <w:p w14:paraId="79EF3BC6"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lang w:val="bg-BG"/>
        </w:rPr>
        <w:t>Властите оспориха коментарите на БХК като неверни, пристрастни и изопачаващи изводите на националните съдилища и настояха на факта, че БХК представлява жалбоподатели, засегнати от принудителното извеждане във Войводиново във висящо производство пред Европейския съд. Те отбелязаха, че в почти всички решения съдилищата са извършили анализ на съразмерността и техните решения не изглеждат неразумни или произволни.</w:t>
      </w:r>
    </w:p>
    <w:p w14:paraId="69D50553" w14:textId="77777777" w:rsidR="00BE2256" w:rsidRPr="00BE2256" w:rsidRDefault="00BE2256" w:rsidP="00BE2256">
      <w:pPr>
        <w:spacing w:after="0" w:line="240" w:lineRule="auto"/>
        <w:rPr>
          <w:rFonts w:ascii="Arial" w:eastAsia="Calibri" w:hAnsi="Arial" w:cs="Arial"/>
          <w:sz w:val="20"/>
          <w:szCs w:val="20"/>
          <w:lang w:val="bg-BG"/>
        </w:rPr>
      </w:pPr>
    </w:p>
    <w:p w14:paraId="2C3A3EA9"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lang w:val="bg-BG"/>
        </w:rPr>
        <w:t>Що се отнася до лицата, които са активно легитимирани да получат съдебен контрол, властите отбелязват, че по-старата практика на съдилищата широко е приемала, че само лица с вещни права и лицето, което е поръчало или извършило строежа, могат да обжалват заповедта за премахване [на жилището]. Те посочиха, че по-новата практика на ВАС през 2019 г. и 2020 г. не съдържа достатъчно категорични примери за решения относно въпроса за „активната легитимация“, но ВАС е дал достъп до съд на лица, които не са адресати на заповед за премахване [на незаконен строеж].</w:t>
      </w:r>
    </w:p>
    <w:p w14:paraId="51829663" w14:textId="77777777" w:rsidR="00BE2256" w:rsidRPr="00BE2256" w:rsidRDefault="00BE2256" w:rsidP="00BE2256">
      <w:pPr>
        <w:spacing w:after="0" w:line="240" w:lineRule="auto"/>
        <w:rPr>
          <w:rFonts w:ascii="Arial" w:eastAsia="Calibri" w:hAnsi="Arial" w:cs="Arial"/>
          <w:sz w:val="20"/>
          <w:szCs w:val="20"/>
          <w:lang w:val="bg-BG"/>
        </w:rPr>
      </w:pPr>
    </w:p>
    <w:p w14:paraId="19D02843"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u w:val="single"/>
          <w:lang w:val="bg-BG"/>
        </w:rPr>
        <w:t xml:space="preserve">- Други правила, които биха могли да доведат до намеса в правото на неприкосновеност на дома: </w:t>
      </w:r>
      <w:r w:rsidRPr="00BE2256">
        <w:rPr>
          <w:rFonts w:ascii="Arial" w:eastAsia="Calibri" w:hAnsi="Arial" w:cs="Arial"/>
          <w:sz w:val="20"/>
          <w:szCs w:val="20"/>
          <w:lang w:val="bg-BG"/>
        </w:rPr>
        <w:t>Чл. 196 от ЗУТ предвижда разрушаване на опасни сгради, които не могат да бъдат поправени и заздравени, а чл. 178 от ЗУТ предвижда забрана за използване на строежи преди издаване на разрешение [въвеждане в експлоатация]. Властите посочиха, че настоящата група дела изглежда не налага задължение за оценка на пропорционалността на заповедите, уредени от горните разпоредби, тъй като Съдът не е установил нарушение във връзка с такива заповеди. Те считат, че забавянето на разрушаването на опасна сграда не изглежда разумно и при всички случаи е налице съдебен контрол, който позволява да се провери дали премахването [на сгради] на такива основания наистина е послужило за постигане на предвидените в закона цели.</w:t>
      </w:r>
    </w:p>
    <w:p w14:paraId="61A55313" w14:textId="77777777" w:rsidR="00BE2256" w:rsidRPr="00BE2256" w:rsidRDefault="00BE2256" w:rsidP="00BE2256">
      <w:pPr>
        <w:spacing w:after="0" w:line="240" w:lineRule="auto"/>
        <w:rPr>
          <w:rFonts w:ascii="Arial" w:eastAsia="Calibri" w:hAnsi="Arial" w:cs="Arial"/>
          <w:sz w:val="20"/>
          <w:szCs w:val="20"/>
          <w:lang w:val="bg-BG"/>
        </w:rPr>
      </w:pPr>
    </w:p>
    <w:p w14:paraId="1E70FDB6" w14:textId="77777777" w:rsidR="00BE2256" w:rsidRPr="00BE2256" w:rsidRDefault="00BE2256" w:rsidP="00BE2256">
      <w:pPr>
        <w:spacing w:after="0" w:line="240" w:lineRule="auto"/>
        <w:rPr>
          <w:rFonts w:ascii="Arial" w:eastAsia="Calibri" w:hAnsi="Arial" w:cs="Arial"/>
          <w:bCs/>
          <w:sz w:val="20"/>
          <w:szCs w:val="20"/>
          <w:lang w:val="bg-BG"/>
        </w:rPr>
      </w:pPr>
      <w:r w:rsidRPr="00BE2256">
        <w:rPr>
          <w:rFonts w:ascii="Arial" w:eastAsia="Calibri" w:hAnsi="Arial" w:cs="Arial"/>
          <w:sz w:val="20"/>
          <w:szCs w:val="20"/>
          <w:u w:val="single"/>
          <w:lang w:val="bg-BG"/>
        </w:rPr>
        <w:lastRenderedPageBreak/>
        <w:t>- Преценка на съразмерността на действията за изпълнение :</w:t>
      </w:r>
      <w:r w:rsidRPr="00BE2256">
        <w:rPr>
          <w:rFonts w:ascii="Arial" w:eastAsia="Calibri" w:hAnsi="Arial" w:cs="Arial"/>
          <w:sz w:val="20"/>
          <w:szCs w:val="20"/>
          <w:lang w:val="bg-BG"/>
        </w:rPr>
        <w:t xml:space="preserve"> А</w:t>
      </w:r>
      <w:r w:rsidRPr="00BE2256">
        <w:rPr>
          <w:rFonts w:ascii="Arial" w:eastAsia="Calibri" w:hAnsi="Arial" w:cs="Arial"/>
          <w:bCs/>
          <w:sz w:val="20"/>
          <w:szCs w:val="20"/>
          <w:lang w:val="bg-BG"/>
        </w:rPr>
        <w:t xml:space="preserve">дминистративните съдилища са отменили действия за изпълнение на заповеди за принудително извеждане, в частност на заповеди за </w:t>
      </w:r>
      <w:r w:rsidRPr="00BE2256">
        <w:rPr>
          <w:rFonts w:ascii="Arial" w:eastAsia="Calibri" w:hAnsi="Arial" w:cs="Arial"/>
          <w:sz w:val="20"/>
          <w:lang w:val="bg-BG"/>
        </w:rPr>
        <w:t>премахване [на незаконен строеж, който служи за жилище]</w:t>
      </w:r>
      <w:r w:rsidRPr="00BE2256">
        <w:rPr>
          <w:rFonts w:ascii="Arial" w:eastAsia="Calibri" w:hAnsi="Arial" w:cs="Arial"/>
          <w:sz w:val="20"/>
          <w:szCs w:val="20"/>
          <w:lang w:val="bg-BG"/>
        </w:rPr>
        <w:t xml:space="preserve"> </w:t>
      </w:r>
      <w:r w:rsidRPr="00BE2256">
        <w:rPr>
          <w:rFonts w:ascii="Arial" w:eastAsia="Calibri" w:hAnsi="Arial" w:cs="Arial"/>
          <w:bCs/>
          <w:sz w:val="20"/>
          <w:szCs w:val="20"/>
          <w:lang w:val="bg-BG"/>
        </w:rPr>
        <w:t xml:space="preserve">или са спрели тяхното изпълнение с мотив, че условията, при които се изпълняват съответните заповеди, са причинили непропорционална намеса в правата на засегнатите лица, гарантирани от чл. 8 от Конвенцията. Такива съдебни решения не засягат валидността на самата заповед за </w:t>
      </w:r>
      <w:r w:rsidRPr="00BE2256">
        <w:rPr>
          <w:rFonts w:ascii="Arial" w:eastAsia="Calibri" w:hAnsi="Arial" w:cs="Arial"/>
          <w:sz w:val="20"/>
          <w:lang w:val="bg-BG"/>
        </w:rPr>
        <w:t>премахване [на незаконен строеж]</w:t>
      </w:r>
      <w:r w:rsidRPr="00BE2256">
        <w:rPr>
          <w:rFonts w:ascii="Arial" w:eastAsia="Calibri" w:hAnsi="Arial" w:cs="Arial"/>
          <w:bCs/>
          <w:sz w:val="20"/>
          <w:szCs w:val="20"/>
          <w:lang w:val="bg-BG"/>
        </w:rPr>
        <w:t xml:space="preserve">, която решава окончателно въпроса дали дадена постройка трябва да бъде съборена или не. Засегнатите лица, на които е отказано право да инициират съдебен контрол на заповед за премахване </w:t>
      </w:r>
      <w:r w:rsidRPr="00BE2256">
        <w:rPr>
          <w:rFonts w:ascii="Arial" w:eastAsia="Calibri" w:hAnsi="Arial" w:cs="Arial"/>
          <w:sz w:val="20"/>
          <w:lang w:val="bg-BG"/>
        </w:rPr>
        <w:t>[на незаконен строеж, който служи за жилище]</w:t>
      </w:r>
      <w:r w:rsidRPr="00BE2256">
        <w:rPr>
          <w:rFonts w:ascii="Arial" w:eastAsia="Calibri" w:hAnsi="Arial" w:cs="Arial"/>
          <w:bCs/>
          <w:sz w:val="20"/>
          <w:szCs w:val="20"/>
          <w:lang w:val="bg-BG"/>
        </w:rPr>
        <w:t>, биха могли да имат право да обжалват действията за нейното изпълнение,</w:t>
      </w:r>
    </w:p>
    <w:p w14:paraId="6FC1E19E" w14:textId="77777777" w:rsidR="00BE2256" w:rsidRPr="00BE2256" w:rsidRDefault="00BE2256" w:rsidP="00BE2256">
      <w:pPr>
        <w:spacing w:after="0" w:line="240" w:lineRule="auto"/>
        <w:rPr>
          <w:rFonts w:ascii="Arial" w:eastAsia="Calibri" w:hAnsi="Arial" w:cs="Arial"/>
          <w:bCs/>
          <w:sz w:val="20"/>
          <w:szCs w:val="20"/>
          <w:lang w:val="bg-BG"/>
        </w:rPr>
      </w:pPr>
    </w:p>
    <w:p w14:paraId="7BF95492" w14:textId="77777777" w:rsidR="00BE2256" w:rsidRPr="00BE2256" w:rsidRDefault="00BE2256" w:rsidP="00BE2256">
      <w:pPr>
        <w:spacing w:after="0" w:line="240" w:lineRule="auto"/>
        <w:rPr>
          <w:rFonts w:ascii="Arial" w:eastAsia="Calibri" w:hAnsi="Arial" w:cs="Arial"/>
          <w:sz w:val="20"/>
          <w:szCs w:val="20"/>
          <w:lang w:val="bg-BG"/>
        </w:rPr>
      </w:pPr>
      <w:bookmarkStart w:id="4" w:name="DebateReasonEnglish"/>
      <w:bookmarkEnd w:id="4"/>
      <w:r w:rsidRPr="00BE2256">
        <w:rPr>
          <w:rFonts w:ascii="Arial" w:eastAsia="Calibri" w:hAnsi="Arial" w:cs="Arial"/>
          <w:sz w:val="20"/>
          <w:szCs w:val="20"/>
          <w:lang w:val="bg-BG"/>
        </w:rPr>
        <w:t xml:space="preserve">- </w:t>
      </w:r>
      <w:r w:rsidRPr="00BE2256">
        <w:rPr>
          <w:rFonts w:ascii="Arial" w:eastAsia="Calibri" w:hAnsi="Arial" w:cs="Arial"/>
          <w:sz w:val="20"/>
          <w:szCs w:val="20"/>
          <w:u w:val="single"/>
          <w:lang w:val="bg-BG"/>
        </w:rPr>
        <w:t>Предложение за законодателни реформи:</w:t>
      </w:r>
      <w:r w:rsidRPr="00BE2256">
        <w:rPr>
          <w:rFonts w:ascii="Arial" w:eastAsia="Calibri" w:hAnsi="Arial" w:cs="Arial"/>
          <w:sz w:val="20"/>
          <w:szCs w:val="20"/>
          <w:lang w:val="bg-BG"/>
        </w:rPr>
        <w:t> През 2019 г.  властите представиха проектозакон („проектозакон от 2019 г.“), който се отнася до изменението на няколко закона</w:t>
      </w:r>
      <w:r w:rsidRPr="00BE2256">
        <w:rPr>
          <w:rFonts w:ascii="Arial" w:eastAsia="Calibri" w:hAnsi="Arial" w:cs="Arial"/>
          <w:sz w:val="20"/>
          <w:szCs w:val="20"/>
          <w:vertAlign w:val="superscript"/>
          <w:lang w:val="bg-BG"/>
        </w:rPr>
        <w:footnoteReference w:id="8"/>
      </w:r>
      <w:r w:rsidRPr="00BE2256">
        <w:rPr>
          <w:rFonts w:ascii="Arial" w:eastAsia="Calibri" w:hAnsi="Arial" w:cs="Arial"/>
          <w:sz w:val="20"/>
          <w:szCs w:val="20"/>
          <w:lang w:val="bg-BG"/>
        </w:rPr>
        <w:t xml:space="preserve">  и предвижда, между другото:</w:t>
      </w:r>
    </w:p>
    <w:p w14:paraId="272E4DB7" w14:textId="77777777" w:rsidR="00BE2256" w:rsidRPr="00BE2256" w:rsidRDefault="00BE2256" w:rsidP="00BE2256">
      <w:pPr>
        <w:spacing w:after="0" w:line="240" w:lineRule="auto"/>
        <w:rPr>
          <w:rFonts w:ascii="Arial" w:eastAsia="Calibri" w:hAnsi="Arial" w:cs="Arial"/>
          <w:sz w:val="20"/>
          <w:szCs w:val="20"/>
          <w:lang w:val="bg-BG"/>
        </w:rPr>
      </w:pPr>
    </w:p>
    <w:p w14:paraId="366835E1"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lang w:val="bg-BG"/>
        </w:rPr>
        <w:t>- задължение за извършване на преценка за пропорционалност преди издаването на заповед за премахване на незаконно жилище, което е единственият дом на лица, които имат право на собственост или са извършили строителните работи, и на тези, които пребивават в жилището с тях;</w:t>
      </w:r>
    </w:p>
    <w:p w14:paraId="56E7CEC1"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lang w:val="bg-BG"/>
        </w:rPr>
        <w:t>- задължение за извършване на преценка за пропорционалност преди издаване на заповеди за отстраняване от жилище, отнасящи се до общински и държавни жилища, ако те са единственият дом на лицата, пребиваващи в тях;</w:t>
      </w:r>
    </w:p>
    <w:p w14:paraId="15F3B009"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lang w:val="bg-BG"/>
        </w:rPr>
        <w:t>- задължение за спиране на процедурата по приемане на заповед за премахване [на незаконно жилище] или отстраняване [от държавно или общинско жилище], ако намесата бъде оценена като непропорционална, докато бъде намерено алтернативно настаняване или до промяна на обстоятелствата;</w:t>
      </w:r>
    </w:p>
    <w:p w14:paraId="40B50EA7"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lang w:val="bg-BG"/>
        </w:rPr>
        <w:t>- продължаване на висящите процедури за издаване на заповеди за премахване [на незаконно жилище] съгласно новите правила;</w:t>
      </w:r>
    </w:p>
    <w:p w14:paraId="7CFFFE25"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lang w:val="bg-BG"/>
        </w:rPr>
        <w:t>- възможност да се отложи изпълнението на окончателна заповед за премахване [на незаконно жилище] в случай на променени обстоятелства;</w:t>
      </w:r>
    </w:p>
    <w:p w14:paraId="03C5DDB6"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lang w:val="bg-BG"/>
        </w:rPr>
        <w:t>- отмяна на незабавното изпълнение на заповедите за отстраняване от жилища, които са публична собственост.</w:t>
      </w:r>
    </w:p>
    <w:p w14:paraId="58D743CA" w14:textId="77777777" w:rsidR="00BE2256" w:rsidRPr="00BE2256" w:rsidRDefault="00BE2256" w:rsidP="00BE2256">
      <w:pPr>
        <w:spacing w:after="0" w:line="240" w:lineRule="auto"/>
        <w:rPr>
          <w:rFonts w:ascii="Arial" w:eastAsia="Calibri" w:hAnsi="Arial" w:cs="Arial"/>
          <w:sz w:val="20"/>
          <w:szCs w:val="20"/>
          <w:lang w:val="bg-BG"/>
        </w:rPr>
      </w:pPr>
    </w:p>
    <w:p w14:paraId="555090D2"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lang w:val="bg-BG"/>
        </w:rPr>
        <w:t>Властите посочиха, че поради епидемията от корона вирус, която е поставила под натиск държавните институции и им е наложила приоритети, подготовката на оценка на въздействието и на финансовите последици от горепосочения законопроект изисква допълнително време за събиране на информация от множество заинтересовани страни. Публикуването на законопроекта за обществено обсъждане ще бъде възможно, след като оценката бъде внесена за съгласуване при администрацията на Министерския съвет. Те считат, че зараждащата се установеност в съдебната практика на ВАС предоставя адекватни гаранции в контекста на съществуващата правна рамка, въпреки липсата на законодателни изменения.</w:t>
      </w:r>
    </w:p>
    <w:p w14:paraId="0ED0AC79" w14:textId="77777777" w:rsidR="00BE2256" w:rsidRPr="00BE2256" w:rsidRDefault="00BE2256" w:rsidP="00BE2256">
      <w:pPr>
        <w:spacing w:after="0" w:line="240" w:lineRule="auto"/>
        <w:rPr>
          <w:rFonts w:ascii="Arial" w:eastAsia="Calibri" w:hAnsi="Arial" w:cs="Arial"/>
          <w:sz w:val="20"/>
          <w:szCs w:val="20"/>
          <w:u w:val="single"/>
          <w:lang w:val="bg-BG"/>
        </w:rPr>
      </w:pPr>
    </w:p>
    <w:p w14:paraId="76754BCF"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u w:val="single"/>
          <w:lang w:val="bg-BG"/>
        </w:rPr>
        <w:t>- Комуникация на Комисаря по правата на човека на Съвета на Европа</w:t>
      </w:r>
      <w:r w:rsidRPr="00BE2256">
        <w:rPr>
          <w:rFonts w:ascii="Arial" w:eastAsia="Calibri" w:hAnsi="Arial" w:cs="Arial"/>
          <w:sz w:val="20"/>
          <w:szCs w:val="20"/>
          <w:lang w:val="bg-BG"/>
        </w:rPr>
        <w:t>: В комуникацията си от октомври 2020 г.</w:t>
      </w:r>
      <w:r w:rsidRPr="00BE2256">
        <w:rPr>
          <w:rFonts w:ascii="Arial" w:eastAsia="Calibri" w:hAnsi="Arial" w:cs="Arial"/>
          <w:sz w:val="20"/>
          <w:szCs w:val="20"/>
          <w:vertAlign w:val="superscript"/>
          <w:lang w:val="bg-BG"/>
        </w:rPr>
        <w:t xml:space="preserve"> </w:t>
      </w:r>
      <w:r w:rsidRPr="00BE2256">
        <w:rPr>
          <w:rFonts w:ascii="Arial" w:eastAsia="Calibri" w:hAnsi="Arial" w:cs="Arial"/>
          <w:sz w:val="20"/>
          <w:szCs w:val="20"/>
          <w:vertAlign w:val="superscript"/>
        </w:rPr>
        <w:footnoteReference w:id="9"/>
      </w:r>
      <w:r w:rsidRPr="00BE2256">
        <w:rPr>
          <w:rFonts w:ascii="Arial" w:eastAsia="Calibri" w:hAnsi="Arial" w:cs="Arial"/>
          <w:sz w:val="20"/>
          <w:szCs w:val="20"/>
          <w:lang w:val="bg-BG"/>
        </w:rPr>
        <w:t xml:space="preserve"> Комисарят отбелязва, между другото, че заповедите за отстраняване [от жилище] и за премахване [на незаконни жилища] в България често се издават в контекста на прояви на враждебност срещу ромите и отново изразява загрижеността си, че разрушаването на жилища на роми може да бъде повлияно от други съображения, освен от незаконността или липсата на безопасност на сградите. Припомняйки конфликт в село Войводиново, тя отбелязва, че местните власти незабавно са съборили някои къщи и са издали заповеди за събарянето на други с мотива, че са незаконно построени или опасни. Ромите, които са напуснали селото на практика за една нощ, са отишли да живеят другаде при изключително несгодни условия.</w:t>
      </w:r>
    </w:p>
    <w:p w14:paraId="0CEA4AB3" w14:textId="77777777" w:rsidR="00BE2256" w:rsidRPr="00BE2256" w:rsidRDefault="00BE2256" w:rsidP="00BE2256">
      <w:pPr>
        <w:spacing w:after="0" w:line="240" w:lineRule="auto"/>
        <w:rPr>
          <w:rFonts w:ascii="Arial" w:eastAsia="Calibri" w:hAnsi="Arial" w:cs="Arial"/>
          <w:sz w:val="20"/>
          <w:szCs w:val="20"/>
          <w:lang w:val="bg-BG"/>
        </w:rPr>
      </w:pPr>
    </w:p>
    <w:p w14:paraId="13406A4E"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lang w:val="bg-BG"/>
        </w:rPr>
        <w:t>Комисарят настоява, межда другото, на необходимостта българските власти:</w:t>
      </w:r>
    </w:p>
    <w:p w14:paraId="293AEB6F" w14:textId="77777777" w:rsidR="00BE2256" w:rsidRPr="00BE2256" w:rsidRDefault="00BE2256" w:rsidP="00BE2256">
      <w:pPr>
        <w:spacing w:after="0" w:line="240" w:lineRule="auto"/>
        <w:rPr>
          <w:rFonts w:ascii="Arial" w:eastAsia="Calibri" w:hAnsi="Arial" w:cs="Arial"/>
          <w:sz w:val="20"/>
          <w:szCs w:val="20"/>
          <w:lang w:val="bg-BG"/>
        </w:rPr>
      </w:pPr>
    </w:p>
    <w:p w14:paraId="5466C489"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lang w:val="bg-BG"/>
        </w:rPr>
        <w:lastRenderedPageBreak/>
        <w:t>(i) да завършат незабавно законодателните изменения, предвиждащи прилагането на принципа на пропорционалност в контекста на принудителното извеждане от жилища, и да осигурят последователното му прилагане от съдилища и други органи;</w:t>
      </w:r>
    </w:p>
    <w:p w14:paraId="058E92FD" w14:textId="77777777" w:rsidR="00BE2256" w:rsidRPr="00BE2256" w:rsidRDefault="00BE2256" w:rsidP="00BE2256">
      <w:pPr>
        <w:spacing w:after="0" w:line="240" w:lineRule="auto"/>
        <w:rPr>
          <w:rFonts w:ascii="Arial" w:eastAsia="Calibri" w:hAnsi="Arial" w:cs="Arial"/>
          <w:sz w:val="20"/>
          <w:szCs w:val="20"/>
          <w:lang w:val="bg-BG"/>
        </w:rPr>
      </w:pPr>
    </w:p>
    <w:p w14:paraId="49A9B7DF"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lang w:val="bg-BG"/>
        </w:rPr>
        <w:t>(ii) да гарантират, че принудителното изваждане от жилища, когато се извършва, зачита достойнството на лицата и правата на децата и уязвимите лица и че са осигурени алтернативно настаняване или други компенсаторни мерки;</w:t>
      </w:r>
    </w:p>
    <w:p w14:paraId="0EFFB630" w14:textId="77777777" w:rsidR="00BE2256" w:rsidRPr="00BE2256" w:rsidRDefault="00BE2256" w:rsidP="00BE2256">
      <w:pPr>
        <w:spacing w:after="0" w:line="240" w:lineRule="auto"/>
        <w:rPr>
          <w:rFonts w:ascii="Arial" w:eastAsia="Calibri" w:hAnsi="Arial" w:cs="Arial"/>
          <w:sz w:val="20"/>
          <w:szCs w:val="20"/>
          <w:lang w:val="bg-BG"/>
        </w:rPr>
      </w:pPr>
    </w:p>
    <w:p w14:paraId="02FD108E"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lang w:val="bg-BG"/>
        </w:rPr>
        <w:t xml:space="preserve">(iii) да предприемат мерки за избягване на бъдещи принудителни извеждания от жилища и да идентифицират устойчиви жилищни решения, между другото чрез узаконяване на неформални селища, и да предприемат решителни мерки за подобряване на жилищните условия на ромите, в съответствие с Препоръка </w:t>
      </w:r>
      <w:proofErr w:type="spellStart"/>
      <w:r w:rsidRPr="00BE2256">
        <w:rPr>
          <w:rFonts w:ascii="Arial" w:eastAsia="Calibri" w:hAnsi="Arial" w:cs="Arial"/>
          <w:sz w:val="20"/>
          <w:szCs w:val="20"/>
          <w:lang w:val="bg-BG"/>
        </w:rPr>
        <w:t>Rec</w:t>
      </w:r>
      <w:proofErr w:type="spellEnd"/>
      <w:r w:rsidRPr="00BE2256">
        <w:rPr>
          <w:rFonts w:ascii="Arial" w:eastAsia="Calibri" w:hAnsi="Arial" w:cs="Arial"/>
          <w:sz w:val="20"/>
          <w:szCs w:val="20"/>
          <w:lang w:val="bg-BG"/>
        </w:rPr>
        <w:t xml:space="preserve"> (2005) 4 на Комитета на министрите ;</w:t>
      </w:r>
    </w:p>
    <w:p w14:paraId="4170C525" w14:textId="77777777" w:rsidR="00BE2256" w:rsidRPr="00BE2256" w:rsidRDefault="00BE2256" w:rsidP="00BE2256">
      <w:pPr>
        <w:spacing w:after="0" w:line="240" w:lineRule="auto"/>
        <w:rPr>
          <w:rFonts w:ascii="Arial" w:eastAsia="Calibri" w:hAnsi="Arial" w:cs="Arial"/>
          <w:sz w:val="20"/>
          <w:szCs w:val="20"/>
          <w:lang w:val="bg-BG"/>
        </w:rPr>
      </w:pPr>
    </w:p>
    <w:p w14:paraId="1E47E0B5"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lang w:val="bg-BG"/>
        </w:rPr>
        <w:t>(iv) да подобрят достъпа на ромите до социални жилища чрез приемане на обвързващ и амбициозен план за действие за увеличаване на наличността на такива жилища и чрез преразглеждане на критериите за достъп до тях, така че да се отменят или направят по-гъвкави онези правила, които понастоящем правят невъзможно на практика ромите да кандидатстват за общински жилища, както и чрез създаване на подходяща законодателна рамка за жилищни мерки, предприети от местните власти.</w:t>
      </w:r>
    </w:p>
    <w:p w14:paraId="46843614" w14:textId="77777777" w:rsidR="00BE2256" w:rsidRPr="00BE2256" w:rsidRDefault="00BE2256" w:rsidP="00BE2256">
      <w:pPr>
        <w:spacing w:after="0" w:line="240" w:lineRule="auto"/>
        <w:rPr>
          <w:rFonts w:ascii="Arial" w:eastAsia="Calibri" w:hAnsi="Arial" w:cs="Arial"/>
          <w:sz w:val="20"/>
          <w:szCs w:val="20"/>
          <w:lang w:val="bg-BG"/>
        </w:rPr>
      </w:pPr>
    </w:p>
    <w:p w14:paraId="591B6B31"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lang w:val="bg-BG"/>
        </w:rPr>
        <w:t>В отговора си властите оцениха високо препоръките на Комисаря, но настояха че чл. 8 не създава в полза на лицата право да им бъде осигурен дом и че само по изключение може да възникне задължение за предоставяне на подслон на уязвими лица в изключителни случаи. Те отбелязват, че препоръките за разширяване на наличността на социални жилища и подобряване на съществуващите жилищни условия на ромите изглежда надхвърлят обхвата на изпълнение на решения по тази група дела и че тези решения не изискват от държавата да създаде възможност за узаконяване на незаконни строежи.</w:t>
      </w:r>
    </w:p>
    <w:p w14:paraId="0BEC0D0C" w14:textId="77777777" w:rsidR="00BE2256" w:rsidRPr="00BE2256" w:rsidRDefault="00BE2256" w:rsidP="00BE2256">
      <w:pPr>
        <w:spacing w:after="0" w:line="240" w:lineRule="auto"/>
        <w:rPr>
          <w:rFonts w:ascii="Arial" w:eastAsia="Calibri" w:hAnsi="Arial" w:cs="Arial"/>
          <w:sz w:val="20"/>
          <w:szCs w:val="20"/>
          <w:lang w:val="bg-BG"/>
        </w:rPr>
      </w:pPr>
    </w:p>
    <w:p w14:paraId="79BD3B74"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u w:val="single"/>
          <w:lang w:val="bg-BG"/>
        </w:rPr>
        <w:t>- Информация за цялостната ситуация с разрушаването на незаконни жилища</w:t>
      </w:r>
      <w:r w:rsidRPr="00BE2256">
        <w:rPr>
          <w:rFonts w:ascii="Arial" w:eastAsia="Calibri" w:hAnsi="Arial" w:cs="Arial"/>
          <w:sz w:val="20"/>
          <w:szCs w:val="20"/>
          <w:lang w:val="bg-BG"/>
        </w:rPr>
        <w:t>: БХК е отбелязал, в своите комуникации от януари и октомври 2020 г., че проблемите, свързани с принудителното извеждане на ромски семейства от домовете им, са се засилили през последните години и е предоставил информация за скорошно отстраняване от жилища или премахване на жилища.</w:t>
      </w:r>
      <w:r w:rsidRPr="00BE2256">
        <w:rPr>
          <w:rFonts w:ascii="Arial" w:eastAsia="Calibri" w:hAnsi="Arial" w:cs="Times New Roman"/>
          <w:sz w:val="20"/>
          <w:lang w:val="bg-BG"/>
        </w:rPr>
        <w:t xml:space="preserve"> </w:t>
      </w:r>
      <w:r w:rsidRPr="00BE2256">
        <w:rPr>
          <w:rFonts w:ascii="Arial" w:eastAsia="Calibri" w:hAnsi="Arial" w:cs="Arial"/>
          <w:sz w:val="20"/>
          <w:szCs w:val="20"/>
          <w:lang w:val="bg-BG"/>
        </w:rPr>
        <w:t>БХК отбелязва, че според различни оценки между 50% и 70% от всички ромски домове в България са незаконно построени. Вътрешното законодателство не предвижда задължение за предоставяне на алтернативно жилище в случай на извеждане, дори на най-уязвимите лица. Освен това, въпреки че регистрацията на постоянен адрес е предпоставка за получаване на документ за самоличност и за подаване на молба за алтернативно жилище, 75 406 български граждани не са имали валидна регистрация през 2020 г., много от тях живеещи в незаконни жилища. В отговор властите посочиха, че неотдавнашните отстранявания от жилища или премахвания на жилища, споменати от БХК, са извършени след социални анкети или са включвали мерки за осигуряване на пропорционалност. Те събират информация за общинските жилища в над 250 общини в страната, както и за програмите за осигуряване на такива жилища.</w:t>
      </w:r>
    </w:p>
    <w:p w14:paraId="6B9ED6E3" w14:textId="77777777" w:rsidR="00BE2256" w:rsidRPr="00BE2256" w:rsidRDefault="00BE2256" w:rsidP="00BE2256">
      <w:pPr>
        <w:spacing w:after="0" w:line="240" w:lineRule="auto"/>
        <w:rPr>
          <w:rFonts w:ascii="Arial" w:eastAsia="Calibri" w:hAnsi="Arial" w:cs="Arial"/>
          <w:sz w:val="20"/>
          <w:szCs w:val="20"/>
          <w:lang w:val="bg-BG"/>
        </w:rPr>
      </w:pPr>
    </w:p>
    <w:p w14:paraId="47A6A525" w14:textId="77777777" w:rsidR="00BE2256" w:rsidRPr="00BE2256" w:rsidRDefault="00BE2256" w:rsidP="00BE2256">
      <w:pPr>
        <w:spacing w:after="0" w:line="240" w:lineRule="auto"/>
        <w:rPr>
          <w:rFonts w:ascii="Arial" w:eastAsia="Calibri" w:hAnsi="Arial" w:cs="Arial"/>
          <w:b/>
          <w:bCs/>
          <w:sz w:val="20"/>
          <w:szCs w:val="20"/>
          <w:lang w:val="bg-BG"/>
        </w:rPr>
      </w:pPr>
    </w:p>
    <w:p w14:paraId="5F1A5ED2" w14:textId="77777777" w:rsidR="00BE2256" w:rsidRPr="00BE2256" w:rsidRDefault="00BE2256" w:rsidP="00BE2256">
      <w:pPr>
        <w:spacing w:after="0" w:line="240" w:lineRule="auto"/>
        <w:rPr>
          <w:rFonts w:ascii="Arial" w:eastAsia="Calibri" w:hAnsi="Arial" w:cs="Arial"/>
          <w:b/>
          <w:bCs/>
          <w:sz w:val="20"/>
          <w:szCs w:val="20"/>
          <w:lang w:val="bg-BG"/>
        </w:rPr>
      </w:pPr>
      <w:r w:rsidRPr="00BE2256">
        <w:rPr>
          <w:rFonts w:ascii="Arial" w:eastAsia="Calibri" w:hAnsi="Arial" w:cs="Arial"/>
          <w:b/>
          <w:bCs/>
          <w:sz w:val="20"/>
          <w:szCs w:val="20"/>
          <w:lang w:val="bg-BG"/>
        </w:rPr>
        <w:t>Анализ на Секретариата</w:t>
      </w:r>
    </w:p>
    <w:p w14:paraId="11B48B17" w14:textId="77777777" w:rsidR="00BE2256" w:rsidRPr="00BE2256" w:rsidRDefault="00BE2256" w:rsidP="00BE2256">
      <w:pPr>
        <w:spacing w:after="0" w:line="240" w:lineRule="auto"/>
        <w:rPr>
          <w:rFonts w:ascii="Arial" w:eastAsia="Calibri" w:hAnsi="Arial" w:cs="Arial"/>
          <w:bCs/>
          <w:i/>
          <w:sz w:val="20"/>
          <w:szCs w:val="20"/>
          <w:u w:val="single"/>
          <w:lang w:val="bg-BG"/>
        </w:rPr>
      </w:pPr>
    </w:p>
    <w:p w14:paraId="56489AF1" w14:textId="77777777" w:rsidR="00BE2256" w:rsidRPr="00BE2256" w:rsidRDefault="00BE2256" w:rsidP="00BE2256">
      <w:pPr>
        <w:spacing w:after="0" w:line="240" w:lineRule="auto"/>
        <w:rPr>
          <w:rFonts w:ascii="Arial" w:eastAsia="Calibri" w:hAnsi="Arial" w:cs="Arial"/>
          <w:bCs/>
          <w:i/>
          <w:sz w:val="20"/>
          <w:szCs w:val="20"/>
          <w:u w:val="single"/>
          <w:lang w:val="bg-BG"/>
        </w:rPr>
      </w:pPr>
      <w:r w:rsidRPr="00BE2256">
        <w:rPr>
          <w:rFonts w:ascii="Arial" w:eastAsia="Calibri" w:hAnsi="Arial" w:cs="Arial"/>
          <w:bCs/>
          <w:i/>
          <w:sz w:val="20"/>
          <w:szCs w:val="20"/>
          <w:u w:val="single"/>
          <w:lang w:val="bg-BG"/>
        </w:rPr>
        <w:t>Индивидуални мерки</w:t>
      </w:r>
    </w:p>
    <w:p w14:paraId="3A6CE21F" w14:textId="77777777" w:rsidR="00BE2256" w:rsidRPr="00BE2256" w:rsidRDefault="00BE2256" w:rsidP="00BE2256">
      <w:pPr>
        <w:spacing w:after="0" w:line="240" w:lineRule="auto"/>
        <w:rPr>
          <w:rFonts w:ascii="Arial" w:eastAsia="Calibri" w:hAnsi="Arial" w:cs="Arial"/>
          <w:sz w:val="20"/>
          <w:lang w:val="bg-BG"/>
        </w:rPr>
      </w:pPr>
    </w:p>
    <w:p w14:paraId="7E2B9F8B" w14:textId="77777777" w:rsidR="00BE2256" w:rsidRPr="00BE2256" w:rsidRDefault="00BE2256" w:rsidP="00BE2256">
      <w:pPr>
        <w:spacing w:after="0" w:line="240" w:lineRule="auto"/>
        <w:rPr>
          <w:rFonts w:ascii="Arial" w:eastAsia="Calibri" w:hAnsi="Arial" w:cs="Arial"/>
          <w:bCs/>
          <w:sz w:val="20"/>
          <w:szCs w:val="20"/>
          <w:lang w:val="bg-BG"/>
        </w:rPr>
      </w:pPr>
      <w:r w:rsidRPr="00BE2256">
        <w:rPr>
          <w:rFonts w:ascii="Arial" w:eastAsia="Calibri" w:hAnsi="Arial" w:cs="Arial"/>
          <w:bCs/>
          <w:sz w:val="20"/>
          <w:szCs w:val="20"/>
          <w:lang w:val="bg-BG"/>
        </w:rPr>
        <w:t>Що се отнася до делото „</w:t>
      </w:r>
      <w:r w:rsidRPr="00BE2256">
        <w:rPr>
          <w:rFonts w:ascii="Arial" w:eastAsia="Calibri" w:hAnsi="Arial" w:cs="Arial"/>
          <w:bCs/>
          <w:i/>
          <w:iCs/>
          <w:sz w:val="20"/>
          <w:szCs w:val="20"/>
          <w:lang w:val="bg-BG"/>
        </w:rPr>
        <w:t>Йорданова и други</w:t>
      </w:r>
      <w:r w:rsidRPr="00BE2256">
        <w:rPr>
          <w:rFonts w:ascii="Arial" w:eastAsia="Calibri" w:hAnsi="Arial" w:cs="Arial"/>
          <w:bCs/>
          <w:sz w:val="20"/>
          <w:szCs w:val="20"/>
          <w:lang w:val="bg-BG"/>
        </w:rPr>
        <w:t>“, на този етап не се изискват конкретни мерки, както Комитетът вече e припомнил в решенията си, доколкото заповедта за отстраняване на жалбоподателите вече не може да бъде изпълнена и индивидуалните мерки, свързани с евентуална нова заповед за принудително извеждане, са тясно свързани с необходимите общи мерки. Що се отнася до делото „</w:t>
      </w:r>
      <w:r w:rsidRPr="00BE2256">
        <w:rPr>
          <w:rFonts w:ascii="Arial" w:eastAsia="Calibri" w:hAnsi="Arial" w:cs="Arial"/>
          <w:bCs/>
          <w:i/>
          <w:iCs/>
          <w:sz w:val="20"/>
          <w:szCs w:val="20"/>
          <w:lang w:val="bg-BG"/>
        </w:rPr>
        <w:t>Иванова и Черкезов“</w:t>
      </w:r>
      <w:r w:rsidRPr="00BE2256">
        <w:rPr>
          <w:rFonts w:ascii="Arial" w:eastAsia="Calibri" w:hAnsi="Arial" w:cs="Arial"/>
          <w:bCs/>
          <w:sz w:val="20"/>
          <w:szCs w:val="20"/>
          <w:lang w:val="bg-BG"/>
        </w:rPr>
        <w:t xml:space="preserve">, Комитетът може отново да призове властите да уточнят дали компетентните органи предвиждат да изпълнят заповедта за премахване </w:t>
      </w:r>
      <w:r w:rsidRPr="00BE2256">
        <w:rPr>
          <w:rFonts w:ascii="Arial" w:eastAsia="Calibri" w:hAnsi="Arial" w:cs="Arial"/>
          <w:sz w:val="20"/>
          <w:szCs w:val="20"/>
          <w:lang w:val="bg-BG"/>
        </w:rPr>
        <w:t xml:space="preserve">[на незаконен строеж] </w:t>
      </w:r>
      <w:r w:rsidRPr="00BE2256">
        <w:rPr>
          <w:rFonts w:ascii="Arial" w:eastAsia="Calibri" w:hAnsi="Arial" w:cs="Arial"/>
          <w:bCs/>
          <w:sz w:val="20"/>
          <w:szCs w:val="20"/>
          <w:lang w:val="bg-BG"/>
        </w:rPr>
        <w:t>и, ако е така, дали е извършена преценка за пропорционалност, отговаряща на изискванията на решението по това дело.</w:t>
      </w:r>
    </w:p>
    <w:p w14:paraId="6A9480FE" w14:textId="77777777" w:rsidR="00BE2256" w:rsidRPr="00BE2256" w:rsidRDefault="00BE2256" w:rsidP="00BE2256">
      <w:pPr>
        <w:spacing w:after="0" w:line="240" w:lineRule="auto"/>
        <w:rPr>
          <w:rFonts w:ascii="Arial" w:eastAsia="Calibri" w:hAnsi="Arial" w:cs="Arial"/>
          <w:bCs/>
          <w:sz w:val="20"/>
          <w:szCs w:val="20"/>
          <w:lang w:val="bg-BG"/>
        </w:rPr>
      </w:pPr>
    </w:p>
    <w:p w14:paraId="5E2586E2" w14:textId="77777777" w:rsidR="00BE2256" w:rsidRPr="00BE2256" w:rsidRDefault="00BE2256" w:rsidP="00BE2256">
      <w:pPr>
        <w:spacing w:after="0" w:line="240" w:lineRule="auto"/>
        <w:rPr>
          <w:rFonts w:ascii="Arial" w:eastAsia="Calibri" w:hAnsi="Arial" w:cs="Arial"/>
          <w:bCs/>
          <w:i/>
          <w:sz w:val="20"/>
          <w:szCs w:val="20"/>
          <w:u w:val="single"/>
          <w:lang w:val="bg-BG"/>
        </w:rPr>
      </w:pPr>
      <w:r w:rsidRPr="00BE2256">
        <w:rPr>
          <w:rFonts w:ascii="Arial" w:eastAsia="Calibri" w:hAnsi="Arial" w:cs="Arial"/>
          <w:bCs/>
          <w:i/>
          <w:sz w:val="20"/>
          <w:szCs w:val="20"/>
          <w:u w:val="single"/>
          <w:lang w:val="bg-BG"/>
        </w:rPr>
        <w:t>Общи мерки</w:t>
      </w:r>
    </w:p>
    <w:p w14:paraId="60B47A8B" w14:textId="77777777" w:rsidR="00BE2256" w:rsidRPr="00BE2256" w:rsidRDefault="00BE2256" w:rsidP="00BE2256">
      <w:pPr>
        <w:spacing w:after="0" w:line="240" w:lineRule="auto"/>
        <w:rPr>
          <w:rFonts w:ascii="Arial" w:eastAsia="Calibri" w:hAnsi="Arial" w:cs="Arial"/>
          <w:bCs/>
          <w:i/>
          <w:sz w:val="20"/>
          <w:szCs w:val="20"/>
          <w:u w:val="single"/>
          <w:lang w:val="bg-BG"/>
        </w:rPr>
      </w:pPr>
    </w:p>
    <w:p w14:paraId="06CE1CA9" w14:textId="77777777" w:rsidR="00BE2256" w:rsidRPr="00BE2256" w:rsidRDefault="00BE2256" w:rsidP="00BE2256">
      <w:pPr>
        <w:spacing w:after="0" w:line="240" w:lineRule="auto"/>
        <w:rPr>
          <w:rFonts w:ascii="Arial" w:eastAsia="Calibri" w:hAnsi="Arial" w:cs="Arial"/>
          <w:bCs/>
          <w:sz w:val="20"/>
          <w:szCs w:val="20"/>
          <w:u w:val="single"/>
          <w:lang w:val="bg-BG"/>
        </w:rPr>
      </w:pPr>
      <w:r w:rsidRPr="00BE2256">
        <w:rPr>
          <w:rFonts w:ascii="Arial" w:eastAsia="Calibri" w:hAnsi="Arial" w:cs="Arial"/>
          <w:bCs/>
          <w:sz w:val="20"/>
          <w:szCs w:val="20"/>
          <w:u w:val="single"/>
          <w:lang w:val="bg-BG"/>
        </w:rPr>
        <w:lastRenderedPageBreak/>
        <w:t>Развитие на практиката на съдилищата относно заповедите за изземване [на публичен имот]  или за премахване [на незаконен строеж]</w:t>
      </w:r>
    </w:p>
    <w:p w14:paraId="2C2E4408" w14:textId="77777777" w:rsidR="00BE2256" w:rsidRPr="00BE2256" w:rsidRDefault="00BE2256" w:rsidP="00BE2256">
      <w:pPr>
        <w:spacing w:after="0" w:line="240" w:lineRule="auto"/>
        <w:rPr>
          <w:rFonts w:ascii="Arial" w:eastAsia="Calibri" w:hAnsi="Arial" w:cs="Arial"/>
          <w:bCs/>
          <w:sz w:val="20"/>
          <w:szCs w:val="20"/>
          <w:lang w:val="bg-BG"/>
        </w:rPr>
      </w:pPr>
    </w:p>
    <w:p w14:paraId="05F4A912" w14:textId="77777777" w:rsidR="00BE2256" w:rsidRPr="00BE2256" w:rsidRDefault="00BE2256" w:rsidP="00BE2256">
      <w:pPr>
        <w:spacing w:after="0" w:line="240" w:lineRule="auto"/>
        <w:rPr>
          <w:rFonts w:ascii="Arial" w:eastAsia="Calibri" w:hAnsi="Arial" w:cs="Arial"/>
          <w:bCs/>
          <w:sz w:val="20"/>
          <w:szCs w:val="20"/>
          <w:lang w:val="bg-BG"/>
        </w:rPr>
      </w:pPr>
      <w:r w:rsidRPr="00BE2256">
        <w:rPr>
          <w:rFonts w:ascii="Arial" w:eastAsia="Calibri" w:hAnsi="Arial" w:cs="Arial"/>
          <w:bCs/>
          <w:sz w:val="20"/>
          <w:szCs w:val="20"/>
          <w:lang w:val="bg-BG"/>
        </w:rPr>
        <w:t>Положително е, че българските съдилища развиват своята практика по съдебно разглеждане на пропорционалността на заповеди за принудително извеждане от жилище. Тя обаче остава неустановена и малкият брой, но скорошни решения на ВАС (посочени от БХК), където прилагането на защитата по чл. 8 се ограничава до случаи на законно владеене, показват, че проблеми остават.</w:t>
      </w:r>
    </w:p>
    <w:p w14:paraId="1606D9EE" w14:textId="77777777" w:rsidR="00BE2256" w:rsidRPr="00BE2256" w:rsidRDefault="00BE2256" w:rsidP="00BE2256">
      <w:pPr>
        <w:spacing w:after="0" w:line="240" w:lineRule="auto"/>
        <w:rPr>
          <w:rFonts w:ascii="Arial" w:eastAsia="Calibri" w:hAnsi="Arial" w:cs="Arial"/>
          <w:bCs/>
          <w:sz w:val="20"/>
          <w:szCs w:val="20"/>
          <w:lang w:val="bg-BG"/>
        </w:rPr>
      </w:pPr>
    </w:p>
    <w:p w14:paraId="1FE33064" w14:textId="77777777" w:rsidR="00BE2256" w:rsidRPr="00BE2256" w:rsidRDefault="00BE2256" w:rsidP="00BE2256">
      <w:pPr>
        <w:spacing w:after="0" w:line="240" w:lineRule="auto"/>
        <w:rPr>
          <w:rFonts w:ascii="Arial" w:eastAsia="Calibri" w:hAnsi="Arial" w:cs="Arial"/>
          <w:bCs/>
          <w:sz w:val="20"/>
          <w:szCs w:val="20"/>
          <w:lang w:val="bg-BG"/>
        </w:rPr>
      </w:pPr>
      <w:r w:rsidRPr="00BE2256">
        <w:rPr>
          <w:rFonts w:ascii="Arial" w:eastAsia="Calibri" w:hAnsi="Arial" w:cs="Arial"/>
          <w:bCs/>
          <w:sz w:val="20"/>
          <w:szCs w:val="20"/>
          <w:lang w:val="bg-BG"/>
        </w:rPr>
        <w:t xml:space="preserve">Що се отнася до </w:t>
      </w:r>
      <w:r w:rsidRPr="00BE2256">
        <w:rPr>
          <w:rFonts w:ascii="Arial" w:eastAsia="Calibri" w:hAnsi="Arial" w:cs="Arial"/>
          <w:bCs/>
          <w:sz w:val="20"/>
          <w:szCs w:val="20"/>
          <w:u w:val="single"/>
          <w:lang w:val="bg-BG"/>
        </w:rPr>
        <w:t>незаконното владеене на имоти, принадлежащи на общината или държавата</w:t>
      </w:r>
      <w:r w:rsidRPr="00BE2256">
        <w:rPr>
          <w:rFonts w:ascii="Arial" w:eastAsia="Calibri" w:hAnsi="Arial" w:cs="Arial"/>
          <w:bCs/>
          <w:sz w:val="20"/>
          <w:szCs w:val="20"/>
          <w:lang w:val="bg-BG"/>
        </w:rPr>
        <w:t xml:space="preserve">, ВАС вече прави оценка на пропорционалността на отстраняването на наематели, но е необходим по-цялостен преглед, за да бъдат оценени условията, при които се осъществява съдебният контрол, включително мерките за осигуряване на пропорционалност на отстраняването от жилище. </w:t>
      </w:r>
    </w:p>
    <w:p w14:paraId="69C43741" w14:textId="77777777" w:rsidR="00BE2256" w:rsidRPr="00BE2256" w:rsidRDefault="00BE2256" w:rsidP="00BE2256">
      <w:pPr>
        <w:spacing w:after="0" w:line="240" w:lineRule="auto"/>
        <w:rPr>
          <w:rFonts w:ascii="Arial" w:eastAsia="Calibri" w:hAnsi="Arial" w:cs="Arial"/>
          <w:bCs/>
          <w:sz w:val="20"/>
          <w:szCs w:val="20"/>
          <w:lang w:val="bg-BG"/>
        </w:rPr>
      </w:pPr>
    </w:p>
    <w:p w14:paraId="2788AB08" w14:textId="77777777" w:rsidR="00BE2256" w:rsidRPr="00BE2256" w:rsidRDefault="00BE2256" w:rsidP="00BE2256">
      <w:pPr>
        <w:spacing w:after="0" w:line="240" w:lineRule="auto"/>
        <w:rPr>
          <w:rFonts w:ascii="Arial" w:eastAsia="Calibri" w:hAnsi="Arial" w:cs="Arial"/>
          <w:bCs/>
          <w:sz w:val="20"/>
          <w:szCs w:val="20"/>
          <w:lang w:val="bg-BG"/>
        </w:rPr>
      </w:pPr>
      <w:r w:rsidRPr="00BE2256">
        <w:rPr>
          <w:rFonts w:ascii="Arial" w:eastAsia="Calibri" w:hAnsi="Arial" w:cs="Arial"/>
          <w:bCs/>
          <w:sz w:val="20"/>
          <w:szCs w:val="20"/>
          <w:lang w:val="bg-BG"/>
        </w:rPr>
        <w:t xml:space="preserve">Що се отнася </w:t>
      </w:r>
      <w:r w:rsidRPr="00BE2256">
        <w:rPr>
          <w:rFonts w:ascii="Arial" w:eastAsia="Calibri" w:hAnsi="Arial" w:cs="Arial"/>
          <w:bCs/>
          <w:sz w:val="20"/>
          <w:szCs w:val="20"/>
          <w:u w:val="single"/>
          <w:lang w:val="bg-BG"/>
        </w:rPr>
        <w:t>до заповедите за премахване на незаконни жилища</w:t>
      </w:r>
      <w:r w:rsidRPr="00BE2256">
        <w:rPr>
          <w:rFonts w:ascii="Arial" w:eastAsia="Calibri" w:hAnsi="Arial" w:cs="Arial"/>
          <w:bCs/>
          <w:sz w:val="20"/>
          <w:szCs w:val="20"/>
          <w:lang w:val="bg-BG"/>
        </w:rPr>
        <w:t>, изглежда, че само лица, които имат вещни права или са извършили строителството на незаконното жилище, имат ясно призната активна легитимация, която би могла да им позволи да поискат съдебна преценка на пропорционалността. Що се отнася до останалите лица, практиката на националните съдилища не е установена. Освен това, тъй като процесът на вземане на решения от административните органи не изисква идентифициране на засегнатите лица (дори когато това е осъществимо), съдебните оценки на положението на засегнатите лица изглеждат по-малко сигурни и достъпът на засегнатите до съд - по-труден. Изглежда също така необходимо да се покаже, че съдебните оценки действително отчитат личните обстоятелства на засегнатите лица.</w:t>
      </w:r>
    </w:p>
    <w:p w14:paraId="41161365" w14:textId="77777777" w:rsidR="00BE2256" w:rsidRPr="00BE2256" w:rsidRDefault="00BE2256" w:rsidP="00BE2256">
      <w:pPr>
        <w:spacing w:after="0" w:line="240" w:lineRule="auto"/>
        <w:rPr>
          <w:rFonts w:ascii="Arial" w:eastAsia="Calibri" w:hAnsi="Arial" w:cs="Arial"/>
          <w:bCs/>
          <w:sz w:val="20"/>
          <w:szCs w:val="20"/>
          <w:lang w:val="bg-BG"/>
        </w:rPr>
      </w:pPr>
    </w:p>
    <w:p w14:paraId="06F2DA18" w14:textId="77777777" w:rsidR="00BE2256" w:rsidRPr="00BE2256" w:rsidRDefault="00BE2256" w:rsidP="00BE2256">
      <w:pPr>
        <w:spacing w:after="0" w:line="240" w:lineRule="auto"/>
        <w:rPr>
          <w:rFonts w:ascii="Arial" w:eastAsia="Calibri" w:hAnsi="Arial" w:cs="Arial"/>
          <w:bCs/>
          <w:sz w:val="20"/>
          <w:szCs w:val="20"/>
          <w:lang w:val="bg-BG"/>
        </w:rPr>
      </w:pPr>
      <w:r w:rsidRPr="00BE2256">
        <w:rPr>
          <w:rFonts w:ascii="Arial" w:eastAsia="Calibri" w:hAnsi="Arial" w:cs="Arial"/>
          <w:bCs/>
          <w:sz w:val="20"/>
          <w:szCs w:val="20"/>
          <w:lang w:val="bg-BG"/>
        </w:rPr>
        <w:t>Освен това съдебната практика изглежда недостатъчна, за да създаде ясна правна рамка за преценка на пропорционалността от страна на администрацията.</w:t>
      </w:r>
    </w:p>
    <w:p w14:paraId="2DA57A60" w14:textId="77777777" w:rsidR="00BE2256" w:rsidRPr="00BE2256" w:rsidRDefault="00BE2256" w:rsidP="00BE2256">
      <w:pPr>
        <w:spacing w:after="0" w:line="240" w:lineRule="auto"/>
        <w:rPr>
          <w:rFonts w:ascii="Arial" w:eastAsia="Calibri" w:hAnsi="Arial" w:cs="Arial"/>
          <w:bCs/>
          <w:sz w:val="20"/>
          <w:szCs w:val="20"/>
          <w:lang w:val="bg-BG"/>
        </w:rPr>
      </w:pPr>
    </w:p>
    <w:p w14:paraId="40547C6F" w14:textId="77777777" w:rsidR="00BE2256" w:rsidRPr="00BE2256" w:rsidRDefault="00BE2256" w:rsidP="00BE2256">
      <w:pPr>
        <w:spacing w:after="0" w:line="240" w:lineRule="auto"/>
        <w:rPr>
          <w:rFonts w:ascii="Arial" w:eastAsia="Calibri" w:hAnsi="Arial" w:cs="Arial"/>
          <w:sz w:val="20"/>
          <w:szCs w:val="20"/>
          <w:u w:val="single"/>
          <w:lang w:val="bg-BG"/>
        </w:rPr>
      </w:pPr>
      <w:r w:rsidRPr="00BE2256">
        <w:rPr>
          <w:rFonts w:ascii="Arial" w:eastAsia="Calibri" w:hAnsi="Arial" w:cs="Arial"/>
          <w:sz w:val="20"/>
          <w:szCs w:val="20"/>
          <w:u w:val="single"/>
          <w:lang w:val="bg-BG"/>
        </w:rPr>
        <w:t>Законодателна реформа</w:t>
      </w:r>
    </w:p>
    <w:p w14:paraId="043673B6" w14:textId="77777777" w:rsidR="00BE2256" w:rsidRPr="00BE2256" w:rsidRDefault="00BE2256" w:rsidP="00BE2256">
      <w:pPr>
        <w:spacing w:after="0" w:line="240" w:lineRule="auto"/>
        <w:rPr>
          <w:rFonts w:ascii="Arial" w:eastAsia="Calibri" w:hAnsi="Arial" w:cs="Arial"/>
          <w:sz w:val="20"/>
          <w:szCs w:val="20"/>
          <w:u w:val="single"/>
          <w:lang w:val="bg-BG"/>
        </w:rPr>
      </w:pPr>
    </w:p>
    <w:p w14:paraId="3801C83D"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lang w:val="bg-BG"/>
        </w:rPr>
        <w:t>С оглед на горния анализ и указанията на Европейския съд съгласно чл. 46, Комитетът би могъл отново да призове властите бързо да завършат законодателния процес, иницииран през 2019 г. (тъй като проектозаконът от 2019 г. изглежда адекватна основа за оценка на пропорционалността), като същевременно гарантират, че всички лица, засегнати от заповедта за премахване [на незаконно жилище], могат да се възползват от преценка на пропорционалността (дори ако те или членовете на техните домакинства нямат вещни права и не са извършили строителните работи).</w:t>
      </w:r>
    </w:p>
    <w:p w14:paraId="376B8BB3" w14:textId="77777777" w:rsidR="00BE2256" w:rsidRPr="00BE2256" w:rsidRDefault="00BE2256" w:rsidP="00BE2256">
      <w:pPr>
        <w:spacing w:after="0" w:line="240" w:lineRule="auto"/>
        <w:rPr>
          <w:rFonts w:ascii="Arial" w:eastAsia="Calibri" w:hAnsi="Arial" w:cs="Arial"/>
          <w:sz w:val="20"/>
          <w:szCs w:val="20"/>
          <w:lang w:val="bg-BG"/>
        </w:rPr>
      </w:pPr>
    </w:p>
    <w:p w14:paraId="33DB2D11"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lang w:val="bg-BG"/>
        </w:rPr>
        <w:t xml:space="preserve">Освен това, тъй като скорошна информация показва, че и други актове, като заповеди за премахване на опасни сгради или забрана за използване на строежи преди издаване на разрешение [въвеждане в експлоатация], могат да засегнат лица, живеещи в незаконни жилища, по начин, подобен на заповедите за премахване [на незаконно жилище], Комитетът може да покани властите да гарантират, че всички административни актове, които на практика имат сходен ефект върху правото на неприкосновеност на дома със заповеди за изземване [на публичен имот]  или за премахване [на незаконен строеж], подлежат на проверка за пропорционалност. На практика незаконните сгради или съоръжения, като тези, за които става въпрос в настоящите решения, често водят и до рискове за безопасността или тяхното използване не е разрешено, което очевидно оставя на властите възможността да използват различни процедури. При все това, правата на засегнатите лица съгласно чл. 8 от Конвенцията трябва да бъдат адекватно защитени, независимо от процедурата.  </w:t>
      </w:r>
    </w:p>
    <w:p w14:paraId="7A5CB33F" w14:textId="77777777" w:rsidR="00BE2256" w:rsidRPr="00BE2256" w:rsidRDefault="00BE2256" w:rsidP="00BE2256">
      <w:pPr>
        <w:spacing w:after="0" w:line="240" w:lineRule="auto"/>
        <w:rPr>
          <w:rFonts w:ascii="Arial" w:eastAsia="Calibri" w:hAnsi="Arial" w:cs="Arial"/>
          <w:sz w:val="20"/>
          <w:szCs w:val="20"/>
          <w:lang w:val="bg-BG"/>
        </w:rPr>
      </w:pPr>
    </w:p>
    <w:p w14:paraId="5155826E"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lang w:val="bg-BG"/>
        </w:rPr>
        <w:t>По-специално, изглежда безполезно да се настоява за внимателна оценка на пропорционалността на заповедите за премахване [на незаконни жилища], ако е възможно жителите да останат без дом междувременно поради заповед, забраняваща използването на строежи преди издаване на разрешение [въвеждане в експлоатация], без разглеждане на пропорционалността. Също така в решението „</w:t>
      </w:r>
      <w:r w:rsidRPr="00BE2256">
        <w:rPr>
          <w:rFonts w:ascii="Arial" w:eastAsia="Calibri" w:hAnsi="Arial" w:cs="Arial"/>
          <w:i/>
          <w:iCs/>
          <w:sz w:val="20"/>
          <w:szCs w:val="20"/>
          <w:lang w:val="bg-BG"/>
        </w:rPr>
        <w:t xml:space="preserve">Йорданова и други“ </w:t>
      </w:r>
      <w:r w:rsidRPr="00BE2256">
        <w:rPr>
          <w:rFonts w:ascii="Arial" w:eastAsia="Calibri" w:hAnsi="Arial" w:cs="Arial"/>
          <w:sz w:val="20"/>
          <w:szCs w:val="20"/>
          <w:lang w:val="bg-BG"/>
        </w:rPr>
        <w:t>Съдът изрично е признал, че жилищата на жалбоподателите не „отговарят на основните санитарни и строителни изисквания, което води до опасения за безопасността и здравето“, но въпреки това е счел, че е необходима преценка на пропорционалността (§ 124 и последващи от решението).</w:t>
      </w:r>
    </w:p>
    <w:p w14:paraId="58798A41" w14:textId="77777777" w:rsidR="00BE2256" w:rsidRPr="00BE2256" w:rsidRDefault="00BE2256" w:rsidP="00BE2256">
      <w:pPr>
        <w:spacing w:after="0" w:line="240" w:lineRule="auto"/>
        <w:rPr>
          <w:rFonts w:ascii="Arial" w:eastAsia="Calibri" w:hAnsi="Arial" w:cs="Arial"/>
          <w:sz w:val="20"/>
          <w:szCs w:val="20"/>
          <w:lang w:val="bg-BG"/>
        </w:rPr>
      </w:pPr>
    </w:p>
    <w:p w14:paraId="49B9C6B7"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lang w:val="bg-BG"/>
        </w:rPr>
        <w:t>Очевидно е, че оценката на пропорционалността на заповед за разрушаване на опасна сграда не трябва да пречи на властите да вземат предвид съответните рискове за безопасността. Например, дори ако трябва бързо да се разруши опасна сграда, трябва да се обмисли необходимостта от предлагане на настаняване на уязвими лица. Понастоящем в тези ситуации не се предвижда проверка на пропорционалността.</w:t>
      </w:r>
    </w:p>
    <w:p w14:paraId="770931EB" w14:textId="77777777" w:rsidR="00BE2256" w:rsidRPr="00BE2256" w:rsidRDefault="00BE2256" w:rsidP="00BE2256">
      <w:pPr>
        <w:spacing w:after="0" w:line="240" w:lineRule="auto"/>
        <w:rPr>
          <w:rFonts w:ascii="Arial" w:eastAsia="Calibri" w:hAnsi="Arial" w:cs="Arial"/>
          <w:sz w:val="20"/>
          <w:szCs w:val="20"/>
          <w:lang w:val="bg-BG"/>
        </w:rPr>
      </w:pPr>
    </w:p>
    <w:p w14:paraId="36CD039A" w14:textId="77777777" w:rsidR="00BE2256" w:rsidRPr="00BE2256" w:rsidRDefault="00BE2256" w:rsidP="00BE2256">
      <w:pPr>
        <w:spacing w:after="0" w:line="240" w:lineRule="auto"/>
        <w:rPr>
          <w:rFonts w:ascii="Arial" w:eastAsia="Calibri" w:hAnsi="Arial" w:cs="Arial"/>
          <w:bCs/>
          <w:sz w:val="20"/>
          <w:szCs w:val="20"/>
          <w:u w:val="single"/>
          <w:lang w:val="bg-BG"/>
        </w:rPr>
      </w:pPr>
      <w:r w:rsidRPr="00BE2256">
        <w:rPr>
          <w:rFonts w:ascii="Arial" w:eastAsia="Calibri" w:hAnsi="Arial" w:cs="Arial"/>
          <w:bCs/>
          <w:sz w:val="20"/>
          <w:szCs w:val="20"/>
          <w:u w:val="single"/>
          <w:lang w:val="bg-BG"/>
        </w:rPr>
        <w:t xml:space="preserve">Мерки за осигуряване на пропорционалност на заповедите </w:t>
      </w:r>
      <w:r w:rsidRPr="00BE2256">
        <w:rPr>
          <w:rFonts w:ascii="Arial" w:eastAsia="Calibri" w:hAnsi="Arial" w:cs="Arial"/>
          <w:sz w:val="20"/>
          <w:szCs w:val="20"/>
          <w:u w:val="single"/>
          <w:lang w:val="bg-BG"/>
        </w:rPr>
        <w:t xml:space="preserve">за премахване [на незаконен строеж] </w:t>
      </w:r>
      <w:r w:rsidRPr="00BE2256">
        <w:rPr>
          <w:rFonts w:ascii="Arial" w:eastAsia="Calibri" w:hAnsi="Arial" w:cs="Arial"/>
          <w:bCs/>
          <w:sz w:val="20"/>
          <w:szCs w:val="20"/>
          <w:u w:val="single"/>
          <w:lang w:val="bg-BG"/>
        </w:rPr>
        <w:t xml:space="preserve">и заповедите за </w:t>
      </w:r>
      <w:r w:rsidRPr="00BE2256">
        <w:rPr>
          <w:rFonts w:ascii="Arial" w:eastAsia="Calibri" w:hAnsi="Arial" w:cs="Arial"/>
          <w:sz w:val="20"/>
          <w:u w:val="single"/>
          <w:lang w:val="bg-BG"/>
        </w:rPr>
        <w:t xml:space="preserve">изземване [на публичен имот] </w:t>
      </w:r>
      <w:r w:rsidRPr="00BE2256">
        <w:rPr>
          <w:rFonts w:ascii="Arial" w:eastAsia="Calibri" w:hAnsi="Arial" w:cs="Arial"/>
          <w:bCs/>
          <w:sz w:val="20"/>
          <w:szCs w:val="20"/>
          <w:u w:val="single"/>
          <w:lang w:val="bg-BG"/>
        </w:rPr>
        <w:t xml:space="preserve"> </w:t>
      </w:r>
    </w:p>
    <w:p w14:paraId="720FEEE7" w14:textId="77777777" w:rsidR="00BE2256" w:rsidRPr="00BE2256" w:rsidRDefault="00BE2256" w:rsidP="00BE2256">
      <w:pPr>
        <w:spacing w:after="0" w:line="240" w:lineRule="auto"/>
        <w:rPr>
          <w:rFonts w:ascii="Arial" w:eastAsia="Calibri" w:hAnsi="Arial" w:cs="Arial"/>
          <w:bCs/>
          <w:sz w:val="20"/>
          <w:szCs w:val="20"/>
          <w:lang w:val="bg-BG"/>
        </w:rPr>
      </w:pPr>
    </w:p>
    <w:p w14:paraId="684D0A74" w14:textId="77777777" w:rsidR="00BE2256" w:rsidRPr="00BE2256" w:rsidRDefault="00BE2256" w:rsidP="00BE2256">
      <w:pPr>
        <w:spacing w:after="0" w:line="240" w:lineRule="auto"/>
        <w:rPr>
          <w:rFonts w:ascii="Arial" w:eastAsia="Calibri" w:hAnsi="Arial" w:cs="Arial"/>
          <w:bCs/>
          <w:sz w:val="20"/>
          <w:szCs w:val="20"/>
          <w:lang w:val="bg-BG"/>
        </w:rPr>
      </w:pPr>
      <w:r w:rsidRPr="00BE2256">
        <w:rPr>
          <w:rFonts w:ascii="Arial" w:eastAsia="Calibri" w:hAnsi="Arial" w:cs="Arial"/>
          <w:bCs/>
          <w:sz w:val="20"/>
          <w:szCs w:val="20"/>
          <w:lang w:val="bg-BG"/>
        </w:rPr>
        <w:t xml:space="preserve">Трябва да се припомни, че достъпността и наличността на общински жилища е важен фактор за осигуряване на пропорционалността на заповедите </w:t>
      </w:r>
      <w:r w:rsidRPr="00BE2256">
        <w:rPr>
          <w:rFonts w:ascii="Arial" w:eastAsia="Calibri" w:hAnsi="Arial" w:cs="Arial"/>
          <w:sz w:val="20"/>
          <w:szCs w:val="20"/>
          <w:lang w:val="bg-BG"/>
        </w:rPr>
        <w:t>за принудително извеждане [от жилище</w:t>
      </w:r>
      <w:r w:rsidRPr="00BE2256">
        <w:rPr>
          <w:rFonts w:ascii="Arial" w:eastAsia="Calibri" w:hAnsi="Arial" w:cs="Arial"/>
          <w:sz w:val="20"/>
          <w:lang w:val="bg-BG"/>
        </w:rPr>
        <w:t>]</w:t>
      </w:r>
      <w:r w:rsidRPr="00BE2256">
        <w:rPr>
          <w:rFonts w:ascii="Arial" w:eastAsia="Calibri" w:hAnsi="Arial" w:cs="Arial"/>
          <w:bCs/>
          <w:sz w:val="20"/>
          <w:szCs w:val="20"/>
          <w:lang w:val="bg-BG"/>
        </w:rPr>
        <w:t>. Следователно Комитетът може да покани властите да изменят правилата, които понастоящем затрудняват особено лицата, живеещи в незаконни жилища или без регистриран адрес или обитаващи незаконно общински жилища, да кандидатстват за общински жилища.</w:t>
      </w:r>
    </w:p>
    <w:p w14:paraId="6E96EBC4" w14:textId="77777777" w:rsidR="00BE2256" w:rsidRPr="00BE2256" w:rsidRDefault="00BE2256" w:rsidP="00BE2256">
      <w:pPr>
        <w:spacing w:after="0" w:line="240" w:lineRule="auto"/>
        <w:rPr>
          <w:rFonts w:ascii="Arial" w:eastAsia="Calibri" w:hAnsi="Arial" w:cs="Arial"/>
          <w:bCs/>
          <w:sz w:val="20"/>
          <w:szCs w:val="20"/>
          <w:lang w:val="bg-BG"/>
        </w:rPr>
      </w:pPr>
    </w:p>
    <w:p w14:paraId="2EDFA010" w14:textId="77777777" w:rsidR="00BE2256" w:rsidRPr="00BE2256" w:rsidRDefault="00BE2256" w:rsidP="00BE2256">
      <w:pPr>
        <w:spacing w:after="0" w:line="240" w:lineRule="auto"/>
        <w:rPr>
          <w:rFonts w:ascii="Arial" w:eastAsia="Calibri" w:hAnsi="Arial" w:cs="Arial"/>
          <w:bCs/>
          <w:sz w:val="20"/>
          <w:szCs w:val="20"/>
          <w:lang w:val="bg-BG"/>
        </w:rPr>
      </w:pPr>
      <w:r w:rsidRPr="00BE2256">
        <w:rPr>
          <w:rFonts w:ascii="Arial" w:eastAsia="Calibri" w:hAnsi="Arial" w:cs="Arial"/>
          <w:bCs/>
          <w:sz w:val="20"/>
          <w:szCs w:val="20"/>
          <w:lang w:val="bg-BG"/>
        </w:rPr>
        <w:t>Даването на възможност на такива лица да кандидатстват за общински жилища ще улесни приемането на мерки за осигуряване на пропорционалност в случай на премахване на незаконни жилища, отстраняване от общински жилища или други подобни ситуации. Властите също могат да бъдат насърчени да предоставят информация за наличността на общински жилища.</w:t>
      </w:r>
    </w:p>
    <w:p w14:paraId="540C41FB" w14:textId="77777777" w:rsidR="00BE2256" w:rsidRPr="00BE2256" w:rsidRDefault="00BE2256" w:rsidP="00BE2256">
      <w:pPr>
        <w:spacing w:after="0" w:line="240" w:lineRule="auto"/>
        <w:rPr>
          <w:rFonts w:ascii="Arial" w:eastAsia="Calibri" w:hAnsi="Arial" w:cs="Arial"/>
          <w:bCs/>
          <w:sz w:val="20"/>
          <w:szCs w:val="20"/>
          <w:lang w:val="bg-BG"/>
        </w:rPr>
      </w:pPr>
    </w:p>
    <w:p w14:paraId="754C0E8D" w14:textId="77777777" w:rsidR="00BE2256" w:rsidRPr="00BE2256" w:rsidRDefault="00BE2256" w:rsidP="00BE2256">
      <w:pPr>
        <w:spacing w:after="0" w:line="240" w:lineRule="auto"/>
        <w:rPr>
          <w:rFonts w:ascii="Arial" w:eastAsia="Calibri" w:hAnsi="Arial" w:cs="Arial"/>
          <w:bCs/>
          <w:sz w:val="20"/>
          <w:szCs w:val="20"/>
          <w:u w:val="single"/>
          <w:lang w:val="bg-BG"/>
        </w:rPr>
      </w:pPr>
      <w:r w:rsidRPr="00BE2256">
        <w:rPr>
          <w:rFonts w:ascii="Arial" w:eastAsia="Calibri" w:hAnsi="Arial" w:cs="Arial"/>
          <w:bCs/>
          <w:sz w:val="20"/>
          <w:szCs w:val="20"/>
          <w:u w:val="single"/>
          <w:lang w:val="bg-BG"/>
        </w:rPr>
        <w:t>Предложение за приемане на междинна резолюция</w:t>
      </w:r>
    </w:p>
    <w:p w14:paraId="01D7254C" w14:textId="77777777" w:rsidR="00BE2256" w:rsidRPr="00BE2256" w:rsidRDefault="00BE2256" w:rsidP="00BE2256">
      <w:pPr>
        <w:spacing w:after="0" w:line="240" w:lineRule="auto"/>
        <w:rPr>
          <w:rFonts w:ascii="Arial" w:eastAsia="Calibri" w:hAnsi="Arial" w:cs="Arial"/>
          <w:bCs/>
          <w:sz w:val="20"/>
          <w:szCs w:val="20"/>
          <w:lang w:val="bg-BG"/>
        </w:rPr>
      </w:pPr>
    </w:p>
    <w:p w14:paraId="35BE81A4" w14:textId="77777777" w:rsidR="00BE2256" w:rsidRPr="00BE2256" w:rsidRDefault="00BE2256" w:rsidP="00BE2256">
      <w:pPr>
        <w:spacing w:after="0" w:line="240" w:lineRule="auto"/>
        <w:rPr>
          <w:rFonts w:ascii="Arial" w:eastAsia="Calibri" w:hAnsi="Arial" w:cs="Arial"/>
          <w:bCs/>
          <w:sz w:val="20"/>
          <w:szCs w:val="20"/>
          <w:lang w:val="bg-BG"/>
        </w:rPr>
      </w:pPr>
      <w:r w:rsidRPr="00BE2256">
        <w:rPr>
          <w:rFonts w:ascii="Arial" w:eastAsia="Calibri" w:hAnsi="Arial" w:cs="Arial"/>
          <w:bCs/>
          <w:sz w:val="20"/>
          <w:szCs w:val="20"/>
          <w:lang w:val="bg-BG"/>
        </w:rPr>
        <w:t>През 2019 г. - повече от шест години след окончателното решение по делото „</w:t>
      </w:r>
      <w:r w:rsidRPr="00BE2256">
        <w:rPr>
          <w:rFonts w:ascii="Arial" w:eastAsia="Calibri" w:hAnsi="Arial" w:cs="Arial"/>
          <w:bCs/>
          <w:i/>
          <w:iCs/>
          <w:sz w:val="20"/>
          <w:szCs w:val="20"/>
          <w:lang w:val="bg-BG"/>
        </w:rPr>
        <w:t>Йорданова“</w:t>
      </w:r>
      <w:r w:rsidRPr="00BE2256">
        <w:rPr>
          <w:rFonts w:ascii="Arial" w:eastAsia="Calibri" w:hAnsi="Arial" w:cs="Arial"/>
          <w:bCs/>
          <w:sz w:val="20"/>
          <w:szCs w:val="20"/>
          <w:lang w:val="bg-BG"/>
        </w:rPr>
        <w:t xml:space="preserve"> - властите изготвиха законопроект за изпълнението на тази група дела. Законодателният процес обаче изобщо не е напреднал от последните разглеждания на тази група дела от Комитета през юни 2019 г. и март 2020 г. Проектозаконът от 2019 г. все още не е достигнал до най-предварителните етапи на официален законодателен процес (като публична консултация). Въпреки че епидемията от корона вирус със сигурност е натоварила публичните институции, липсата на напредък е обезпокоителна. Поради това се предлага на Комитета да приеме проекта на междинна резолюция, изготвен от Секретариата, в съответствие с последните решения на Комитета.</w:t>
      </w:r>
    </w:p>
    <w:p w14:paraId="688050C9" w14:textId="77777777" w:rsidR="00BE2256" w:rsidRPr="00BE2256" w:rsidRDefault="00BE2256" w:rsidP="00BE2256">
      <w:pPr>
        <w:spacing w:after="0" w:line="240" w:lineRule="auto"/>
        <w:rPr>
          <w:rFonts w:ascii="Arial" w:eastAsia="Calibri" w:hAnsi="Arial" w:cs="Arial"/>
          <w:bCs/>
          <w:sz w:val="20"/>
          <w:szCs w:val="20"/>
          <w:lang w:val="bg-BG"/>
        </w:rPr>
      </w:pPr>
    </w:p>
    <w:p w14:paraId="1DA8288E" w14:textId="77777777" w:rsidR="00BE2256" w:rsidRPr="00BE2256" w:rsidRDefault="00BE2256" w:rsidP="00BE2256">
      <w:pPr>
        <w:spacing w:after="0" w:line="240" w:lineRule="auto"/>
        <w:jc w:val="both"/>
        <w:rPr>
          <w:rFonts w:ascii="Arial" w:eastAsia="Calibri" w:hAnsi="Arial" w:cs="Arial"/>
          <w:sz w:val="20"/>
          <w:szCs w:val="20"/>
          <w:lang w:val="bg-BG"/>
        </w:rPr>
      </w:pPr>
    </w:p>
    <w:p w14:paraId="57289AE3" w14:textId="77777777" w:rsidR="00BE2256" w:rsidRPr="00BE2256" w:rsidRDefault="00BE2256" w:rsidP="00BE2256">
      <w:pPr>
        <w:spacing w:after="0" w:line="240" w:lineRule="auto"/>
        <w:jc w:val="both"/>
        <w:rPr>
          <w:rFonts w:ascii="Arial" w:eastAsia="Times New Roman" w:hAnsi="Arial" w:cs="Times New Roman"/>
          <w:sz w:val="20"/>
          <w:szCs w:val="24"/>
          <w:lang w:val="bg-BG"/>
        </w:rPr>
      </w:pPr>
    </w:p>
    <w:p w14:paraId="4BCAE55C" w14:textId="77777777" w:rsidR="00BE2256" w:rsidRPr="00BE2256" w:rsidRDefault="00BE2256" w:rsidP="00BE2256">
      <w:pPr>
        <w:spacing w:after="0" w:line="240" w:lineRule="auto"/>
        <w:jc w:val="both"/>
        <w:rPr>
          <w:rFonts w:ascii="Arial" w:eastAsia="Calibri" w:hAnsi="Arial" w:cs="Arial"/>
          <w:sz w:val="20"/>
          <w:szCs w:val="20"/>
          <w:lang w:val="bg-BG"/>
        </w:rPr>
      </w:pPr>
    </w:p>
    <w:p w14:paraId="41CDCDAB" w14:textId="77777777" w:rsidR="00BE2256" w:rsidRPr="00BE2256" w:rsidRDefault="00BE2256" w:rsidP="00BE2256">
      <w:pPr>
        <w:spacing w:after="0" w:line="240" w:lineRule="auto"/>
        <w:jc w:val="both"/>
        <w:rPr>
          <w:rFonts w:ascii="Arial" w:eastAsia="Times New Roman" w:hAnsi="Arial" w:cs="Times New Roman"/>
          <w:sz w:val="20"/>
          <w:szCs w:val="24"/>
          <w:lang w:val="bg-BG"/>
        </w:rPr>
      </w:pPr>
    </w:p>
    <w:tbl>
      <w:tblPr>
        <w:tblW w:w="25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08" w:type="dxa"/>
          <w:bottom w:w="108" w:type="dxa"/>
        </w:tblCellMar>
        <w:tblLook w:val="0000" w:firstRow="0" w:lastRow="0" w:firstColumn="0" w:lastColumn="0" w:noHBand="0" w:noVBand="0"/>
      </w:tblPr>
      <w:tblGrid>
        <w:gridCol w:w="4498"/>
      </w:tblGrid>
      <w:tr w:rsidR="00BE2256" w:rsidRPr="00BE2256" w14:paraId="3AEE461A" w14:textId="77777777" w:rsidTr="00E335F0">
        <w:tc>
          <w:tcPr>
            <w:tcW w:w="4320" w:type="dxa"/>
            <w:vAlign w:val="center"/>
          </w:tcPr>
          <w:p w14:paraId="0F57EB65" w14:textId="77777777" w:rsidR="00BE2256" w:rsidRPr="00BE2256" w:rsidRDefault="00BE2256" w:rsidP="00BE2256">
            <w:pPr>
              <w:spacing w:after="0" w:line="240" w:lineRule="auto"/>
              <w:jc w:val="both"/>
              <w:rPr>
                <w:rFonts w:ascii="Arial" w:eastAsia="Times New Roman" w:hAnsi="Arial" w:cs="Times New Roman"/>
                <w:sz w:val="20"/>
                <w:szCs w:val="24"/>
                <w:lang w:val="bg-BG"/>
              </w:rPr>
            </w:pPr>
            <w:r w:rsidRPr="00BE2256">
              <w:rPr>
                <w:rFonts w:ascii="Arial" w:eastAsia="Times New Roman" w:hAnsi="Arial" w:cs="Times New Roman"/>
                <w:sz w:val="20"/>
                <w:szCs w:val="24"/>
                <w:lang w:val="bg-BG"/>
              </w:rPr>
              <w:t>Осигурено финансиране</w:t>
            </w:r>
            <w:r w:rsidRPr="00BE2256">
              <w:rPr>
                <w:rFonts w:ascii="Arial" w:eastAsia="Times New Roman" w:hAnsi="Arial" w:cs="Times New Roman"/>
                <w:sz w:val="20"/>
                <w:szCs w:val="24"/>
                <w:lang w:val="en-US"/>
              </w:rPr>
              <w:t xml:space="preserve">: </w:t>
            </w:r>
            <w:r w:rsidRPr="00BE2256">
              <w:rPr>
                <w:rFonts w:ascii="Arial" w:eastAsia="Times New Roman" w:hAnsi="Arial" w:cs="Times New Roman"/>
                <w:sz w:val="20"/>
                <w:szCs w:val="24"/>
                <w:lang w:val="bg-BG"/>
              </w:rPr>
              <w:t>ДА</w:t>
            </w:r>
          </w:p>
        </w:tc>
      </w:tr>
    </w:tbl>
    <w:p w14:paraId="62042710" w14:textId="77777777" w:rsidR="00BE2256" w:rsidRPr="00BE2256" w:rsidRDefault="00BE2256" w:rsidP="00BE2256">
      <w:pPr>
        <w:spacing w:after="0" w:line="240" w:lineRule="auto"/>
        <w:jc w:val="both"/>
        <w:rPr>
          <w:rFonts w:ascii="Arial" w:eastAsia="Times New Roman" w:hAnsi="Arial" w:cs="Times New Roman"/>
          <w:sz w:val="20"/>
          <w:szCs w:val="24"/>
          <w:lang w:val="en-US"/>
        </w:rPr>
      </w:pPr>
      <w:bookmarkStart w:id="6" w:name="DraftDecisions"/>
      <w:r w:rsidRPr="00BE2256">
        <w:rPr>
          <w:rFonts w:ascii="Arial" w:eastAsia="Times New Roman" w:hAnsi="Arial" w:cs="Times New Roman"/>
          <w:sz w:val="20"/>
          <w:szCs w:val="24"/>
          <w:lang w:val="en-US"/>
        </w:rPr>
        <w:t xml:space="preserve"> </w:t>
      </w:r>
    </w:p>
    <w:bookmarkEnd w:id="6"/>
    <w:p w14:paraId="545B85ED" w14:textId="77777777" w:rsidR="00BE2256" w:rsidRPr="00BE2256" w:rsidRDefault="00BE2256" w:rsidP="00BE2256">
      <w:pPr>
        <w:tabs>
          <w:tab w:val="left" w:pos="2350"/>
        </w:tabs>
        <w:spacing w:after="0" w:line="240" w:lineRule="auto"/>
        <w:jc w:val="both"/>
        <w:rPr>
          <w:rFonts w:ascii="Arial" w:eastAsia="Times New Roman" w:hAnsi="Arial" w:cs="Times New Roman"/>
          <w:i/>
          <w:sz w:val="20"/>
          <w:szCs w:val="24"/>
          <w:lang w:val="bg-BG"/>
        </w:rPr>
      </w:pPr>
      <w:r w:rsidRPr="00BE2256">
        <w:rPr>
          <w:rFonts w:ascii="Arial" w:eastAsia="Times New Roman" w:hAnsi="Arial" w:cs="Times New Roman"/>
          <w:i/>
          <w:sz w:val="20"/>
          <w:szCs w:val="24"/>
          <w:lang w:val="ru-RU"/>
        </w:rPr>
        <w:t>РЕШЕНИЯ:</w:t>
      </w:r>
    </w:p>
    <w:p w14:paraId="562DAB44" w14:textId="77777777" w:rsidR="00BE2256" w:rsidRPr="00BE2256" w:rsidRDefault="00BE2256" w:rsidP="00BE2256">
      <w:pPr>
        <w:tabs>
          <w:tab w:val="left" w:pos="2350"/>
        </w:tabs>
        <w:spacing w:after="0" w:line="240" w:lineRule="auto"/>
        <w:jc w:val="both"/>
        <w:rPr>
          <w:rFonts w:ascii="Arial" w:eastAsia="Times New Roman" w:hAnsi="Arial" w:cs="Times New Roman"/>
          <w:i/>
          <w:sz w:val="20"/>
          <w:szCs w:val="24"/>
          <w:lang w:val="bg-BG"/>
        </w:rPr>
      </w:pPr>
    </w:p>
    <w:p w14:paraId="31102533" w14:textId="77777777" w:rsidR="00BE2256" w:rsidRPr="00BE2256" w:rsidRDefault="00BE2256" w:rsidP="00BE2256">
      <w:pPr>
        <w:tabs>
          <w:tab w:val="left" w:pos="2350"/>
        </w:tabs>
        <w:spacing w:after="0" w:line="240" w:lineRule="auto"/>
        <w:jc w:val="both"/>
        <w:rPr>
          <w:rFonts w:ascii="Arial" w:eastAsia="Times New Roman" w:hAnsi="Arial" w:cs="Times New Roman"/>
          <w:i/>
          <w:sz w:val="20"/>
          <w:szCs w:val="24"/>
          <w:lang w:val="bg-BG"/>
        </w:rPr>
      </w:pPr>
      <w:r w:rsidRPr="00BE2256">
        <w:rPr>
          <w:rFonts w:ascii="Arial" w:eastAsia="Times New Roman" w:hAnsi="Arial" w:cs="Times New Roman"/>
          <w:i/>
          <w:sz w:val="20"/>
          <w:szCs w:val="24"/>
          <w:lang w:val="ru-RU"/>
        </w:rPr>
        <w:t>Представителите на министрите</w:t>
      </w:r>
    </w:p>
    <w:p w14:paraId="536FD2AB" w14:textId="77777777" w:rsidR="00BE2256" w:rsidRPr="00BE2256" w:rsidRDefault="00BE2256" w:rsidP="00BE2256">
      <w:pPr>
        <w:widowControl w:val="0"/>
        <w:autoSpaceDE w:val="0"/>
        <w:autoSpaceDN w:val="0"/>
        <w:adjustRightInd w:val="0"/>
        <w:spacing w:after="0" w:line="240" w:lineRule="auto"/>
        <w:jc w:val="both"/>
        <w:rPr>
          <w:rFonts w:ascii="Arial Narrow" w:eastAsia="Calibri" w:hAnsi="Arial Narrow" w:cs="Calibri"/>
          <w:i/>
          <w:iCs/>
          <w:sz w:val="20"/>
          <w:szCs w:val="20"/>
          <w:u w:val="single"/>
        </w:rPr>
      </w:pPr>
    </w:p>
    <w:p w14:paraId="03F1CC5B" w14:textId="77777777" w:rsidR="00BE2256" w:rsidRPr="00BE2256" w:rsidRDefault="00BE2256" w:rsidP="00BE2256">
      <w:pPr>
        <w:widowControl w:val="0"/>
        <w:autoSpaceDE w:val="0"/>
        <w:autoSpaceDN w:val="0"/>
        <w:adjustRightInd w:val="0"/>
        <w:spacing w:after="0" w:line="240" w:lineRule="auto"/>
        <w:jc w:val="both"/>
        <w:rPr>
          <w:rFonts w:ascii="Arial" w:eastAsia="Calibri" w:hAnsi="Arial" w:cs="Arial"/>
          <w:bCs/>
          <w:sz w:val="20"/>
          <w:szCs w:val="20"/>
        </w:rPr>
      </w:pPr>
      <w:r w:rsidRPr="00BE2256">
        <w:rPr>
          <w:rFonts w:ascii="Arial" w:eastAsia="Calibri" w:hAnsi="Arial" w:cs="Arial"/>
          <w:sz w:val="20"/>
          <w:szCs w:val="20"/>
          <w:lang w:val="bg-BG"/>
        </w:rPr>
        <w:t>Приеха междинна резолюция</w:t>
      </w:r>
      <w:r w:rsidRPr="00BE2256">
        <w:rPr>
          <w:rFonts w:ascii="Arial" w:eastAsia="Calibri" w:hAnsi="Arial" w:cs="Arial"/>
          <w:sz w:val="20"/>
          <w:szCs w:val="20"/>
        </w:rPr>
        <w:t xml:space="preserve"> CM/</w:t>
      </w:r>
      <w:proofErr w:type="spellStart"/>
      <w:r w:rsidRPr="00BE2256">
        <w:rPr>
          <w:rFonts w:ascii="Arial" w:eastAsia="Calibri" w:hAnsi="Arial" w:cs="Arial"/>
          <w:sz w:val="20"/>
          <w:szCs w:val="20"/>
        </w:rPr>
        <w:t>ResDH</w:t>
      </w:r>
      <w:proofErr w:type="spellEnd"/>
      <w:r w:rsidRPr="00BE2256">
        <w:rPr>
          <w:rFonts w:ascii="Arial" w:eastAsia="Calibri" w:hAnsi="Arial" w:cs="Arial"/>
          <w:sz w:val="20"/>
          <w:szCs w:val="20"/>
        </w:rPr>
        <w:t>(2020)357.</w:t>
      </w:r>
    </w:p>
    <w:p w14:paraId="6E39778D" w14:textId="77777777" w:rsidR="00BE2256" w:rsidRPr="00BE2256" w:rsidRDefault="00BE2256" w:rsidP="00BE2256">
      <w:pPr>
        <w:spacing w:after="0" w:line="240" w:lineRule="auto"/>
        <w:rPr>
          <w:rFonts w:ascii="Arial" w:eastAsia="Calibri" w:hAnsi="Arial" w:cs="Arial"/>
          <w:bCs/>
          <w:sz w:val="20"/>
          <w:szCs w:val="20"/>
        </w:rPr>
      </w:pPr>
    </w:p>
    <w:p w14:paraId="2DAC5AC7" w14:textId="77777777" w:rsidR="00BE2256" w:rsidRPr="00BE2256" w:rsidRDefault="00BE2256" w:rsidP="00BE2256">
      <w:pPr>
        <w:spacing w:after="0" w:line="240" w:lineRule="auto"/>
        <w:rPr>
          <w:rFonts w:ascii="Arial" w:eastAsia="Calibri" w:hAnsi="Arial" w:cs="Arial"/>
          <w:bCs/>
          <w:sz w:val="20"/>
          <w:szCs w:val="20"/>
        </w:rPr>
      </w:pPr>
    </w:p>
    <w:p w14:paraId="48235630" w14:textId="77777777" w:rsidR="00BE2256" w:rsidRPr="00BE2256" w:rsidRDefault="00BE2256" w:rsidP="00BE2256">
      <w:pPr>
        <w:spacing w:after="0" w:line="240" w:lineRule="auto"/>
        <w:rPr>
          <w:rFonts w:ascii="Arial" w:eastAsia="Calibri" w:hAnsi="Arial" w:cs="Arial"/>
          <w:bCs/>
          <w:sz w:val="20"/>
          <w:szCs w:val="20"/>
        </w:rPr>
      </w:pPr>
    </w:p>
    <w:p w14:paraId="0EAE5DBC" w14:textId="77777777" w:rsidR="00BE2256" w:rsidRPr="00BE2256" w:rsidRDefault="00BE2256" w:rsidP="00BE2256">
      <w:pPr>
        <w:spacing w:after="0" w:line="240" w:lineRule="auto"/>
        <w:rPr>
          <w:rFonts w:ascii="Arial" w:eastAsia="Calibri" w:hAnsi="Arial" w:cs="Arial"/>
          <w:bCs/>
          <w:sz w:val="20"/>
          <w:szCs w:val="20"/>
        </w:rPr>
      </w:pPr>
    </w:p>
    <w:p w14:paraId="524EB728" w14:textId="77777777" w:rsidR="00BE2256" w:rsidRPr="00BE2256" w:rsidRDefault="00BE2256" w:rsidP="00BE2256">
      <w:pPr>
        <w:spacing w:after="0" w:line="240" w:lineRule="auto"/>
        <w:rPr>
          <w:rFonts w:ascii="Arial" w:eastAsia="Calibri" w:hAnsi="Arial" w:cs="Arial"/>
          <w:bCs/>
          <w:sz w:val="20"/>
          <w:szCs w:val="20"/>
        </w:rPr>
      </w:pPr>
    </w:p>
    <w:p w14:paraId="30D56CC6" w14:textId="77777777" w:rsidR="00BE2256" w:rsidRPr="00BE2256" w:rsidRDefault="00BE2256" w:rsidP="00BE2256">
      <w:pPr>
        <w:spacing w:after="0" w:line="240" w:lineRule="auto"/>
        <w:rPr>
          <w:rFonts w:ascii="Arial" w:eastAsia="Calibri" w:hAnsi="Arial" w:cs="Arial"/>
          <w:bCs/>
          <w:sz w:val="20"/>
          <w:szCs w:val="20"/>
        </w:rPr>
      </w:pPr>
    </w:p>
    <w:p w14:paraId="06BAA959" w14:textId="77777777" w:rsidR="00BE2256" w:rsidRPr="00BE2256" w:rsidRDefault="00BE2256" w:rsidP="00BE2256">
      <w:pPr>
        <w:spacing w:after="0" w:line="240" w:lineRule="auto"/>
        <w:rPr>
          <w:rFonts w:ascii="Arial" w:eastAsia="Calibri" w:hAnsi="Arial" w:cs="Arial"/>
          <w:bCs/>
          <w:sz w:val="20"/>
          <w:szCs w:val="20"/>
        </w:rPr>
      </w:pPr>
    </w:p>
    <w:p w14:paraId="41FF5E66" w14:textId="77777777" w:rsidR="00BE2256" w:rsidRPr="00BE2256" w:rsidRDefault="00BE2256" w:rsidP="00BE2256">
      <w:pPr>
        <w:spacing w:after="0" w:line="240" w:lineRule="auto"/>
        <w:rPr>
          <w:rFonts w:ascii="Arial" w:eastAsia="Calibri" w:hAnsi="Arial" w:cs="Arial"/>
          <w:bCs/>
          <w:sz w:val="20"/>
          <w:szCs w:val="20"/>
        </w:rPr>
      </w:pPr>
    </w:p>
    <w:p w14:paraId="7CD54931" w14:textId="77777777" w:rsidR="00BE2256" w:rsidRPr="00BE2256" w:rsidRDefault="00BE2256" w:rsidP="00BE2256">
      <w:pPr>
        <w:spacing w:after="0" w:line="240" w:lineRule="auto"/>
        <w:rPr>
          <w:rFonts w:ascii="Arial" w:eastAsia="Calibri" w:hAnsi="Arial" w:cs="Arial"/>
          <w:bCs/>
          <w:sz w:val="20"/>
          <w:szCs w:val="20"/>
        </w:rPr>
      </w:pPr>
    </w:p>
    <w:p w14:paraId="1D65CA59" w14:textId="77777777" w:rsidR="00BE2256" w:rsidRPr="00BE2256" w:rsidRDefault="00BE2256" w:rsidP="00BE2256">
      <w:pPr>
        <w:spacing w:after="0" w:line="240" w:lineRule="auto"/>
        <w:rPr>
          <w:rFonts w:ascii="Arial" w:eastAsia="Calibri" w:hAnsi="Arial" w:cs="Arial"/>
          <w:bCs/>
          <w:sz w:val="20"/>
          <w:szCs w:val="20"/>
        </w:rPr>
      </w:pPr>
    </w:p>
    <w:p w14:paraId="65108163" w14:textId="77777777" w:rsidR="00BE2256" w:rsidRPr="00BE2256" w:rsidRDefault="00BE2256" w:rsidP="00BE2256">
      <w:pPr>
        <w:spacing w:after="0" w:line="240" w:lineRule="auto"/>
        <w:rPr>
          <w:rFonts w:ascii="Arial" w:eastAsia="Calibri" w:hAnsi="Arial" w:cs="Arial"/>
          <w:bCs/>
          <w:sz w:val="20"/>
          <w:szCs w:val="20"/>
        </w:rPr>
      </w:pPr>
    </w:p>
    <w:p w14:paraId="454090A0" w14:textId="77777777" w:rsidR="00BE2256" w:rsidRPr="00BE2256" w:rsidRDefault="00BE2256" w:rsidP="00BE2256">
      <w:pPr>
        <w:spacing w:after="0" w:line="240" w:lineRule="auto"/>
        <w:rPr>
          <w:rFonts w:ascii="Arial" w:eastAsia="Calibri" w:hAnsi="Arial" w:cs="Arial"/>
          <w:bCs/>
          <w:sz w:val="20"/>
          <w:szCs w:val="20"/>
        </w:rPr>
      </w:pPr>
    </w:p>
    <w:p w14:paraId="58F925E9" w14:textId="77777777" w:rsidR="00BE2256" w:rsidRPr="00BE2256" w:rsidRDefault="00BE2256" w:rsidP="00BE2256">
      <w:pPr>
        <w:spacing w:after="0" w:line="240" w:lineRule="auto"/>
        <w:rPr>
          <w:rFonts w:ascii="Arial" w:eastAsia="Calibri" w:hAnsi="Arial" w:cs="Arial"/>
          <w:bCs/>
          <w:sz w:val="20"/>
          <w:szCs w:val="20"/>
        </w:rPr>
      </w:pPr>
    </w:p>
    <w:p w14:paraId="6930490A" w14:textId="77777777" w:rsidR="00BE2256" w:rsidRPr="00BE2256" w:rsidRDefault="00BE2256" w:rsidP="00BE2256">
      <w:pPr>
        <w:spacing w:after="0" w:line="240" w:lineRule="auto"/>
        <w:rPr>
          <w:rFonts w:ascii="Arial" w:eastAsia="Calibri" w:hAnsi="Arial" w:cs="Arial"/>
          <w:bCs/>
          <w:sz w:val="20"/>
          <w:szCs w:val="20"/>
        </w:rPr>
      </w:pPr>
    </w:p>
    <w:p w14:paraId="7C6EE5F6" w14:textId="77777777" w:rsidR="00BE2256" w:rsidRPr="00BE2256" w:rsidRDefault="00BE2256" w:rsidP="00BE2256">
      <w:pPr>
        <w:spacing w:after="0" w:line="240" w:lineRule="auto"/>
        <w:rPr>
          <w:rFonts w:ascii="Arial" w:eastAsia="Calibri" w:hAnsi="Arial" w:cs="Arial"/>
          <w:bCs/>
          <w:sz w:val="20"/>
          <w:szCs w:val="20"/>
        </w:rPr>
      </w:pPr>
    </w:p>
    <w:p w14:paraId="45790CB2" w14:textId="77777777" w:rsidR="00BE2256" w:rsidRPr="00BE2256" w:rsidRDefault="00BE2256" w:rsidP="00BE2256">
      <w:pPr>
        <w:spacing w:after="0" w:line="240" w:lineRule="auto"/>
        <w:rPr>
          <w:rFonts w:ascii="Arial" w:eastAsia="Calibri" w:hAnsi="Arial" w:cs="Arial"/>
          <w:bCs/>
          <w:sz w:val="20"/>
          <w:szCs w:val="20"/>
        </w:rPr>
      </w:pPr>
    </w:p>
    <w:p w14:paraId="4FE8EC18" w14:textId="77777777" w:rsidR="00BE2256" w:rsidRPr="00BE2256" w:rsidRDefault="00BE2256" w:rsidP="00BE2256">
      <w:pPr>
        <w:spacing w:after="0" w:line="240" w:lineRule="auto"/>
        <w:rPr>
          <w:rFonts w:ascii="Arial" w:eastAsia="Calibri" w:hAnsi="Arial" w:cs="Arial"/>
          <w:bCs/>
          <w:sz w:val="20"/>
          <w:szCs w:val="20"/>
        </w:rPr>
      </w:pPr>
    </w:p>
    <w:p w14:paraId="35B62FFB" w14:textId="77777777" w:rsidR="00BE2256" w:rsidRPr="00BE2256" w:rsidRDefault="00BE2256" w:rsidP="00BE2256">
      <w:pPr>
        <w:spacing w:after="0" w:line="240" w:lineRule="auto"/>
        <w:rPr>
          <w:rFonts w:ascii="Arial" w:eastAsia="Calibri" w:hAnsi="Arial" w:cs="Arial"/>
          <w:bCs/>
          <w:sz w:val="20"/>
          <w:szCs w:val="20"/>
        </w:rPr>
      </w:pPr>
    </w:p>
    <w:p w14:paraId="295B932A" w14:textId="77777777" w:rsidR="00BE2256" w:rsidRPr="00BE2256" w:rsidRDefault="00BE2256" w:rsidP="00BE2256">
      <w:pPr>
        <w:spacing w:after="0" w:line="240" w:lineRule="auto"/>
        <w:rPr>
          <w:rFonts w:ascii="Arial" w:eastAsia="Calibri" w:hAnsi="Arial" w:cs="Arial"/>
          <w:bCs/>
          <w:sz w:val="20"/>
          <w:szCs w:val="20"/>
        </w:rPr>
      </w:pPr>
    </w:p>
    <w:p w14:paraId="39298A13" w14:textId="77777777" w:rsidR="00BE2256" w:rsidRPr="00BE2256" w:rsidRDefault="00BE2256" w:rsidP="00BE2256">
      <w:pPr>
        <w:spacing w:after="0" w:line="240" w:lineRule="auto"/>
        <w:rPr>
          <w:rFonts w:ascii="Arial" w:eastAsia="Calibri" w:hAnsi="Arial" w:cs="Arial"/>
          <w:bCs/>
          <w:sz w:val="20"/>
          <w:szCs w:val="20"/>
        </w:rPr>
      </w:pPr>
    </w:p>
    <w:p w14:paraId="09A2D040" w14:textId="77777777" w:rsidR="00BE2256" w:rsidRPr="00BE2256" w:rsidRDefault="00BE2256" w:rsidP="00BE2256">
      <w:pPr>
        <w:spacing w:after="0" w:line="240" w:lineRule="auto"/>
        <w:rPr>
          <w:rFonts w:ascii="Arial" w:eastAsia="Calibri" w:hAnsi="Arial" w:cs="Arial"/>
          <w:bCs/>
          <w:sz w:val="20"/>
          <w:szCs w:val="20"/>
        </w:rPr>
      </w:pPr>
    </w:p>
    <w:p w14:paraId="461BD674" w14:textId="77777777" w:rsidR="00BE2256" w:rsidRPr="00BE2256" w:rsidRDefault="00BE2256" w:rsidP="00BE2256">
      <w:pPr>
        <w:spacing w:after="0" w:line="240" w:lineRule="auto"/>
        <w:rPr>
          <w:rFonts w:ascii="Arial" w:eastAsia="Calibri" w:hAnsi="Arial" w:cs="Arial"/>
          <w:bCs/>
          <w:sz w:val="20"/>
          <w:szCs w:val="20"/>
        </w:rPr>
      </w:pPr>
    </w:p>
    <w:p w14:paraId="34FF0A9D" w14:textId="77777777" w:rsidR="00BE2256" w:rsidRPr="00BE2256" w:rsidRDefault="00BE2256" w:rsidP="00BE2256">
      <w:pPr>
        <w:spacing w:after="0" w:line="240" w:lineRule="auto"/>
        <w:rPr>
          <w:rFonts w:ascii="Arial" w:eastAsia="Calibri" w:hAnsi="Arial" w:cs="Arial"/>
          <w:bCs/>
          <w:sz w:val="20"/>
          <w:szCs w:val="20"/>
        </w:rPr>
      </w:pPr>
    </w:p>
    <w:p w14:paraId="37470725" w14:textId="77777777" w:rsidR="00BE2256" w:rsidRPr="00BE2256" w:rsidRDefault="00BE2256" w:rsidP="00BE2256">
      <w:pPr>
        <w:spacing w:after="200" w:line="276" w:lineRule="auto"/>
        <w:jc w:val="both"/>
        <w:rPr>
          <w:rFonts w:ascii="Arial" w:eastAsia="Calibri" w:hAnsi="Arial" w:cs="Arial"/>
          <w:b/>
          <w:sz w:val="20"/>
          <w:szCs w:val="20"/>
          <w:lang w:val="ru-RU"/>
        </w:rPr>
      </w:pPr>
      <w:r w:rsidRPr="00BE2256">
        <w:rPr>
          <w:rFonts w:ascii="Arial" w:eastAsia="Calibri" w:hAnsi="Arial" w:cs="Arial"/>
          <w:b/>
          <w:bCs/>
          <w:sz w:val="20"/>
          <w:szCs w:val="20"/>
          <w:lang w:val="bg-BG"/>
        </w:rPr>
        <w:t>Комитет на министрите</w:t>
      </w:r>
      <w:r w:rsidRPr="00BE2256">
        <w:rPr>
          <w:rFonts w:ascii="Arial" w:eastAsia="Calibri" w:hAnsi="Arial" w:cs="Arial"/>
          <w:b/>
          <w:bCs/>
          <w:sz w:val="20"/>
          <w:szCs w:val="20"/>
          <w:lang w:val="bg-BG"/>
        </w:rPr>
        <w:tab/>
      </w:r>
      <w:r w:rsidRPr="00BE2256">
        <w:rPr>
          <w:rFonts w:ascii="Arial" w:eastAsia="Calibri" w:hAnsi="Arial" w:cs="Arial"/>
          <w:b/>
          <w:sz w:val="20"/>
          <w:szCs w:val="20"/>
          <w:lang w:val="bg-BG"/>
        </w:rPr>
        <w:t>Резолюции</w:t>
      </w:r>
      <w:r w:rsidRPr="00BE2256">
        <w:rPr>
          <w:rFonts w:ascii="Arial" w:eastAsia="Calibri" w:hAnsi="Arial" w:cs="Arial"/>
          <w:b/>
          <w:sz w:val="20"/>
          <w:szCs w:val="20"/>
          <w:lang w:val="bg-BG"/>
        </w:rPr>
        <w:tab/>
      </w:r>
      <w:r w:rsidRPr="00BE2256">
        <w:rPr>
          <w:rFonts w:ascii="Arial" w:eastAsia="Calibri" w:hAnsi="Arial" w:cs="Arial"/>
          <w:b/>
          <w:sz w:val="20"/>
          <w:szCs w:val="20"/>
          <w:lang w:val="en-US"/>
        </w:rPr>
        <w:t>CM</w:t>
      </w:r>
      <w:r w:rsidRPr="00BE2256">
        <w:rPr>
          <w:rFonts w:ascii="Arial" w:eastAsia="Calibri" w:hAnsi="Arial" w:cs="Arial"/>
          <w:b/>
          <w:sz w:val="20"/>
          <w:szCs w:val="20"/>
          <w:lang w:val="bg-BG"/>
        </w:rPr>
        <w:t>/</w:t>
      </w:r>
      <w:proofErr w:type="spellStart"/>
      <w:r w:rsidRPr="00BE2256">
        <w:rPr>
          <w:rFonts w:ascii="Arial" w:eastAsia="Calibri" w:hAnsi="Arial" w:cs="Arial"/>
          <w:b/>
          <w:sz w:val="20"/>
          <w:szCs w:val="20"/>
          <w:lang w:val="en-US"/>
        </w:rPr>
        <w:t>ResDH</w:t>
      </w:r>
      <w:proofErr w:type="spellEnd"/>
      <w:r w:rsidRPr="00BE2256">
        <w:rPr>
          <w:rFonts w:ascii="Arial" w:eastAsia="Calibri" w:hAnsi="Arial" w:cs="Arial"/>
          <w:b/>
          <w:sz w:val="20"/>
          <w:szCs w:val="20"/>
          <w:lang w:val="bg-BG"/>
        </w:rPr>
        <w:t>(2020)</w:t>
      </w:r>
      <w:r w:rsidRPr="00BE2256">
        <w:rPr>
          <w:rFonts w:ascii="Arial" w:eastAsia="Calibri" w:hAnsi="Arial" w:cs="Arial"/>
          <w:b/>
          <w:sz w:val="20"/>
          <w:szCs w:val="20"/>
        </w:rPr>
        <w:t>….</w:t>
      </w:r>
      <w:r w:rsidRPr="00BE2256">
        <w:rPr>
          <w:rFonts w:ascii="Arial" w:eastAsia="Calibri" w:hAnsi="Arial" w:cs="Arial"/>
          <w:b/>
          <w:sz w:val="20"/>
          <w:szCs w:val="20"/>
          <w:lang w:val="ru-RU"/>
        </w:rPr>
        <w:tab/>
      </w:r>
      <w:r w:rsidRPr="00BE2256">
        <w:rPr>
          <w:rFonts w:ascii="Arial" w:eastAsia="Calibri" w:hAnsi="Arial" w:cs="Arial"/>
          <w:b/>
          <w:sz w:val="20"/>
          <w:szCs w:val="20"/>
          <w:lang w:val="ru-RU"/>
        </w:rPr>
        <w:tab/>
      </w:r>
      <w:r w:rsidRPr="00BE2256">
        <w:rPr>
          <w:rFonts w:ascii="Arial" w:eastAsia="Calibri" w:hAnsi="Arial" w:cs="Arial"/>
          <w:b/>
          <w:sz w:val="20"/>
          <w:szCs w:val="20"/>
        </w:rPr>
        <w:t>3</w:t>
      </w:r>
      <w:r w:rsidRPr="00BE2256">
        <w:rPr>
          <w:rFonts w:ascii="Arial" w:eastAsia="Calibri" w:hAnsi="Arial" w:cs="Arial"/>
          <w:b/>
          <w:sz w:val="20"/>
          <w:szCs w:val="20"/>
          <w:lang w:val="bg-BG"/>
        </w:rPr>
        <w:t xml:space="preserve"> декември </w:t>
      </w:r>
      <w:r w:rsidRPr="00BE2256">
        <w:rPr>
          <w:rFonts w:ascii="Arial" w:eastAsia="Calibri" w:hAnsi="Arial" w:cs="Arial"/>
          <w:b/>
          <w:sz w:val="20"/>
          <w:szCs w:val="20"/>
          <w:lang w:val="ru-RU"/>
        </w:rPr>
        <w:t>20</w:t>
      </w:r>
      <w:r w:rsidRPr="00BE2256">
        <w:rPr>
          <w:rFonts w:ascii="Arial" w:eastAsia="Calibri" w:hAnsi="Arial" w:cs="Arial"/>
          <w:b/>
          <w:sz w:val="20"/>
          <w:szCs w:val="20"/>
          <w:lang w:val="bg-BG"/>
        </w:rPr>
        <w:t>20</w:t>
      </w:r>
      <w:r w:rsidRPr="00BE2256">
        <w:rPr>
          <w:rFonts w:ascii="Arial" w:eastAsia="Calibri" w:hAnsi="Arial" w:cs="Arial"/>
          <w:b/>
          <w:sz w:val="20"/>
          <w:szCs w:val="20"/>
          <w:lang w:val="ru-RU"/>
        </w:rPr>
        <w:t xml:space="preserve"> г.</w:t>
      </w:r>
    </w:p>
    <w:tbl>
      <w:tblPr>
        <w:tblW w:w="5132" w:type="pct"/>
        <w:tblBorders>
          <w:bottom w:val="single" w:sz="4" w:space="0" w:color="auto"/>
        </w:tblBorders>
        <w:tblCellMar>
          <w:left w:w="0" w:type="dxa"/>
          <w:right w:w="0" w:type="dxa"/>
        </w:tblCellMar>
        <w:tblLook w:val="04A0" w:firstRow="1" w:lastRow="0" w:firstColumn="1" w:lastColumn="0" w:noHBand="0" w:noVBand="1"/>
      </w:tblPr>
      <w:tblGrid>
        <w:gridCol w:w="9264"/>
      </w:tblGrid>
      <w:tr w:rsidR="00BE2256" w:rsidRPr="00BE2256" w14:paraId="233B040D" w14:textId="77777777" w:rsidTr="00E335F0">
        <w:tc>
          <w:tcPr>
            <w:tcW w:w="9607" w:type="dxa"/>
            <w:shd w:val="clear" w:color="auto" w:fill="auto"/>
            <w:tcMar>
              <w:top w:w="227" w:type="dxa"/>
              <w:bottom w:w="227" w:type="dxa"/>
            </w:tcMar>
            <w:vAlign w:val="center"/>
          </w:tcPr>
          <w:p w14:paraId="3AE9F5AD" w14:textId="77777777" w:rsidR="00BE2256" w:rsidRPr="00BE2256" w:rsidRDefault="00BE2256" w:rsidP="00BE2256">
            <w:pPr>
              <w:spacing w:after="200" w:line="276" w:lineRule="auto"/>
              <w:jc w:val="both"/>
              <w:rPr>
                <w:rFonts w:ascii="Arial" w:eastAsia="Calibri" w:hAnsi="Arial" w:cs="Arial"/>
                <w:b/>
                <w:sz w:val="20"/>
                <w:szCs w:val="20"/>
                <w:lang w:val="ru-RU"/>
              </w:rPr>
            </w:pPr>
            <w:r w:rsidRPr="00BE2256">
              <w:rPr>
                <w:rFonts w:ascii="Arial" w:eastAsia="Calibri" w:hAnsi="Arial" w:cs="Arial"/>
                <w:b/>
                <w:sz w:val="20"/>
                <w:szCs w:val="20"/>
                <w:lang w:val="bg-BG"/>
              </w:rPr>
              <w:t>Междинна резолюция</w:t>
            </w:r>
            <w:r w:rsidRPr="00BE2256">
              <w:rPr>
                <w:rFonts w:ascii="Arial" w:eastAsia="Calibri" w:hAnsi="Arial" w:cs="Arial"/>
                <w:sz w:val="20"/>
                <w:szCs w:val="20"/>
                <w:lang w:val="ru-RU"/>
              </w:rPr>
              <w:t xml:space="preserve"> </w:t>
            </w:r>
            <w:r w:rsidRPr="00BE2256">
              <w:rPr>
                <w:rFonts w:ascii="Arial" w:eastAsia="Calibri" w:hAnsi="Arial" w:cs="Arial"/>
                <w:b/>
                <w:sz w:val="20"/>
                <w:szCs w:val="20"/>
                <w:lang w:val="bg-BG"/>
              </w:rPr>
              <w:t>CM/</w:t>
            </w:r>
            <w:proofErr w:type="spellStart"/>
            <w:r w:rsidRPr="00BE2256">
              <w:rPr>
                <w:rFonts w:ascii="Arial" w:eastAsia="Calibri" w:hAnsi="Arial" w:cs="Arial"/>
                <w:b/>
                <w:sz w:val="20"/>
                <w:szCs w:val="20"/>
                <w:lang w:val="bg-BG"/>
              </w:rPr>
              <w:t>ResDH</w:t>
            </w:r>
            <w:proofErr w:type="spellEnd"/>
            <w:r w:rsidRPr="00BE2256">
              <w:rPr>
                <w:rFonts w:ascii="Arial" w:eastAsia="Calibri" w:hAnsi="Arial" w:cs="Arial"/>
                <w:b/>
                <w:sz w:val="20"/>
                <w:szCs w:val="20"/>
                <w:lang w:val="bg-BG"/>
              </w:rPr>
              <w:t>(20</w:t>
            </w:r>
            <w:r w:rsidRPr="00BE2256">
              <w:rPr>
                <w:rFonts w:ascii="Arial" w:eastAsia="Calibri" w:hAnsi="Arial" w:cs="Arial"/>
                <w:b/>
                <w:sz w:val="20"/>
                <w:szCs w:val="20"/>
                <w:lang w:val="ru-RU"/>
              </w:rPr>
              <w:t>20</w:t>
            </w:r>
            <w:r w:rsidRPr="00BE2256">
              <w:rPr>
                <w:rFonts w:ascii="Arial" w:eastAsia="Calibri" w:hAnsi="Arial" w:cs="Arial"/>
                <w:b/>
                <w:sz w:val="20"/>
                <w:szCs w:val="20"/>
                <w:lang w:val="bg-BG"/>
              </w:rPr>
              <w:t>)357</w:t>
            </w:r>
          </w:p>
          <w:p w14:paraId="3C82C284" w14:textId="77777777" w:rsidR="00BE2256" w:rsidRPr="00BE2256" w:rsidRDefault="00BE2256" w:rsidP="00BE2256">
            <w:pPr>
              <w:spacing w:after="200" w:line="276" w:lineRule="auto"/>
              <w:jc w:val="both"/>
              <w:rPr>
                <w:rFonts w:ascii="Arial" w:eastAsia="Calibri" w:hAnsi="Arial" w:cs="Arial"/>
                <w:b/>
                <w:sz w:val="20"/>
                <w:szCs w:val="20"/>
                <w:lang w:val="bg-BG"/>
              </w:rPr>
            </w:pPr>
            <w:r w:rsidRPr="00BE2256">
              <w:rPr>
                <w:rFonts w:ascii="Arial" w:eastAsia="Calibri" w:hAnsi="Arial" w:cs="Arial"/>
                <w:b/>
                <w:sz w:val="20"/>
                <w:szCs w:val="20"/>
                <w:lang w:val="bg-BG"/>
              </w:rPr>
              <w:t xml:space="preserve">Изпълнение на решенията на Европейския съд по правата на човека </w:t>
            </w:r>
          </w:p>
          <w:p w14:paraId="7F6D2587" w14:textId="77777777" w:rsidR="00BE2256" w:rsidRPr="00BE2256" w:rsidRDefault="00BE2256" w:rsidP="00BE2256">
            <w:pPr>
              <w:spacing w:after="200" w:line="276" w:lineRule="auto"/>
              <w:jc w:val="both"/>
              <w:rPr>
                <w:rFonts w:ascii="Arial" w:eastAsia="Calibri" w:hAnsi="Arial" w:cs="Arial"/>
                <w:b/>
                <w:sz w:val="20"/>
                <w:szCs w:val="20"/>
                <w:lang w:val="bg-BG"/>
              </w:rPr>
            </w:pPr>
            <w:r w:rsidRPr="00BE2256">
              <w:rPr>
                <w:rFonts w:ascii="Arial" w:eastAsia="Calibri" w:hAnsi="Arial" w:cs="Arial"/>
                <w:b/>
                <w:sz w:val="20"/>
                <w:szCs w:val="20"/>
                <w:lang w:val="bg-BG"/>
              </w:rPr>
              <w:t xml:space="preserve">Група "Йорданова и други“ срещу България </w:t>
            </w:r>
          </w:p>
          <w:p w14:paraId="1945BB9C" w14:textId="77777777" w:rsidR="00BE2256" w:rsidRPr="00BE2256" w:rsidRDefault="00BE2256" w:rsidP="00BE2256">
            <w:pPr>
              <w:spacing w:after="200" w:line="276" w:lineRule="auto"/>
              <w:jc w:val="both"/>
              <w:rPr>
                <w:rFonts w:ascii="Arial" w:eastAsia="Calibri" w:hAnsi="Arial" w:cs="Arial"/>
                <w:i/>
                <w:sz w:val="20"/>
                <w:szCs w:val="20"/>
                <w:lang w:val="bg-BG"/>
              </w:rPr>
            </w:pPr>
            <w:r w:rsidRPr="00BE2256">
              <w:rPr>
                <w:rFonts w:ascii="Arial" w:eastAsia="Calibri" w:hAnsi="Arial" w:cs="Arial"/>
                <w:i/>
                <w:sz w:val="20"/>
                <w:szCs w:val="20"/>
                <w:lang w:val="bg-BG"/>
              </w:rPr>
              <w:t>(Приета от Комитета на министрите на 3 декември 2020 г.</w:t>
            </w:r>
            <w:r w:rsidRPr="00BE2256">
              <w:rPr>
                <w:rFonts w:ascii="Arial" w:eastAsia="Calibri" w:hAnsi="Arial" w:cs="Arial"/>
                <w:i/>
                <w:sz w:val="20"/>
                <w:szCs w:val="20"/>
                <w:lang w:val="bg-BG"/>
              </w:rPr>
              <w:br/>
              <w:t>на 1390-о заседание на представителите на министрите)</w:t>
            </w:r>
          </w:p>
        </w:tc>
      </w:tr>
    </w:tbl>
    <w:p w14:paraId="2A1718ED" w14:textId="77777777" w:rsidR="00BE2256" w:rsidRPr="00BE2256" w:rsidRDefault="00BE2256" w:rsidP="00BE2256">
      <w:pPr>
        <w:spacing w:after="200" w:line="276" w:lineRule="auto"/>
        <w:jc w:val="both"/>
        <w:rPr>
          <w:rFonts w:ascii="Arial" w:eastAsia="Calibri" w:hAnsi="Arial" w:cs="Arial"/>
          <w:b/>
          <w:sz w:val="20"/>
          <w:szCs w:val="20"/>
          <w:lang w:val="ru-RU"/>
        </w:rPr>
      </w:pPr>
    </w:p>
    <w:tbl>
      <w:tblPr>
        <w:tblW w:w="47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3795"/>
        <w:gridCol w:w="1580"/>
        <w:gridCol w:w="1984"/>
      </w:tblGrid>
      <w:tr w:rsidR="00BE2256" w:rsidRPr="00BE2256" w14:paraId="3EDC38F6" w14:textId="77777777" w:rsidTr="00E335F0">
        <w:tc>
          <w:tcPr>
            <w:tcW w:w="1287" w:type="dxa"/>
            <w:tcBorders>
              <w:top w:val="single" w:sz="4" w:space="0" w:color="auto"/>
              <w:left w:val="single" w:sz="4" w:space="0" w:color="auto"/>
              <w:bottom w:val="single" w:sz="4" w:space="0" w:color="auto"/>
              <w:right w:val="single" w:sz="4" w:space="0" w:color="auto"/>
            </w:tcBorders>
            <w:hideMark/>
          </w:tcPr>
          <w:p w14:paraId="53240A66" w14:textId="77777777" w:rsidR="00BE2256" w:rsidRPr="00BE2256" w:rsidRDefault="00BE2256" w:rsidP="00BE2256">
            <w:pPr>
              <w:spacing w:after="0" w:line="240" w:lineRule="auto"/>
              <w:rPr>
                <w:rFonts w:ascii="Arial" w:eastAsia="Calibri" w:hAnsi="Arial" w:cs="Arial"/>
                <w:b/>
                <w:bCs/>
                <w:sz w:val="18"/>
                <w:szCs w:val="18"/>
                <w:lang w:val="bg-BG"/>
              </w:rPr>
            </w:pPr>
            <w:r w:rsidRPr="00BE2256">
              <w:rPr>
                <w:rFonts w:ascii="Arial" w:eastAsia="Calibri" w:hAnsi="Arial" w:cs="Arial"/>
                <w:b/>
                <w:bCs/>
                <w:sz w:val="18"/>
                <w:szCs w:val="18"/>
                <w:lang w:val="bg-BG"/>
              </w:rPr>
              <w:t>Жалба</w:t>
            </w:r>
          </w:p>
        </w:tc>
        <w:tc>
          <w:tcPr>
            <w:tcW w:w="3796" w:type="dxa"/>
            <w:tcBorders>
              <w:top w:val="single" w:sz="4" w:space="0" w:color="auto"/>
              <w:left w:val="single" w:sz="4" w:space="0" w:color="auto"/>
              <w:bottom w:val="single" w:sz="4" w:space="0" w:color="auto"/>
              <w:right w:val="single" w:sz="4" w:space="0" w:color="auto"/>
            </w:tcBorders>
            <w:hideMark/>
          </w:tcPr>
          <w:p w14:paraId="28AFBDC7" w14:textId="77777777" w:rsidR="00BE2256" w:rsidRPr="00BE2256" w:rsidRDefault="00BE2256" w:rsidP="00BE2256">
            <w:pPr>
              <w:spacing w:after="0" w:line="240" w:lineRule="auto"/>
              <w:rPr>
                <w:rFonts w:ascii="Arial" w:eastAsia="Calibri" w:hAnsi="Arial" w:cs="Arial"/>
                <w:b/>
                <w:bCs/>
                <w:sz w:val="18"/>
                <w:szCs w:val="18"/>
                <w:lang w:val="bg-BG"/>
              </w:rPr>
            </w:pPr>
            <w:r w:rsidRPr="00BE2256">
              <w:rPr>
                <w:rFonts w:ascii="Arial" w:eastAsia="Calibri" w:hAnsi="Arial" w:cs="Arial"/>
                <w:b/>
                <w:bCs/>
                <w:sz w:val="18"/>
                <w:szCs w:val="18"/>
                <w:lang w:val="bg-BG"/>
              </w:rPr>
              <w:t>Дело</w:t>
            </w:r>
          </w:p>
        </w:tc>
        <w:tc>
          <w:tcPr>
            <w:tcW w:w="1580" w:type="dxa"/>
            <w:tcBorders>
              <w:top w:val="single" w:sz="4" w:space="0" w:color="auto"/>
              <w:left w:val="single" w:sz="4" w:space="0" w:color="auto"/>
              <w:bottom w:val="single" w:sz="4" w:space="0" w:color="auto"/>
              <w:right w:val="single" w:sz="4" w:space="0" w:color="auto"/>
            </w:tcBorders>
            <w:hideMark/>
          </w:tcPr>
          <w:p w14:paraId="79104325" w14:textId="77777777" w:rsidR="00BE2256" w:rsidRPr="00BE2256" w:rsidRDefault="00BE2256" w:rsidP="00BE2256">
            <w:pPr>
              <w:spacing w:after="0" w:line="240" w:lineRule="auto"/>
              <w:rPr>
                <w:rFonts w:ascii="Arial" w:eastAsia="Calibri" w:hAnsi="Arial" w:cs="Arial"/>
                <w:b/>
                <w:bCs/>
                <w:sz w:val="18"/>
                <w:szCs w:val="18"/>
                <w:lang w:val="bg-BG"/>
              </w:rPr>
            </w:pPr>
            <w:r w:rsidRPr="00BE2256">
              <w:rPr>
                <w:rFonts w:ascii="Arial" w:eastAsia="Calibri" w:hAnsi="Arial" w:cs="Arial"/>
                <w:b/>
                <w:bCs/>
                <w:sz w:val="18"/>
                <w:szCs w:val="18"/>
                <w:lang w:val="bg-BG"/>
              </w:rPr>
              <w:t>Решение от</w:t>
            </w:r>
          </w:p>
        </w:tc>
        <w:tc>
          <w:tcPr>
            <w:tcW w:w="1984" w:type="dxa"/>
            <w:tcBorders>
              <w:top w:val="single" w:sz="4" w:space="0" w:color="auto"/>
              <w:left w:val="single" w:sz="4" w:space="0" w:color="auto"/>
              <w:bottom w:val="single" w:sz="4" w:space="0" w:color="auto"/>
              <w:right w:val="single" w:sz="4" w:space="0" w:color="auto"/>
            </w:tcBorders>
            <w:hideMark/>
          </w:tcPr>
          <w:p w14:paraId="7FECEA0F" w14:textId="77777777" w:rsidR="00BE2256" w:rsidRPr="00BE2256" w:rsidRDefault="00BE2256" w:rsidP="00BE2256">
            <w:pPr>
              <w:spacing w:after="0" w:line="240" w:lineRule="auto"/>
              <w:rPr>
                <w:rFonts w:ascii="Arial" w:eastAsia="Calibri" w:hAnsi="Arial" w:cs="Arial"/>
                <w:b/>
                <w:bCs/>
                <w:sz w:val="18"/>
                <w:szCs w:val="18"/>
                <w:lang w:val="bg-BG"/>
              </w:rPr>
            </w:pPr>
            <w:r w:rsidRPr="00BE2256">
              <w:rPr>
                <w:rFonts w:ascii="Arial" w:eastAsia="Calibri" w:hAnsi="Arial" w:cs="Arial"/>
                <w:b/>
                <w:bCs/>
                <w:sz w:val="18"/>
                <w:szCs w:val="18"/>
                <w:lang w:val="bg-BG"/>
              </w:rPr>
              <w:t>Окончателно на</w:t>
            </w:r>
          </w:p>
        </w:tc>
      </w:tr>
      <w:tr w:rsidR="00BE2256" w:rsidRPr="00BE2256" w14:paraId="0E47E6D6" w14:textId="77777777" w:rsidTr="00E335F0">
        <w:tc>
          <w:tcPr>
            <w:tcW w:w="1287" w:type="dxa"/>
            <w:tcBorders>
              <w:top w:val="single" w:sz="4" w:space="0" w:color="auto"/>
              <w:left w:val="single" w:sz="4" w:space="0" w:color="auto"/>
              <w:bottom w:val="single" w:sz="4" w:space="0" w:color="auto"/>
              <w:right w:val="single" w:sz="4" w:space="0" w:color="auto"/>
            </w:tcBorders>
            <w:hideMark/>
          </w:tcPr>
          <w:p w14:paraId="2182046B" w14:textId="77777777" w:rsidR="00BE2256" w:rsidRPr="00BE2256" w:rsidRDefault="00BE2256" w:rsidP="00BE2256">
            <w:pPr>
              <w:spacing w:after="0" w:line="240" w:lineRule="auto"/>
              <w:rPr>
                <w:rFonts w:ascii="Arial" w:eastAsia="Calibri" w:hAnsi="Arial" w:cs="Arial"/>
                <w:sz w:val="18"/>
                <w:szCs w:val="18"/>
                <w:lang w:val="bg-BG"/>
              </w:rPr>
            </w:pPr>
            <w:r w:rsidRPr="00BE2256">
              <w:rPr>
                <w:rFonts w:ascii="Arial" w:eastAsia="Calibri" w:hAnsi="Arial" w:cs="Arial"/>
                <w:sz w:val="18"/>
                <w:szCs w:val="18"/>
                <w:lang w:val="bg-BG"/>
              </w:rPr>
              <w:t>25446/06</w:t>
            </w:r>
          </w:p>
        </w:tc>
        <w:tc>
          <w:tcPr>
            <w:tcW w:w="3796" w:type="dxa"/>
            <w:tcBorders>
              <w:top w:val="single" w:sz="4" w:space="0" w:color="auto"/>
              <w:left w:val="single" w:sz="4" w:space="0" w:color="auto"/>
              <w:bottom w:val="single" w:sz="4" w:space="0" w:color="auto"/>
              <w:right w:val="single" w:sz="4" w:space="0" w:color="auto"/>
            </w:tcBorders>
            <w:hideMark/>
          </w:tcPr>
          <w:p w14:paraId="13F0488D" w14:textId="77777777" w:rsidR="00BE2256" w:rsidRPr="00BE2256" w:rsidRDefault="00BE2256" w:rsidP="00BE2256">
            <w:pPr>
              <w:spacing w:after="0" w:line="240" w:lineRule="auto"/>
              <w:rPr>
                <w:rFonts w:ascii="Arial" w:eastAsia="Calibri" w:hAnsi="Arial" w:cs="Arial"/>
                <w:sz w:val="18"/>
                <w:szCs w:val="18"/>
                <w:lang w:val="bg-BG"/>
              </w:rPr>
            </w:pPr>
            <w:r w:rsidRPr="00BE2256">
              <w:rPr>
                <w:rFonts w:ascii="Arial" w:eastAsia="Calibri" w:hAnsi="Arial" w:cs="Arial"/>
                <w:sz w:val="18"/>
                <w:szCs w:val="18"/>
                <w:lang w:val="bg-BG"/>
              </w:rPr>
              <w:t xml:space="preserve">Йорданова и други </w:t>
            </w:r>
          </w:p>
        </w:tc>
        <w:tc>
          <w:tcPr>
            <w:tcW w:w="1580" w:type="dxa"/>
            <w:tcBorders>
              <w:top w:val="single" w:sz="4" w:space="0" w:color="auto"/>
              <w:left w:val="single" w:sz="4" w:space="0" w:color="auto"/>
              <w:bottom w:val="single" w:sz="4" w:space="0" w:color="auto"/>
              <w:right w:val="single" w:sz="4" w:space="0" w:color="auto"/>
            </w:tcBorders>
            <w:hideMark/>
          </w:tcPr>
          <w:p w14:paraId="041C0E3C" w14:textId="77777777" w:rsidR="00BE2256" w:rsidRPr="00BE2256" w:rsidRDefault="00BE2256" w:rsidP="00BE2256">
            <w:pPr>
              <w:spacing w:after="0" w:line="240" w:lineRule="auto"/>
              <w:rPr>
                <w:rFonts w:ascii="Arial" w:eastAsia="Calibri" w:hAnsi="Arial" w:cs="Arial"/>
                <w:sz w:val="18"/>
                <w:szCs w:val="18"/>
                <w:lang w:val="bg-BG"/>
              </w:rPr>
            </w:pPr>
            <w:r w:rsidRPr="00BE2256">
              <w:rPr>
                <w:rFonts w:ascii="Arial" w:eastAsia="Calibri" w:hAnsi="Arial" w:cs="Arial"/>
                <w:sz w:val="18"/>
                <w:szCs w:val="18"/>
                <w:lang w:val="bg-BG"/>
              </w:rPr>
              <w:t>24/04/2012</w:t>
            </w:r>
          </w:p>
        </w:tc>
        <w:tc>
          <w:tcPr>
            <w:tcW w:w="1984" w:type="dxa"/>
            <w:tcBorders>
              <w:top w:val="single" w:sz="4" w:space="0" w:color="auto"/>
              <w:left w:val="single" w:sz="4" w:space="0" w:color="auto"/>
              <w:bottom w:val="single" w:sz="4" w:space="0" w:color="auto"/>
              <w:right w:val="single" w:sz="4" w:space="0" w:color="auto"/>
            </w:tcBorders>
            <w:hideMark/>
          </w:tcPr>
          <w:p w14:paraId="435AD270" w14:textId="77777777" w:rsidR="00BE2256" w:rsidRPr="00BE2256" w:rsidRDefault="00BE2256" w:rsidP="00BE2256">
            <w:pPr>
              <w:spacing w:after="0" w:line="240" w:lineRule="auto"/>
              <w:rPr>
                <w:rFonts w:ascii="Arial" w:eastAsia="Calibri" w:hAnsi="Arial" w:cs="Arial"/>
                <w:sz w:val="18"/>
                <w:szCs w:val="18"/>
                <w:lang w:val="bg-BG"/>
              </w:rPr>
            </w:pPr>
            <w:r w:rsidRPr="00BE2256">
              <w:rPr>
                <w:rFonts w:ascii="Arial" w:eastAsia="Calibri" w:hAnsi="Arial" w:cs="Arial"/>
                <w:sz w:val="18"/>
                <w:szCs w:val="18"/>
                <w:lang w:val="bg-BG"/>
              </w:rPr>
              <w:t>24/09/2012</w:t>
            </w:r>
          </w:p>
        </w:tc>
      </w:tr>
      <w:tr w:rsidR="00BE2256" w:rsidRPr="00BE2256" w14:paraId="62519EFC" w14:textId="77777777" w:rsidTr="00E335F0">
        <w:tc>
          <w:tcPr>
            <w:tcW w:w="1287" w:type="dxa"/>
            <w:tcBorders>
              <w:top w:val="single" w:sz="4" w:space="0" w:color="auto"/>
              <w:left w:val="single" w:sz="4" w:space="0" w:color="auto"/>
              <w:bottom w:val="single" w:sz="4" w:space="0" w:color="auto"/>
              <w:right w:val="single" w:sz="4" w:space="0" w:color="auto"/>
            </w:tcBorders>
            <w:hideMark/>
          </w:tcPr>
          <w:p w14:paraId="776F528A" w14:textId="77777777" w:rsidR="00BE2256" w:rsidRPr="00BE2256" w:rsidRDefault="00BE2256" w:rsidP="00BE2256">
            <w:pPr>
              <w:spacing w:after="0" w:line="240" w:lineRule="auto"/>
              <w:rPr>
                <w:rFonts w:ascii="Arial" w:eastAsia="Calibri" w:hAnsi="Arial" w:cs="Arial"/>
                <w:sz w:val="18"/>
                <w:szCs w:val="18"/>
                <w:lang w:val="bg-BG"/>
              </w:rPr>
            </w:pPr>
            <w:r w:rsidRPr="00BE2256">
              <w:rPr>
                <w:rFonts w:ascii="Arial" w:eastAsia="Calibri" w:hAnsi="Arial" w:cs="Arial"/>
                <w:sz w:val="18"/>
                <w:szCs w:val="18"/>
                <w:lang w:val="bg-BG"/>
              </w:rPr>
              <w:t>46577/15</w:t>
            </w:r>
          </w:p>
        </w:tc>
        <w:tc>
          <w:tcPr>
            <w:tcW w:w="3796" w:type="dxa"/>
            <w:tcBorders>
              <w:top w:val="single" w:sz="4" w:space="0" w:color="auto"/>
              <w:left w:val="single" w:sz="4" w:space="0" w:color="auto"/>
              <w:bottom w:val="single" w:sz="4" w:space="0" w:color="auto"/>
              <w:right w:val="single" w:sz="4" w:space="0" w:color="auto"/>
            </w:tcBorders>
            <w:hideMark/>
          </w:tcPr>
          <w:p w14:paraId="04BE7E2F" w14:textId="77777777" w:rsidR="00BE2256" w:rsidRPr="00BE2256" w:rsidRDefault="00BE2256" w:rsidP="00BE2256">
            <w:pPr>
              <w:spacing w:after="0" w:line="240" w:lineRule="auto"/>
              <w:rPr>
                <w:rFonts w:ascii="Arial" w:eastAsia="Calibri" w:hAnsi="Arial" w:cs="Arial"/>
                <w:sz w:val="18"/>
                <w:szCs w:val="18"/>
                <w:lang w:val="bg-BG"/>
              </w:rPr>
            </w:pPr>
            <w:r w:rsidRPr="00BE2256">
              <w:rPr>
                <w:rFonts w:ascii="Arial" w:eastAsia="Calibri" w:hAnsi="Arial" w:cs="Arial"/>
                <w:sz w:val="18"/>
                <w:szCs w:val="18"/>
                <w:lang w:val="bg-BG"/>
              </w:rPr>
              <w:t>Иванова и Черкезов</w:t>
            </w:r>
          </w:p>
        </w:tc>
        <w:tc>
          <w:tcPr>
            <w:tcW w:w="1580" w:type="dxa"/>
            <w:tcBorders>
              <w:top w:val="single" w:sz="4" w:space="0" w:color="auto"/>
              <w:left w:val="single" w:sz="4" w:space="0" w:color="auto"/>
              <w:bottom w:val="single" w:sz="4" w:space="0" w:color="auto"/>
              <w:right w:val="single" w:sz="4" w:space="0" w:color="auto"/>
            </w:tcBorders>
            <w:hideMark/>
          </w:tcPr>
          <w:p w14:paraId="1AFB82E7" w14:textId="77777777" w:rsidR="00BE2256" w:rsidRPr="00BE2256" w:rsidRDefault="00BE2256" w:rsidP="00BE2256">
            <w:pPr>
              <w:spacing w:after="0" w:line="240" w:lineRule="auto"/>
              <w:rPr>
                <w:rFonts w:ascii="Arial" w:eastAsia="Calibri" w:hAnsi="Arial" w:cs="Arial"/>
                <w:sz w:val="18"/>
                <w:szCs w:val="18"/>
                <w:lang w:val="bg-BG"/>
              </w:rPr>
            </w:pPr>
            <w:r w:rsidRPr="00BE2256">
              <w:rPr>
                <w:rFonts w:ascii="Arial" w:eastAsia="Calibri" w:hAnsi="Arial" w:cs="Arial"/>
                <w:sz w:val="18"/>
                <w:szCs w:val="18"/>
                <w:lang w:val="bg-BG"/>
              </w:rPr>
              <w:t>21/04/2016</w:t>
            </w:r>
          </w:p>
        </w:tc>
        <w:tc>
          <w:tcPr>
            <w:tcW w:w="1984" w:type="dxa"/>
            <w:tcBorders>
              <w:top w:val="single" w:sz="4" w:space="0" w:color="auto"/>
              <w:left w:val="single" w:sz="4" w:space="0" w:color="auto"/>
              <w:bottom w:val="single" w:sz="4" w:space="0" w:color="auto"/>
              <w:right w:val="single" w:sz="4" w:space="0" w:color="auto"/>
            </w:tcBorders>
            <w:hideMark/>
          </w:tcPr>
          <w:p w14:paraId="3DD9A9BD" w14:textId="77777777" w:rsidR="00BE2256" w:rsidRPr="00BE2256" w:rsidRDefault="00BE2256" w:rsidP="00BE2256">
            <w:pPr>
              <w:spacing w:after="0" w:line="240" w:lineRule="auto"/>
              <w:rPr>
                <w:rFonts w:ascii="Arial" w:eastAsia="Calibri" w:hAnsi="Arial" w:cs="Arial"/>
                <w:sz w:val="18"/>
                <w:szCs w:val="18"/>
                <w:lang w:val="bg-BG"/>
              </w:rPr>
            </w:pPr>
            <w:r w:rsidRPr="00BE2256">
              <w:rPr>
                <w:rFonts w:ascii="Arial" w:eastAsia="Calibri" w:hAnsi="Arial" w:cs="Arial"/>
                <w:sz w:val="18"/>
                <w:szCs w:val="18"/>
                <w:lang w:val="bg-BG"/>
              </w:rPr>
              <w:t>21/07/2016</w:t>
            </w:r>
          </w:p>
        </w:tc>
      </w:tr>
    </w:tbl>
    <w:p w14:paraId="704D15E4" w14:textId="77777777" w:rsidR="00BE2256" w:rsidRPr="00BE2256" w:rsidRDefault="00BE2256" w:rsidP="00BE2256">
      <w:pPr>
        <w:spacing w:after="0" w:line="240" w:lineRule="auto"/>
        <w:rPr>
          <w:rFonts w:ascii="Arial" w:eastAsia="Times New Roman" w:hAnsi="Arial" w:cs="Arial"/>
          <w:b/>
          <w:bCs/>
          <w:sz w:val="20"/>
          <w:szCs w:val="24"/>
          <w:lang w:val="bg-BG"/>
        </w:rPr>
      </w:pPr>
    </w:p>
    <w:p w14:paraId="584DBEB1" w14:textId="77777777" w:rsidR="00BE2256" w:rsidRPr="00BE2256" w:rsidRDefault="00BE2256" w:rsidP="00BE2256">
      <w:pPr>
        <w:spacing w:after="0" w:line="240" w:lineRule="auto"/>
        <w:rPr>
          <w:rFonts w:ascii="Arial" w:eastAsia="Calibri" w:hAnsi="Arial" w:cs="Arial"/>
          <w:bCs/>
          <w:sz w:val="20"/>
          <w:szCs w:val="20"/>
          <w:lang w:val="bg-BG"/>
        </w:rPr>
      </w:pPr>
    </w:p>
    <w:p w14:paraId="399977AC" w14:textId="77777777" w:rsidR="00BE2256" w:rsidRPr="00BE2256" w:rsidRDefault="00BE2256" w:rsidP="00BE2256">
      <w:pPr>
        <w:spacing w:after="0" w:line="240" w:lineRule="auto"/>
        <w:rPr>
          <w:rFonts w:ascii="Arial" w:eastAsia="Calibri" w:hAnsi="Arial" w:cs="Arial"/>
          <w:bCs/>
          <w:sz w:val="20"/>
          <w:szCs w:val="20"/>
          <w:lang w:val="bg-BG"/>
        </w:rPr>
      </w:pPr>
      <w:r w:rsidRPr="00BE2256">
        <w:rPr>
          <w:rFonts w:ascii="Arial" w:eastAsia="Calibri" w:hAnsi="Arial" w:cs="Arial"/>
          <w:sz w:val="20"/>
          <w:szCs w:val="20"/>
          <w:lang w:val="bg-BG"/>
        </w:rPr>
        <w:t>Комитетът на министрите, съгласно член 46, параграф 2 от Конвенцията за защита на правата на човека и основните свободи, който предвижда, че Комитетът следи за изпълнението на окончателните решения на Европейския съд по правата на човека (наричани по-нататък „Конвенцията“ и „Съдът“),</w:t>
      </w:r>
    </w:p>
    <w:p w14:paraId="4F90E67D" w14:textId="77777777" w:rsidR="00BE2256" w:rsidRPr="00BE2256" w:rsidRDefault="00BE2256" w:rsidP="00BE2256">
      <w:pPr>
        <w:spacing w:after="0" w:line="240" w:lineRule="auto"/>
        <w:rPr>
          <w:rFonts w:ascii="Arial" w:eastAsia="Calibri" w:hAnsi="Arial" w:cs="Arial"/>
          <w:bCs/>
          <w:sz w:val="20"/>
          <w:szCs w:val="20"/>
          <w:lang w:val="bg-BG"/>
        </w:rPr>
      </w:pPr>
    </w:p>
    <w:p w14:paraId="04E71D8F" w14:textId="77777777" w:rsidR="00BE2256" w:rsidRPr="00BE2256" w:rsidRDefault="00BE2256" w:rsidP="00BE2256">
      <w:pPr>
        <w:spacing w:after="0" w:line="240" w:lineRule="auto"/>
        <w:rPr>
          <w:rFonts w:ascii="Arial" w:eastAsia="Calibri" w:hAnsi="Arial" w:cs="Arial"/>
          <w:bCs/>
          <w:sz w:val="20"/>
          <w:szCs w:val="20"/>
          <w:lang w:val="bg-BG"/>
        </w:rPr>
      </w:pPr>
      <w:r w:rsidRPr="00BE2256">
        <w:rPr>
          <w:rFonts w:ascii="Arial" w:eastAsia="Calibri" w:hAnsi="Arial" w:cs="Arial"/>
          <w:bCs/>
          <w:sz w:val="20"/>
          <w:szCs w:val="20"/>
          <w:lang w:val="bg-BG"/>
        </w:rPr>
        <w:t>Като взе предвид окончателните решения, предадени от Съда на Комитета по тези дела и потенциалните нарушения на правото на жалбоподателите на неприкосновеност на жилището или личния и семейния им живот в резултат на заповеди за изземване [на имот] или заповеди за премахване [на незаконен строеж], касаещи домовете им, които са издадени и подложени на съдебен контрол в съответствие със законова рамка, която не изисква преценка за пропорционалност;</w:t>
      </w:r>
    </w:p>
    <w:p w14:paraId="3165A9C0" w14:textId="77777777" w:rsidR="00BE2256" w:rsidRPr="00BE2256" w:rsidRDefault="00BE2256" w:rsidP="00BE2256">
      <w:pPr>
        <w:spacing w:after="0" w:line="240" w:lineRule="auto"/>
        <w:rPr>
          <w:rFonts w:ascii="Arial" w:eastAsia="Calibri" w:hAnsi="Arial" w:cs="Arial"/>
          <w:bCs/>
          <w:sz w:val="20"/>
          <w:szCs w:val="20"/>
          <w:lang w:val="bg-BG"/>
        </w:rPr>
      </w:pPr>
    </w:p>
    <w:p w14:paraId="242E0A6F" w14:textId="77777777" w:rsidR="00BE2256" w:rsidRPr="00BE2256" w:rsidRDefault="00BE2256" w:rsidP="00BE2256">
      <w:pPr>
        <w:spacing w:after="0" w:line="240" w:lineRule="auto"/>
        <w:rPr>
          <w:rFonts w:ascii="Arial" w:eastAsia="Calibri" w:hAnsi="Arial" w:cs="Arial"/>
          <w:bCs/>
          <w:sz w:val="20"/>
          <w:szCs w:val="20"/>
          <w:lang w:val="bg-BG"/>
        </w:rPr>
      </w:pPr>
      <w:r w:rsidRPr="00BE2256">
        <w:rPr>
          <w:rFonts w:ascii="Arial" w:eastAsia="Calibri" w:hAnsi="Arial" w:cs="Arial"/>
          <w:bCs/>
          <w:sz w:val="20"/>
          <w:szCs w:val="20"/>
          <w:lang w:val="bg-BG"/>
        </w:rPr>
        <w:t xml:space="preserve">Припомняйки, че разглежданата в решението по делото </w:t>
      </w:r>
      <w:r w:rsidRPr="00BE2256">
        <w:rPr>
          <w:rFonts w:ascii="Arial" w:eastAsia="Calibri" w:hAnsi="Arial" w:cs="Arial"/>
          <w:bCs/>
          <w:i/>
          <w:iCs/>
          <w:sz w:val="20"/>
          <w:szCs w:val="20"/>
          <w:lang w:val="bg-BG"/>
        </w:rPr>
        <w:t xml:space="preserve">„Йорданова и други“ </w:t>
      </w:r>
      <w:r w:rsidRPr="00BE2256">
        <w:rPr>
          <w:rFonts w:ascii="Arial" w:eastAsia="Calibri" w:hAnsi="Arial" w:cs="Arial"/>
          <w:bCs/>
          <w:sz w:val="20"/>
          <w:szCs w:val="20"/>
          <w:lang w:val="bg-BG"/>
        </w:rPr>
        <w:t>заповед за изземване [на имот] вече не може да бъде изпълнена и че индивидуалните мерки относно евентуална нова заповед за изземване [на имот] по отношение на жалбоподателите са тясно свързани с общите мерки, които следва да бъдат предприети по тези дела;</w:t>
      </w:r>
    </w:p>
    <w:p w14:paraId="15531C71" w14:textId="77777777" w:rsidR="00BE2256" w:rsidRPr="00BE2256" w:rsidRDefault="00BE2256" w:rsidP="00BE2256">
      <w:pPr>
        <w:spacing w:after="0" w:line="240" w:lineRule="auto"/>
        <w:rPr>
          <w:rFonts w:ascii="Arial" w:eastAsia="Calibri" w:hAnsi="Arial" w:cs="Arial"/>
          <w:bCs/>
          <w:sz w:val="20"/>
          <w:szCs w:val="20"/>
          <w:lang w:val="bg-BG"/>
        </w:rPr>
      </w:pPr>
    </w:p>
    <w:p w14:paraId="3076E5E8" w14:textId="77777777" w:rsidR="00BE2256" w:rsidRPr="00BE2256" w:rsidRDefault="00BE2256" w:rsidP="00BE2256">
      <w:pPr>
        <w:spacing w:after="0" w:line="240" w:lineRule="auto"/>
        <w:rPr>
          <w:rFonts w:ascii="Arial" w:eastAsia="Calibri" w:hAnsi="Arial" w:cs="Arial"/>
          <w:bCs/>
          <w:sz w:val="20"/>
          <w:szCs w:val="20"/>
          <w:lang w:val="bg-BG"/>
        </w:rPr>
      </w:pPr>
      <w:r w:rsidRPr="00BE2256">
        <w:rPr>
          <w:rFonts w:ascii="Arial" w:eastAsia="Calibri" w:hAnsi="Arial" w:cs="Arial"/>
          <w:bCs/>
          <w:sz w:val="20"/>
          <w:szCs w:val="20"/>
          <w:lang w:val="bg-BG"/>
        </w:rPr>
        <w:t>Отбелязвайки, че понастоящем българските съдилища извършват по принцип контрол за пропорционалност на заповеди за премахване на незаконни жилища и на заповеди за извеждане от незаконно заети обществени жилища; като установи обаче, че съдебната практика все още не изглежда достатъчно установена в някои аспекти и че изглежда недостатъчна за създаване на ясна правна рамка за оценка на пропорционалността от администрацията;</w:t>
      </w:r>
    </w:p>
    <w:p w14:paraId="5C5EBA5D" w14:textId="77777777" w:rsidR="00BE2256" w:rsidRPr="00BE2256" w:rsidRDefault="00BE2256" w:rsidP="00BE2256">
      <w:pPr>
        <w:spacing w:after="0" w:line="240" w:lineRule="auto"/>
        <w:rPr>
          <w:rFonts w:ascii="Arial" w:eastAsia="Calibri" w:hAnsi="Arial" w:cs="Arial"/>
          <w:bCs/>
          <w:sz w:val="20"/>
          <w:szCs w:val="20"/>
          <w:lang w:val="bg-BG"/>
        </w:rPr>
      </w:pPr>
    </w:p>
    <w:p w14:paraId="39206DC2" w14:textId="77777777" w:rsidR="00BE2256" w:rsidRPr="00BE2256" w:rsidRDefault="00BE2256" w:rsidP="00BE2256">
      <w:pPr>
        <w:spacing w:after="0" w:line="240" w:lineRule="auto"/>
        <w:rPr>
          <w:rFonts w:ascii="Arial" w:eastAsia="Calibri" w:hAnsi="Arial" w:cs="Arial"/>
          <w:bCs/>
          <w:sz w:val="20"/>
          <w:szCs w:val="20"/>
          <w:lang w:val="bg-BG"/>
        </w:rPr>
      </w:pPr>
      <w:r w:rsidRPr="00BE2256">
        <w:rPr>
          <w:rFonts w:ascii="Arial" w:eastAsia="Calibri" w:hAnsi="Arial" w:cs="Arial"/>
          <w:bCs/>
          <w:sz w:val="20"/>
          <w:szCs w:val="20"/>
          <w:lang w:val="bg-BG"/>
        </w:rPr>
        <w:t>Припомняйки, че властите са изготвили законопроект през 2019 г., който като цяло предоставя адекватна основа за оценки на пропорционалността от администрацията и от съдилищата на заповеди за отстраняване от имот и за премахване на незаконни жилища, но не предвижда оценка на пропорционалността на заповедите за премахване на незаконни жилища  в случаи, в които засегнатите лица или членовете на техните домакинства нямат вещни права и не са извършвали строителни работи;</w:t>
      </w:r>
    </w:p>
    <w:p w14:paraId="2C1F7B80" w14:textId="77777777" w:rsidR="00BE2256" w:rsidRPr="00BE2256" w:rsidRDefault="00BE2256" w:rsidP="00BE2256">
      <w:pPr>
        <w:spacing w:after="0" w:line="240" w:lineRule="auto"/>
        <w:rPr>
          <w:rFonts w:ascii="Arial" w:eastAsia="Calibri" w:hAnsi="Arial" w:cs="Arial"/>
          <w:bCs/>
          <w:sz w:val="20"/>
          <w:szCs w:val="20"/>
          <w:lang w:val="bg-BG"/>
        </w:rPr>
      </w:pPr>
    </w:p>
    <w:p w14:paraId="4ED1B70A" w14:textId="77777777" w:rsidR="00BE2256" w:rsidRPr="00BE2256" w:rsidRDefault="00BE2256" w:rsidP="00BE2256">
      <w:pPr>
        <w:spacing w:after="0" w:line="240" w:lineRule="auto"/>
        <w:rPr>
          <w:rFonts w:ascii="Arial" w:eastAsia="Calibri" w:hAnsi="Arial" w:cs="Arial"/>
          <w:bCs/>
          <w:sz w:val="20"/>
          <w:szCs w:val="20"/>
          <w:lang w:val="bg-BG"/>
        </w:rPr>
      </w:pPr>
      <w:r w:rsidRPr="00BE2256">
        <w:rPr>
          <w:rFonts w:ascii="Arial" w:eastAsia="Calibri" w:hAnsi="Arial" w:cs="Arial"/>
          <w:bCs/>
          <w:sz w:val="20"/>
          <w:szCs w:val="20"/>
          <w:lang w:val="bg-BG"/>
        </w:rPr>
        <w:lastRenderedPageBreak/>
        <w:t>Отбелязвайки също така, че неотдавнашна информация показва, че други административни заповеди, като например заповеди за забрана на използването на строежи без разрешение и заповеди за разрушаване на опасни сгради, могат да засегнат лицата, живеещи в такива жилища, по начин, подобен на заповедите за премахване на незаконни жилища;</w:t>
      </w:r>
    </w:p>
    <w:p w14:paraId="5E67D6CB" w14:textId="77777777" w:rsidR="00BE2256" w:rsidRPr="00BE2256" w:rsidRDefault="00BE2256" w:rsidP="00BE2256">
      <w:pPr>
        <w:spacing w:after="0" w:line="240" w:lineRule="auto"/>
        <w:rPr>
          <w:rFonts w:ascii="Arial" w:eastAsia="Calibri" w:hAnsi="Arial" w:cs="Arial"/>
          <w:bCs/>
          <w:sz w:val="20"/>
          <w:szCs w:val="20"/>
          <w:lang w:val="bg-BG"/>
        </w:rPr>
      </w:pPr>
    </w:p>
    <w:p w14:paraId="50A8139E" w14:textId="77777777" w:rsidR="00BE2256" w:rsidRPr="00BE2256" w:rsidRDefault="00BE2256" w:rsidP="00BE2256">
      <w:pPr>
        <w:spacing w:after="0" w:line="240" w:lineRule="auto"/>
        <w:rPr>
          <w:rFonts w:ascii="Arial" w:eastAsia="Calibri" w:hAnsi="Arial" w:cs="Arial"/>
          <w:bCs/>
          <w:sz w:val="20"/>
          <w:szCs w:val="20"/>
          <w:lang w:val="bg-BG"/>
        </w:rPr>
      </w:pPr>
      <w:r w:rsidRPr="00BE2256">
        <w:rPr>
          <w:rFonts w:ascii="Arial" w:eastAsia="Calibri" w:hAnsi="Arial" w:cs="Arial"/>
          <w:bCs/>
          <w:sz w:val="20"/>
          <w:szCs w:val="20"/>
          <w:lang w:val="bg-BG"/>
        </w:rPr>
        <w:t xml:space="preserve">Отбелязвайки със загриженост, че процесът на приемане на законодателни изменения, необходими за извършването на адекватна оценка на пропорционалността на заповедите за отстраняване от жилища, от администрацията и от съдилищата, изобщо не е напреднал от последните разглеждания на тази група дела; </w:t>
      </w:r>
    </w:p>
    <w:p w14:paraId="5B05877D" w14:textId="77777777" w:rsidR="00BE2256" w:rsidRPr="00BE2256" w:rsidRDefault="00BE2256" w:rsidP="00BE2256">
      <w:pPr>
        <w:spacing w:after="0" w:line="240" w:lineRule="auto"/>
        <w:rPr>
          <w:rFonts w:ascii="Arial" w:eastAsia="Calibri" w:hAnsi="Arial" w:cs="Arial"/>
          <w:bCs/>
          <w:sz w:val="20"/>
          <w:szCs w:val="20"/>
          <w:lang w:val="bg-BG"/>
        </w:rPr>
      </w:pPr>
    </w:p>
    <w:p w14:paraId="7E2BA03F" w14:textId="77777777" w:rsidR="00BE2256" w:rsidRPr="00BE2256" w:rsidRDefault="00BE2256" w:rsidP="00BE2256">
      <w:pPr>
        <w:spacing w:after="200" w:line="276" w:lineRule="auto"/>
        <w:jc w:val="both"/>
        <w:rPr>
          <w:rFonts w:ascii="Arial" w:eastAsia="Calibri" w:hAnsi="Arial" w:cs="Arial"/>
          <w:sz w:val="20"/>
          <w:szCs w:val="20"/>
          <w:lang w:val="bg-BG"/>
        </w:rPr>
      </w:pPr>
      <w:r w:rsidRPr="00BE2256">
        <w:rPr>
          <w:rFonts w:ascii="Arial" w:eastAsia="Calibri" w:hAnsi="Arial" w:cs="Arial"/>
          <w:sz w:val="20"/>
          <w:szCs w:val="20"/>
          <w:lang w:val="bg-BG"/>
        </w:rPr>
        <w:t>Подчертавайки задължението на всяка държава, съгласно член 46, параграф 1 от Конвенцията, да изпълнява напълно, ефективно и своевременно окончателните решения на Европейския съд по всяко дело, по което е страна;</w:t>
      </w:r>
    </w:p>
    <w:p w14:paraId="6AAF88EB" w14:textId="77777777" w:rsidR="00BE2256" w:rsidRPr="00BE2256" w:rsidRDefault="00BE2256" w:rsidP="00BE2256">
      <w:pPr>
        <w:spacing w:after="0" w:line="240" w:lineRule="auto"/>
        <w:ind w:left="720"/>
        <w:rPr>
          <w:rFonts w:ascii="Arial" w:eastAsia="Calibri" w:hAnsi="Arial" w:cs="Arial"/>
          <w:bCs/>
          <w:sz w:val="20"/>
          <w:szCs w:val="20"/>
          <w:lang w:val="bg-BG"/>
        </w:rPr>
      </w:pPr>
      <w:r w:rsidRPr="00BE2256">
        <w:rPr>
          <w:rFonts w:ascii="Arial" w:eastAsia="Calibri" w:hAnsi="Arial" w:cs="Arial"/>
          <w:bCs/>
          <w:sz w:val="20"/>
          <w:szCs w:val="20"/>
          <w:lang w:val="bg-BG"/>
        </w:rPr>
        <w:t>ПРИЗОВА властите да уточнят дали компетентните органи предвиждат изпълнение на заповедта за премахване на жилището по делото „</w:t>
      </w:r>
      <w:r w:rsidRPr="00BE2256">
        <w:rPr>
          <w:rFonts w:ascii="Arial" w:eastAsia="Calibri" w:hAnsi="Arial" w:cs="Arial"/>
          <w:bCs/>
          <w:i/>
          <w:iCs/>
          <w:sz w:val="20"/>
          <w:szCs w:val="20"/>
          <w:lang w:val="bg-BG"/>
        </w:rPr>
        <w:t>Иванова и Черкезов</w:t>
      </w:r>
      <w:r w:rsidRPr="00BE2256">
        <w:rPr>
          <w:rFonts w:ascii="Arial" w:eastAsia="Calibri" w:hAnsi="Arial" w:cs="Arial"/>
          <w:bCs/>
          <w:sz w:val="20"/>
          <w:szCs w:val="20"/>
          <w:lang w:val="bg-BG"/>
        </w:rPr>
        <w:t>“ и ако е така, дали е извършена оценка на пропорционалност, отговаряща на изискванията на решението;</w:t>
      </w:r>
    </w:p>
    <w:p w14:paraId="6B249F45" w14:textId="77777777" w:rsidR="00BE2256" w:rsidRPr="00BE2256" w:rsidRDefault="00BE2256" w:rsidP="00BE2256">
      <w:pPr>
        <w:spacing w:after="0" w:line="240" w:lineRule="auto"/>
        <w:ind w:left="720"/>
        <w:rPr>
          <w:rFonts w:ascii="Arial" w:eastAsia="Calibri" w:hAnsi="Arial" w:cs="Arial"/>
          <w:bCs/>
          <w:sz w:val="20"/>
          <w:szCs w:val="20"/>
          <w:lang w:val="bg-BG"/>
        </w:rPr>
      </w:pPr>
    </w:p>
    <w:p w14:paraId="76FF1C97" w14:textId="77777777" w:rsidR="00BE2256" w:rsidRPr="00BE2256" w:rsidRDefault="00BE2256" w:rsidP="00BE2256">
      <w:pPr>
        <w:spacing w:after="0" w:line="240" w:lineRule="auto"/>
        <w:ind w:left="720"/>
        <w:rPr>
          <w:rFonts w:ascii="Arial" w:eastAsia="Calibri" w:hAnsi="Arial" w:cs="Arial"/>
          <w:bCs/>
          <w:sz w:val="20"/>
          <w:szCs w:val="20"/>
          <w:lang w:val="bg-BG"/>
        </w:rPr>
      </w:pPr>
      <w:r w:rsidRPr="00BE2256">
        <w:rPr>
          <w:rFonts w:ascii="Arial" w:eastAsia="Calibri" w:hAnsi="Arial" w:cs="Arial"/>
          <w:bCs/>
          <w:sz w:val="20"/>
          <w:szCs w:val="20"/>
          <w:lang w:val="bg-BG"/>
        </w:rPr>
        <w:t>ПРИЗОВА властите да завършат бързо законодателния процес, започнат през 2019 г., и да гарантират, че всички лица, засегнати от заповед за премахване на жилище, могат да се възползват от оценка на пропорционалността (дори ако те или членовете на техните домакинства нямат вещни права и не са извършвали строителни работи) ;</w:t>
      </w:r>
    </w:p>
    <w:p w14:paraId="33F8B6E1" w14:textId="77777777" w:rsidR="00BE2256" w:rsidRPr="00BE2256" w:rsidRDefault="00BE2256" w:rsidP="00BE2256">
      <w:pPr>
        <w:spacing w:after="0" w:line="240" w:lineRule="auto"/>
        <w:ind w:left="720"/>
        <w:rPr>
          <w:rFonts w:ascii="Arial" w:eastAsia="Calibri" w:hAnsi="Arial" w:cs="Arial"/>
          <w:bCs/>
          <w:sz w:val="20"/>
          <w:szCs w:val="20"/>
          <w:lang w:val="bg-BG"/>
        </w:rPr>
      </w:pPr>
    </w:p>
    <w:p w14:paraId="678CB079" w14:textId="77777777" w:rsidR="00BE2256" w:rsidRPr="00BE2256" w:rsidRDefault="00BE2256" w:rsidP="00BE2256">
      <w:pPr>
        <w:spacing w:after="0" w:line="240" w:lineRule="auto"/>
        <w:ind w:left="720"/>
        <w:rPr>
          <w:rFonts w:ascii="Arial" w:eastAsia="Calibri" w:hAnsi="Arial" w:cs="Arial"/>
          <w:bCs/>
          <w:sz w:val="20"/>
          <w:szCs w:val="20"/>
          <w:lang w:val="bg-BG"/>
        </w:rPr>
      </w:pPr>
      <w:r w:rsidRPr="00BE2256">
        <w:rPr>
          <w:rFonts w:ascii="Arial" w:eastAsia="Calibri" w:hAnsi="Arial" w:cs="Arial"/>
          <w:bCs/>
          <w:sz w:val="20"/>
          <w:szCs w:val="20"/>
          <w:lang w:val="bg-BG"/>
        </w:rPr>
        <w:t>ПРИЗОВА властите да гарантират, че тези административни актове, които на практика имат подобен ефект върху правото на неприкосновеност на дома като заповедта за отстраняване [от незаконно заето жилище] или премахване [на незаконно жилище], подлежат на разглеждане на пропорционалността при условия, съобразени със съответните рискове;</w:t>
      </w:r>
    </w:p>
    <w:p w14:paraId="1B5B10E3" w14:textId="77777777" w:rsidR="00BE2256" w:rsidRPr="00BE2256" w:rsidRDefault="00BE2256" w:rsidP="00BE2256">
      <w:pPr>
        <w:spacing w:after="0" w:line="240" w:lineRule="auto"/>
        <w:ind w:left="720"/>
        <w:rPr>
          <w:rFonts w:ascii="Arial" w:eastAsia="Calibri" w:hAnsi="Arial" w:cs="Arial"/>
          <w:bCs/>
          <w:sz w:val="20"/>
          <w:szCs w:val="20"/>
          <w:lang w:val="bg-BG"/>
        </w:rPr>
      </w:pPr>
    </w:p>
    <w:p w14:paraId="0FA3A2C5" w14:textId="77777777" w:rsidR="00BE2256" w:rsidRPr="00BE2256" w:rsidRDefault="00BE2256" w:rsidP="00BE2256">
      <w:pPr>
        <w:spacing w:after="0" w:line="240" w:lineRule="auto"/>
        <w:ind w:left="720"/>
        <w:rPr>
          <w:rFonts w:ascii="Arial" w:eastAsia="Calibri" w:hAnsi="Arial" w:cs="Arial"/>
          <w:bCs/>
          <w:sz w:val="20"/>
          <w:szCs w:val="20"/>
          <w:lang w:val="bg-BG"/>
        </w:rPr>
      </w:pPr>
      <w:r w:rsidRPr="00BE2256">
        <w:rPr>
          <w:rFonts w:ascii="Arial" w:eastAsia="Calibri" w:hAnsi="Arial" w:cs="Arial"/>
          <w:bCs/>
          <w:sz w:val="20"/>
          <w:szCs w:val="20"/>
          <w:lang w:val="bg-BG"/>
        </w:rPr>
        <w:t>ПРИКАНИ властите да изменят, доколкото е необходимо, правилата, които понастоящем затрудняват особено лицата, живеещи в незаконни жилища или без регистриран адрес, или лица, обитаващи незаконно общински жилища, да кандидатстват за общински жилища, за да улеснят приемането на мерки за осигуряване на пропорционалност в случай на премахване на незаконни жилища, отстраняване от общински жилища или други подобни ситуации;</w:t>
      </w:r>
    </w:p>
    <w:p w14:paraId="13A80BED" w14:textId="77777777" w:rsidR="00BE2256" w:rsidRPr="00BE2256" w:rsidRDefault="00BE2256" w:rsidP="00BE2256">
      <w:pPr>
        <w:spacing w:after="0" w:line="240" w:lineRule="auto"/>
        <w:ind w:left="720"/>
        <w:rPr>
          <w:rFonts w:ascii="Arial" w:eastAsia="Calibri" w:hAnsi="Arial" w:cs="Arial"/>
          <w:bCs/>
          <w:sz w:val="20"/>
          <w:szCs w:val="20"/>
          <w:lang w:val="bg-BG"/>
        </w:rPr>
      </w:pPr>
    </w:p>
    <w:p w14:paraId="30DE4AF5" w14:textId="77777777" w:rsidR="00BE2256" w:rsidRPr="00BE2256" w:rsidRDefault="00BE2256" w:rsidP="00BE2256">
      <w:pPr>
        <w:spacing w:after="0" w:line="240" w:lineRule="auto"/>
        <w:ind w:left="720"/>
        <w:rPr>
          <w:rFonts w:ascii="Arial" w:eastAsia="Calibri" w:hAnsi="Arial" w:cs="Arial"/>
          <w:bCs/>
          <w:sz w:val="20"/>
          <w:szCs w:val="20"/>
          <w:lang w:val="bg-BG"/>
        </w:rPr>
      </w:pPr>
      <w:r w:rsidRPr="00BE2256">
        <w:rPr>
          <w:rFonts w:ascii="Arial" w:eastAsia="Calibri" w:hAnsi="Arial" w:cs="Arial"/>
          <w:bCs/>
          <w:sz w:val="20"/>
          <w:szCs w:val="20"/>
          <w:lang w:val="bg-BG"/>
        </w:rPr>
        <w:t>НАСЪРЧИ ги също да предоставят информация за наличието на общински жилища;</w:t>
      </w:r>
    </w:p>
    <w:p w14:paraId="5AEE53E5" w14:textId="77777777" w:rsidR="00BE2256" w:rsidRPr="00BE2256" w:rsidRDefault="00BE2256" w:rsidP="00BE2256">
      <w:pPr>
        <w:spacing w:after="0" w:line="240" w:lineRule="auto"/>
        <w:ind w:left="720"/>
        <w:rPr>
          <w:rFonts w:ascii="Arial" w:eastAsia="Calibri" w:hAnsi="Arial" w:cs="Arial"/>
          <w:bCs/>
          <w:sz w:val="20"/>
          <w:szCs w:val="20"/>
          <w:lang w:val="bg-BG"/>
        </w:rPr>
      </w:pPr>
    </w:p>
    <w:p w14:paraId="04156F8E" w14:textId="77777777" w:rsidR="00BE2256" w:rsidRPr="00BE2256" w:rsidRDefault="00BE2256" w:rsidP="00BE2256">
      <w:pPr>
        <w:spacing w:after="0" w:line="240" w:lineRule="auto"/>
        <w:ind w:left="720"/>
        <w:rPr>
          <w:rFonts w:ascii="Arial" w:eastAsia="Calibri" w:hAnsi="Arial" w:cs="Arial"/>
          <w:bCs/>
          <w:sz w:val="20"/>
          <w:szCs w:val="20"/>
          <w:lang w:val="bg-BG"/>
        </w:rPr>
      </w:pPr>
      <w:r w:rsidRPr="00BE2256">
        <w:rPr>
          <w:rFonts w:ascii="Arial" w:eastAsia="Calibri" w:hAnsi="Arial" w:cs="Arial"/>
          <w:bCs/>
          <w:sz w:val="20"/>
          <w:szCs w:val="20"/>
          <w:lang w:val="bg-BG"/>
        </w:rPr>
        <w:t>РЕШИ да възобнови разглеждането на тази група дела на 1419-то заседание (декември 2021 г.) (формат „Права на човека“).</w:t>
      </w:r>
    </w:p>
    <w:p w14:paraId="45655BA0" w14:textId="77777777" w:rsidR="00BE2256" w:rsidRPr="00BE2256" w:rsidRDefault="00BE2256" w:rsidP="00BE2256">
      <w:pPr>
        <w:spacing w:after="200" w:line="276" w:lineRule="auto"/>
        <w:jc w:val="both"/>
        <w:rPr>
          <w:rFonts w:ascii="Arial" w:eastAsia="Calibri" w:hAnsi="Arial" w:cs="Arial"/>
          <w:sz w:val="20"/>
          <w:szCs w:val="20"/>
          <w:lang w:val="bg-BG"/>
        </w:rPr>
      </w:pPr>
    </w:p>
    <w:p w14:paraId="5C78D613" w14:textId="77777777" w:rsidR="00BE2256" w:rsidRPr="00BE2256" w:rsidRDefault="00BE2256" w:rsidP="00BE2256">
      <w:pPr>
        <w:spacing w:after="0" w:line="240" w:lineRule="auto"/>
        <w:rPr>
          <w:rFonts w:ascii="Arial" w:eastAsia="Calibri" w:hAnsi="Arial" w:cs="Arial"/>
          <w:bCs/>
          <w:sz w:val="20"/>
          <w:szCs w:val="20"/>
          <w:lang w:val="bg-BG"/>
        </w:rPr>
      </w:pPr>
    </w:p>
    <w:p w14:paraId="22B985A6" w14:textId="77777777" w:rsidR="00BE2256" w:rsidRPr="00BE2256" w:rsidRDefault="00BE2256" w:rsidP="00BE2256">
      <w:pPr>
        <w:spacing w:after="0" w:line="240" w:lineRule="auto"/>
        <w:rPr>
          <w:rFonts w:ascii="Arial" w:eastAsia="Calibri" w:hAnsi="Arial" w:cs="Arial"/>
          <w:bCs/>
          <w:sz w:val="20"/>
          <w:szCs w:val="20"/>
          <w:lang w:val="bg-BG"/>
        </w:rPr>
      </w:pPr>
    </w:p>
    <w:p w14:paraId="4248F69D" w14:textId="77777777" w:rsidR="00BE2256" w:rsidRPr="00BE2256" w:rsidRDefault="00BE2256" w:rsidP="00BE2256">
      <w:pPr>
        <w:spacing w:after="0" w:line="240" w:lineRule="auto"/>
        <w:rPr>
          <w:rFonts w:ascii="Arial" w:eastAsia="Calibri" w:hAnsi="Arial" w:cs="Arial"/>
          <w:sz w:val="20"/>
          <w:lang w:val="bg-BG"/>
        </w:rPr>
      </w:pPr>
    </w:p>
    <w:p w14:paraId="76CB31B0" w14:textId="77777777" w:rsidR="00990E35" w:rsidRDefault="00990E35"/>
    <w:sectPr w:rsidR="00990E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E732D" w14:textId="77777777" w:rsidR="000D04B4" w:rsidRDefault="000D04B4" w:rsidP="00BE2256">
      <w:pPr>
        <w:spacing w:after="0" w:line="240" w:lineRule="auto"/>
      </w:pPr>
      <w:r>
        <w:separator/>
      </w:r>
    </w:p>
  </w:endnote>
  <w:endnote w:type="continuationSeparator" w:id="0">
    <w:p w14:paraId="4BABBA24" w14:textId="77777777" w:rsidR="000D04B4" w:rsidRDefault="000D04B4" w:rsidP="00BE2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1176F" w14:textId="77777777" w:rsidR="000D04B4" w:rsidRDefault="000D04B4" w:rsidP="00BE2256">
      <w:pPr>
        <w:spacing w:after="0" w:line="240" w:lineRule="auto"/>
      </w:pPr>
      <w:r>
        <w:separator/>
      </w:r>
    </w:p>
  </w:footnote>
  <w:footnote w:type="continuationSeparator" w:id="0">
    <w:p w14:paraId="587E688E" w14:textId="77777777" w:rsidR="000D04B4" w:rsidRDefault="000D04B4" w:rsidP="00BE2256">
      <w:pPr>
        <w:spacing w:after="0" w:line="240" w:lineRule="auto"/>
      </w:pPr>
      <w:r>
        <w:continuationSeparator/>
      </w:r>
    </w:p>
  </w:footnote>
  <w:footnote w:id="1">
    <w:p w14:paraId="0429BF8D" w14:textId="77777777" w:rsidR="00BE2256" w:rsidRPr="00F604CA" w:rsidRDefault="00BE2256" w:rsidP="00BE2256">
      <w:pPr>
        <w:pStyle w:val="FootnoteText"/>
        <w:rPr>
          <w:rFonts w:cs="Arial"/>
          <w:szCs w:val="16"/>
          <w:lang w:val="bg-BG"/>
        </w:rPr>
      </w:pPr>
      <w:r>
        <w:rPr>
          <w:rStyle w:val="FootnoteReference"/>
        </w:rPr>
        <w:footnoteRef/>
      </w:r>
      <w:r>
        <w:t xml:space="preserve"> </w:t>
      </w:r>
      <w:r w:rsidRPr="00F604CA">
        <w:rPr>
          <w:rFonts w:cs="Arial"/>
          <w:szCs w:val="16"/>
          <w:lang w:val="bg-BG"/>
        </w:rPr>
        <w:t xml:space="preserve">Терминът „роми и пътуващи“ се използва в Съвета на Европа, за да обхване голямото разнообразие от групи, обхванати от работата на Съвета на Европа в тази област: от една страна а) роми, </w:t>
      </w:r>
      <w:proofErr w:type="spellStart"/>
      <w:r w:rsidRPr="00F604CA">
        <w:rPr>
          <w:rFonts w:cs="Arial"/>
          <w:szCs w:val="16"/>
          <w:lang w:val="bg-BG"/>
        </w:rPr>
        <w:t>синти</w:t>
      </w:r>
      <w:proofErr w:type="spellEnd"/>
      <w:r w:rsidRPr="00F604CA">
        <w:rPr>
          <w:rFonts w:cs="Arial"/>
          <w:szCs w:val="16"/>
          <w:lang w:val="bg-BG"/>
        </w:rPr>
        <w:t xml:space="preserve"> / </w:t>
      </w:r>
      <w:proofErr w:type="spellStart"/>
      <w:r w:rsidRPr="00F604CA">
        <w:rPr>
          <w:rFonts w:cs="Arial"/>
          <w:szCs w:val="16"/>
          <w:lang w:val="bg-BG"/>
        </w:rPr>
        <w:t>мануш</w:t>
      </w:r>
      <w:proofErr w:type="spellEnd"/>
      <w:r w:rsidRPr="00F604CA">
        <w:rPr>
          <w:rFonts w:cs="Arial"/>
          <w:szCs w:val="16"/>
          <w:lang w:val="bg-BG"/>
        </w:rPr>
        <w:t xml:space="preserve">, Кале, </w:t>
      </w:r>
      <w:proofErr w:type="spellStart"/>
      <w:r w:rsidRPr="00F604CA">
        <w:rPr>
          <w:rFonts w:cs="Arial"/>
          <w:szCs w:val="16"/>
          <w:lang w:val="bg-BG"/>
        </w:rPr>
        <w:t>Каале</w:t>
      </w:r>
      <w:proofErr w:type="spellEnd"/>
      <w:r w:rsidRPr="00F604CA">
        <w:rPr>
          <w:rFonts w:cs="Arial"/>
          <w:szCs w:val="16"/>
          <w:lang w:val="bg-BG"/>
        </w:rPr>
        <w:t xml:space="preserve"> , </w:t>
      </w:r>
      <w:proofErr w:type="spellStart"/>
      <w:r w:rsidRPr="00F604CA">
        <w:rPr>
          <w:rFonts w:cs="Arial"/>
          <w:szCs w:val="16"/>
          <w:lang w:val="bg-BG"/>
        </w:rPr>
        <w:t>Романичали</w:t>
      </w:r>
      <w:proofErr w:type="spellEnd"/>
      <w:r w:rsidRPr="00F604CA">
        <w:rPr>
          <w:rFonts w:cs="Arial"/>
          <w:szCs w:val="16"/>
          <w:lang w:val="bg-BG"/>
        </w:rPr>
        <w:t xml:space="preserve">, </w:t>
      </w:r>
      <w:proofErr w:type="spellStart"/>
      <w:r w:rsidRPr="00F604CA">
        <w:rPr>
          <w:rFonts w:cs="Arial"/>
          <w:szCs w:val="16"/>
          <w:lang w:val="bg-BG"/>
        </w:rPr>
        <w:t>Бояш</w:t>
      </w:r>
      <w:proofErr w:type="spellEnd"/>
      <w:r w:rsidRPr="00F604CA">
        <w:rPr>
          <w:rFonts w:cs="Arial"/>
          <w:szCs w:val="16"/>
          <w:lang w:val="bg-BG"/>
        </w:rPr>
        <w:t xml:space="preserve"> / Рудари; б) балкански египтяни (египтяни и </w:t>
      </w:r>
      <w:proofErr w:type="spellStart"/>
      <w:r w:rsidRPr="00F604CA">
        <w:rPr>
          <w:rFonts w:cs="Arial"/>
          <w:szCs w:val="16"/>
          <w:lang w:val="bg-BG"/>
        </w:rPr>
        <w:t>ашкали</w:t>
      </w:r>
      <w:proofErr w:type="spellEnd"/>
      <w:r w:rsidRPr="00F604CA">
        <w:rPr>
          <w:rFonts w:cs="Arial"/>
          <w:szCs w:val="16"/>
          <w:lang w:val="bg-BG"/>
        </w:rPr>
        <w:t xml:space="preserve">); в) източни групи (Дом, Лом и Абдал); и, от друга страна, групи като Пътуващи, </w:t>
      </w:r>
      <w:proofErr w:type="spellStart"/>
      <w:r w:rsidRPr="00F604CA">
        <w:rPr>
          <w:rFonts w:cs="Arial"/>
          <w:szCs w:val="16"/>
          <w:lang w:val="bg-BG"/>
        </w:rPr>
        <w:t>Йениш</w:t>
      </w:r>
      <w:proofErr w:type="spellEnd"/>
      <w:r w:rsidRPr="00F604CA">
        <w:rPr>
          <w:rFonts w:cs="Arial"/>
          <w:szCs w:val="16"/>
          <w:lang w:val="bg-BG"/>
        </w:rPr>
        <w:t xml:space="preserve"> и населението, обозначено под административния термин „</w:t>
      </w:r>
      <w:proofErr w:type="spellStart"/>
      <w:r w:rsidRPr="00F604CA">
        <w:rPr>
          <w:rFonts w:cs="Arial"/>
          <w:szCs w:val="16"/>
          <w:lang w:val="bg-BG"/>
        </w:rPr>
        <w:t>Gens</w:t>
      </w:r>
      <w:proofErr w:type="spellEnd"/>
      <w:r w:rsidRPr="00F604CA">
        <w:rPr>
          <w:rFonts w:cs="Arial"/>
          <w:szCs w:val="16"/>
          <w:lang w:val="bg-BG"/>
        </w:rPr>
        <w:t xml:space="preserve"> </w:t>
      </w:r>
      <w:proofErr w:type="spellStart"/>
      <w:r w:rsidRPr="00F604CA">
        <w:rPr>
          <w:rFonts w:cs="Arial"/>
          <w:szCs w:val="16"/>
          <w:lang w:val="bg-BG"/>
        </w:rPr>
        <w:t>du</w:t>
      </w:r>
      <w:proofErr w:type="spellEnd"/>
      <w:r w:rsidRPr="00F604CA">
        <w:rPr>
          <w:rFonts w:cs="Arial"/>
          <w:szCs w:val="16"/>
          <w:lang w:val="bg-BG"/>
        </w:rPr>
        <w:t xml:space="preserve"> </w:t>
      </w:r>
      <w:proofErr w:type="spellStart"/>
      <w:r w:rsidRPr="00F604CA">
        <w:rPr>
          <w:rFonts w:cs="Arial"/>
          <w:szCs w:val="16"/>
          <w:lang w:val="bg-BG"/>
        </w:rPr>
        <w:t>voyage</w:t>
      </w:r>
      <w:proofErr w:type="spellEnd"/>
      <w:r w:rsidRPr="00F604CA">
        <w:rPr>
          <w:rFonts w:cs="Arial"/>
          <w:szCs w:val="16"/>
          <w:lang w:val="bg-BG"/>
        </w:rPr>
        <w:t>“, както и лица, които се идентифицират като цигани. Настоящето е обяснителна бележка под линия, а не определение за ромите и / или пътуващите.</w:t>
      </w:r>
    </w:p>
    <w:p w14:paraId="50A647E2" w14:textId="77777777" w:rsidR="00BE2256" w:rsidRPr="00C245F0" w:rsidRDefault="00BE2256" w:rsidP="00BE2256">
      <w:pPr>
        <w:pStyle w:val="FootnoteText"/>
        <w:rPr>
          <w:lang w:val="bg-BG"/>
        </w:rPr>
      </w:pPr>
    </w:p>
  </w:footnote>
  <w:footnote w:id="2">
    <w:p w14:paraId="162083C5" w14:textId="77777777" w:rsidR="00BE2256" w:rsidRPr="00AF1CDF" w:rsidRDefault="00BE2256" w:rsidP="00BE2256">
      <w:pPr>
        <w:pStyle w:val="FootnoteText"/>
        <w:rPr>
          <w:lang w:val="bg-BG"/>
        </w:rPr>
      </w:pPr>
      <w:r>
        <w:rPr>
          <w:rStyle w:val="FootnoteReference"/>
        </w:rPr>
        <w:footnoteRef/>
      </w:r>
      <w:r w:rsidRPr="00B10AA5">
        <w:rPr>
          <w:lang w:val="bg-BG"/>
        </w:rPr>
        <w:t xml:space="preserve"> </w:t>
      </w:r>
      <w:r w:rsidRPr="00AF1CDF">
        <w:rPr>
          <w:lang w:val="bg-BG"/>
        </w:rPr>
        <w:t xml:space="preserve">Повече подробности относно индивидуалните мерки могат да бъдат намерени в бележките, изготвени за заседанието през март 2020 г. </w:t>
      </w:r>
    </w:p>
  </w:footnote>
  <w:footnote w:id="3">
    <w:p w14:paraId="786BC7CC" w14:textId="77777777" w:rsidR="00BE2256" w:rsidRPr="00AF1CDF" w:rsidRDefault="00BE2256" w:rsidP="00BE2256">
      <w:pPr>
        <w:pStyle w:val="FootnoteText"/>
        <w:rPr>
          <w:lang w:val="bg-BG"/>
        </w:rPr>
      </w:pPr>
      <w:r w:rsidRPr="00AF1CDF">
        <w:rPr>
          <w:rStyle w:val="FootnoteReference"/>
        </w:rPr>
        <w:footnoteRef/>
      </w:r>
      <w:r w:rsidRPr="00AF1CDF">
        <w:rPr>
          <w:lang w:val="bg-BG"/>
        </w:rPr>
        <w:t xml:space="preserve"> Вж. представеното на 23 октомври 2020 г. </w:t>
      </w:r>
      <w:r w:rsidRPr="00AF1CDF">
        <w:rPr>
          <w:lang w:val="bg-BG"/>
        </w:rPr>
        <w:t>от властите Приложение към плана им за действие  (</w:t>
      </w:r>
      <w:bookmarkStart w:id="1" w:name="_ML_000000000005_VALID"/>
      <w:r w:rsidRPr="00AF1CDF">
        <w:fldChar w:fldCharType="begin"/>
      </w:r>
      <w:r w:rsidRPr="00AF1CDF">
        <w:rPr>
          <w:lang w:val="bg-BG"/>
        </w:rPr>
        <w:instrText xml:space="preserve"> </w:instrText>
      </w:r>
      <w:r w:rsidRPr="00AF1CDF">
        <w:instrText>HYPERLINK</w:instrText>
      </w:r>
      <w:r w:rsidRPr="00AF1CDF">
        <w:rPr>
          <w:lang w:val="bg-BG"/>
        </w:rPr>
        <w:instrText xml:space="preserve"> "</w:instrText>
      </w:r>
      <w:r w:rsidRPr="00AF1CDF">
        <w:instrText>https</w:instrText>
      </w:r>
      <w:r w:rsidRPr="00AF1CDF">
        <w:rPr>
          <w:lang w:val="bg-BG"/>
        </w:rPr>
        <w:instrText>://</w:instrText>
      </w:r>
      <w:r w:rsidRPr="00AF1CDF">
        <w:instrText>search</w:instrText>
      </w:r>
      <w:r w:rsidRPr="00AF1CDF">
        <w:rPr>
          <w:lang w:val="bg-BG"/>
        </w:rPr>
        <w:instrText>.</w:instrText>
      </w:r>
      <w:r w:rsidRPr="00AF1CDF">
        <w:instrText>coe</w:instrText>
      </w:r>
      <w:r w:rsidRPr="00AF1CDF">
        <w:rPr>
          <w:lang w:val="bg-BG"/>
        </w:rPr>
        <w:instrText>.</w:instrText>
      </w:r>
      <w:r w:rsidRPr="00AF1CDF">
        <w:instrText>int</w:instrText>
      </w:r>
      <w:r w:rsidRPr="00AF1CDF">
        <w:rPr>
          <w:lang w:val="bg-BG"/>
        </w:rPr>
        <w:instrText>/</w:instrText>
      </w:r>
      <w:r w:rsidRPr="00AF1CDF">
        <w:instrText>cm</w:instrText>
      </w:r>
      <w:r w:rsidRPr="00AF1CDF">
        <w:rPr>
          <w:lang w:val="bg-BG"/>
        </w:rPr>
        <w:instrText>/</w:instrText>
      </w:r>
      <w:r w:rsidRPr="00AF1CDF">
        <w:instrText>Pages</w:instrText>
      </w:r>
      <w:r w:rsidRPr="00AF1CDF">
        <w:rPr>
          <w:lang w:val="bg-BG"/>
        </w:rPr>
        <w:instrText>/</w:instrText>
      </w:r>
      <w:r w:rsidRPr="00AF1CDF">
        <w:instrText>result</w:instrText>
      </w:r>
      <w:r w:rsidRPr="00AF1CDF">
        <w:rPr>
          <w:lang w:val="bg-BG"/>
        </w:rPr>
        <w:instrText>_</w:instrText>
      </w:r>
      <w:r w:rsidRPr="00AF1CDF">
        <w:instrText>details</w:instrText>
      </w:r>
      <w:r w:rsidRPr="00AF1CDF">
        <w:rPr>
          <w:lang w:val="bg-BG"/>
        </w:rPr>
        <w:instrText>.</w:instrText>
      </w:r>
      <w:r w:rsidRPr="00AF1CDF">
        <w:instrText>aspx</w:instrText>
      </w:r>
      <w:r w:rsidRPr="00AF1CDF">
        <w:rPr>
          <w:lang w:val="bg-BG"/>
        </w:rPr>
        <w:instrText>?</w:instrText>
      </w:r>
      <w:r w:rsidRPr="00AF1CDF">
        <w:instrText>Reference</w:instrText>
      </w:r>
      <w:r w:rsidRPr="00AF1CDF">
        <w:rPr>
          <w:lang w:val="bg-BG"/>
        </w:rPr>
        <w:instrText>=</w:instrText>
      </w:r>
      <w:r w:rsidRPr="00AF1CDF">
        <w:instrText>DH</w:instrText>
      </w:r>
      <w:r w:rsidRPr="00AF1CDF">
        <w:rPr>
          <w:lang w:val="bg-BG"/>
        </w:rPr>
        <w:instrText>-</w:instrText>
      </w:r>
      <w:r w:rsidRPr="00AF1CDF">
        <w:instrText>DD</w:instrText>
      </w:r>
      <w:r w:rsidRPr="00AF1CDF">
        <w:rPr>
          <w:lang w:val="bg-BG"/>
        </w:rPr>
        <w:instrText>(2020)938" \</w:instrText>
      </w:r>
      <w:r w:rsidRPr="00AF1CDF">
        <w:instrText>o</w:instrText>
      </w:r>
      <w:r w:rsidRPr="00AF1CDF">
        <w:rPr>
          <w:lang w:val="bg-BG"/>
        </w:rPr>
        <w:instrText xml:space="preserve"> "1390</w:instrText>
      </w:r>
      <w:r w:rsidRPr="00AF1CDF">
        <w:instrText>th</w:instrText>
      </w:r>
      <w:r w:rsidRPr="00AF1CDF">
        <w:rPr>
          <w:lang w:val="bg-BG"/>
        </w:rPr>
        <w:instrText xml:space="preserve"> </w:instrText>
      </w:r>
      <w:r w:rsidRPr="00AF1CDF">
        <w:instrText>meeting</w:instrText>
      </w:r>
      <w:r w:rsidRPr="00AF1CDF">
        <w:rPr>
          <w:lang w:val="bg-BG"/>
        </w:rPr>
        <w:instrText xml:space="preserve"> (</w:instrText>
      </w:r>
      <w:r w:rsidRPr="00AF1CDF">
        <w:instrText>December</w:instrText>
      </w:r>
      <w:r w:rsidRPr="00AF1CDF">
        <w:rPr>
          <w:lang w:val="bg-BG"/>
        </w:rPr>
        <w:instrText xml:space="preserve"> 2020) (</w:instrText>
      </w:r>
      <w:r w:rsidRPr="00AF1CDF">
        <w:instrText>DH</w:instrText>
      </w:r>
      <w:r w:rsidRPr="00AF1CDF">
        <w:rPr>
          <w:lang w:val="bg-BG"/>
        </w:rPr>
        <w:instrText xml:space="preserve">) - </w:instrText>
      </w:r>
      <w:r w:rsidRPr="00AF1CDF">
        <w:instrText>Addendum</w:instrText>
      </w:r>
      <w:r w:rsidRPr="00AF1CDF">
        <w:rPr>
          <w:lang w:val="bg-BG"/>
        </w:rPr>
        <w:instrText xml:space="preserve"> </w:instrText>
      </w:r>
      <w:r w:rsidRPr="00AF1CDF">
        <w:instrText>to</w:instrText>
      </w:r>
      <w:r w:rsidRPr="00AF1CDF">
        <w:rPr>
          <w:lang w:val="bg-BG"/>
        </w:rPr>
        <w:instrText xml:space="preserve"> </w:instrText>
      </w:r>
      <w:r w:rsidRPr="00AF1CDF">
        <w:instrText>Action</w:instrText>
      </w:r>
      <w:r w:rsidRPr="00AF1CDF">
        <w:rPr>
          <w:lang w:val="bg-BG"/>
        </w:rPr>
        <w:instrText xml:space="preserve"> </w:instrText>
      </w:r>
      <w:r w:rsidRPr="00AF1CDF">
        <w:instrText>Plan</w:instrText>
      </w:r>
      <w:r w:rsidRPr="00AF1CDF">
        <w:rPr>
          <w:lang w:val="bg-BG"/>
        </w:rPr>
        <w:instrText xml:space="preserve"> (23/10/2020) - </w:instrText>
      </w:r>
      <w:r w:rsidRPr="00AF1CDF">
        <w:instrText>Communication</w:instrText>
      </w:r>
      <w:r w:rsidRPr="00AF1CDF">
        <w:rPr>
          <w:lang w:val="bg-BG"/>
        </w:rPr>
        <w:instrText xml:space="preserve"> </w:instrText>
      </w:r>
      <w:r w:rsidRPr="00AF1CDF">
        <w:instrText>from</w:instrText>
      </w:r>
      <w:r w:rsidRPr="00AF1CDF">
        <w:rPr>
          <w:lang w:val="bg-BG"/>
        </w:rPr>
        <w:instrText xml:space="preserve"> </w:instrText>
      </w:r>
      <w:r w:rsidRPr="00AF1CDF">
        <w:instrText>Bulgaria</w:instrText>
      </w:r>
      <w:r w:rsidRPr="00AF1CDF">
        <w:rPr>
          <w:lang w:val="bg-BG"/>
        </w:rPr>
        <w:instrText xml:space="preserve"> </w:instrText>
      </w:r>
      <w:r w:rsidRPr="00AF1CDF">
        <w:instrText>concerning</w:instrText>
      </w:r>
      <w:r w:rsidRPr="00AF1CDF">
        <w:rPr>
          <w:lang w:val="bg-BG"/>
        </w:rPr>
        <w:instrText xml:space="preserve"> </w:instrText>
      </w:r>
      <w:r w:rsidRPr="00AF1CDF">
        <w:instrText>the</w:instrText>
      </w:r>
      <w:r w:rsidRPr="00AF1CDF">
        <w:rPr>
          <w:lang w:val="bg-BG"/>
        </w:rPr>
        <w:instrText xml:space="preserve"> </w:instrText>
      </w:r>
      <w:r w:rsidRPr="00AF1CDF">
        <w:instrText>case</w:instrText>
      </w:r>
      <w:r w:rsidRPr="00AF1CDF">
        <w:rPr>
          <w:lang w:val="bg-BG"/>
        </w:rPr>
        <w:instrText xml:space="preserve"> </w:instrText>
      </w:r>
      <w:r w:rsidRPr="00AF1CDF">
        <w:instrText>of</w:instrText>
      </w:r>
      <w:r w:rsidRPr="00AF1CDF">
        <w:rPr>
          <w:lang w:val="bg-BG"/>
        </w:rPr>
        <w:instrText xml:space="preserve"> </w:instrText>
      </w:r>
      <w:r w:rsidRPr="00AF1CDF">
        <w:instrText>Yordanova</w:instrText>
      </w:r>
      <w:r w:rsidRPr="00AF1CDF">
        <w:rPr>
          <w:lang w:val="bg-BG"/>
        </w:rPr>
        <w:instrText xml:space="preserve"> </w:instrText>
      </w:r>
      <w:r w:rsidRPr="00AF1CDF">
        <w:instrText>and</w:instrText>
      </w:r>
      <w:r w:rsidRPr="00AF1CDF">
        <w:rPr>
          <w:lang w:val="bg-BG"/>
        </w:rPr>
        <w:instrText xml:space="preserve"> </w:instrText>
      </w:r>
      <w:r w:rsidRPr="00AF1CDF">
        <w:instrText>Others</w:instrText>
      </w:r>
      <w:r w:rsidRPr="00AF1CDF">
        <w:rPr>
          <w:lang w:val="bg-BG"/>
        </w:rPr>
        <w:instrText xml:space="preserve"> </w:instrText>
      </w:r>
      <w:r w:rsidRPr="00AF1CDF">
        <w:instrText>v</w:instrText>
      </w:r>
      <w:r w:rsidRPr="00AF1CDF">
        <w:rPr>
          <w:lang w:val="bg-BG"/>
        </w:rPr>
        <w:instrText xml:space="preserve">. </w:instrText>
      </w:r>
      <w:r w:rsidRPr="00AF1CDF">
        <w:instrText>Bulgaria</w:instrText>
      </w:r>
      <w:r w:rsidRPr="00AF1CDF">
        <w:rPr>
          <w:lang w:val="bg-BG"/>
        </w:rPr>
        <w:instrText xml:space="preserve"> (</w:instrText>
      </w:r>
      <w:r w:rsidRPr="00AF1CDF">
        <w:instrText>Application</w:instrText>
      </w:r>
      <w:r w:rsidRPr="00AF1CDF">
        <w:rPr>
          <w:lang w:val="bg-BG"/>
        </w:rPr>
        <w:instrText xml:space="preserve"> </w:instrText>
      </w:r>
      <w:r w:rsidRPr="00AF1CDF">
        <w:instrText>No</w:instrText>
      </w:r>
      <w:r w:rsidRPr="00AF1CDF">
        <w:rPr>
          <w:lang w:val="bg-BG"/>
        </w:rPr>
        <w:instrText>. 25446/06) [</w:instrText>
      </w:r>
      <w:r w:rsidRPr="00AF1CDF">
        <w:instrText>anglais</w:instrText>
      </w:r>
      <w:r w:rsidRPr="00AF1CDF">
        <w:rPr>
          <w:lang w:val="bg-BG"/>
        </w:rPr>
        <w:instrText xml:space="preserve"> </w:instrText>
      </w:r>
      <w:r w:rsidRPr="00AF1CDF">
        <w:instrText>uniquement</w:instrText>
      </w:r>
      <w:r w:rsidRPr="00AF1CDF">
        <w:rPr>
          <w:lang w:val="bg-BG"/>
        </w:rPr>
        <w:instrText xml:space="preserve">] " </w:instrText>
      </w:r>
      <w:r w:rsidRPr="00AF1CDF">
        <w:fldChar w:fldCharType="separate"/>
      </w:r>
      <w:bookmarkEnd w:id="1"/>
      <w:r w:rsidRPr="00AF1CDF">
        <w:rPr>
          <w:rStyle w:val="Hyperlink"/>
        </w:rPr>
        <w:t>DH</w:t>
      </w:r>
      <w:r w:rsidRPr="00AF1CDF">
        <w:rPr>
          <w:rStyle w:val="Hyperlink"/>
          <w:lang w:val="bg-BG"/>
        </w:rPr>
        <w:t>-</w:t>
      </w:r>
      <w:r w:rsidRPr="00AF1CDF">
        <w:rPr>
          <w:rStyle w:val="Hyperlink"/>
        </w:rPr>
        <w:t>DD</w:t>
      </w:r>
      <w:r w:rsidRPr="00AF1CDF">
        <w:rPr>
          <w:rStyle w:val="Hyperlink"/>
          <w:lang w:val="bg-BG"/>
        </w:rPr>
        <w:t>(2020)938</w:t>
      </w:r>
      <w:r w:rsidRPr="00AF1CDF">
        <w:fldChar w:fldCharType="end"/>
      </w:r>
      <w:r w:rsidRPr="00AF1CDF">
        <w:rPr>
          <w:lang w:val="bg-BG"/>
        </w:rPr>
        <w:t>).</w:t>
      </w:r>
    </w:p>
  </w:footnote>
  <w:footnote w:id="4">
    <w:p w14:paraId="59DCD5E4" w14:textId="77777777" w:rsidR="00BE2256" w:rsidRPr="00AF1CDF" w:rsidRDefault="00BE2256" w:rsidP="00BE2256">
      <w:pPr>
        <w:pStyle w:val="FootnoteText"/>
        <w:rPr>
          <w:lang w:val="bg-BG"/>
        </w:rPr>
      </w:pPr>
      <w:r w:rsidRPr="00AF1CDF">
        <w:rPr>
          <w:rStyle w:val="FootnoteReference"/>
        </w:rPr>
        <w:footnoteRef/>
      </w:r>
      <w:r w:rsidRPr="00AF1CDF">
        <w:rPr>
          <w:lang w:val="bg-BG"/>
        </w:rPr>
        <w:t xml:space="preserve"> Вж. комуникацията на БХК от 23 октомври 2020 г. и 3 ноември 2020 г. относно общите мерки, както и отговорите на властите от 6 и 16 ноември 2020 г. </w:t>
      </w:r>
      <w:r w:rsidRPr="00AF1CDF">
        <w:rPr>
          <w:lang w:val="bg-BG"/>
        </w:rPr>
        <w:t>(</w:t>
      </w:r>
      <w:bookmarkStart w:id="2" w:name="_ML_000000000006_VALID"/>
      <w:r w:rsidRPr="00AF1CDF">
        <w:fldChar w:fldCharType="begin"/>
      </w:r>
      <w:r w:rsidRPr="00AF1CDF">
        <w:rPr>
          <w:lang w:val="bg-BG"/>
        </w:rPr>
        <w:instrText xml:space="preserve"> </w:instrText>
      </w:r>
      <w:r w:rsidRPr="00AF1CDF">
        <w:instrText>HYPERLINK</w:instrText>
      </w:r>
      <w:r w:rsidRPr="00AF1CDF">
        <w:rPr>
          <w:lang w:val="bg-BG"/>
        </w:rPr>
        <w:instrText xml:space="preserve"> "</w:instrText>
      </w:r>
      <w:r w:rsidRPr="00AF1CDF">
        <w:instrText>https</w:instrText>
      </w:r>
      <w:r w:rsidRPr="00AF1CDF">
        <w:rPr>
          <w:lang w:val="bg-BG"/>
        </w:rPr>
        <w:instrText>://</w:instrText>
      </w:r>
      <w:r w:rsidRPr="00AF1CDF">
        <w:instrText>search</w:instrText>
      </w:r>
      <w:r w:rsidRPr="00AF1CDF">
        <w:rPr>
          <w:lang w:val="bg-BG"/>
        </w:rPr>
        <w:instrText>.</w:instrText>
      </w:r>
      <w:r w:rsidRPr="00AF1CDF">
        <w:instrText>coe</w:instrText>
      </w:r>
      <w:r w:rsidRPr="00AF1CDF">
        <w:rPr>
          <w:lang w:val="bg-BG"/>
        </w:rPr>
        <w:instrText>.</w:instrText>
      </w:r>
      <w:r w:rsidRPr="00AF1CDF">
        <w:instrText>int</w:instrText>
      </w:r>
      <w:r w:rsidRPr="00AF1CDF">
        <w:rPr>
          <w:lang w:val="bg-BG"/>
        </w:rPr>
        <w:instrText>/</w:instrText>
      </w:r>
      <w:r w:rsidRPr="00AF1CDF">
        <w:instrText>cm</w:instrText>
      </w:r>
      <w:r w:rsidRPr="00AF1CDF">
        <w:rPr>
          <w:lang w:val="bg-BG"/>
        </w:rPr>
        <w:instrText>/</w:instrText>
      </w:r>
      <w:r w:rsidRPr="00AF1CDF">
        <w:instrText>Pages</w:instrText>
      </w:r>
      <w:r w:rsidRPr="00AF1CDF">
        <w:rPr>
          <w:lang w:val="bg-BG"/>
        </w:rPr>
        <w:instrText>/</w:instrText>
      </w:r>
      <w:r w:rsidRPr="00AF1CDF">
        <w:instrText>result</w:instrText>
      </w:r>
      <w:r w:rsidRPr="00AF1CDF">
        <w:rPr>
          <w:lang w:val="bg-BG"/>
        </w:rPr>
        <w:instrText>_</w:instrText>
      </w:r>
      <w:r w:rsidRPr="00AF1CDF">
        <w:instrText>details</w:instrText>
      </w:r>
      <w:r w:rsidRPr="00AF1CDF">
        <w:rPr>
          <w:lang w:val="bg-BG"/>
        </w:rPr>
        <w:instrText>.</w:instrText>
      </w:r>
      <w:r w:rsidRPr="00AF1CDF">
        <w:instrText>aspx</w:instrText>
      </w:r>
      <w:r w:rsidRPr="00AF1CDF">
        <w:rPr>
          <w:lang w:val="bg-BG"/>
        </w:rPr>
        <w:instrText>?</w:instrText>
      </w:r>
      <w:r w:rsidRPr="00AF1CDF">
        <w:instrText>Reference</w:instrText>
      </w:r>
      <w:r w:rsidRPr="00AF1CDF">
        <w:rPr>
          <w:lang w:val="bg-BG"/>
        </w:rPr>
        <w:instrText>=</w:instrText>
      </w:r>
      <w:r w:rsidRPr="00AF1CDF">
        <w:instrText>DH</w:instrText>
      </w:r>
      <w:r w:rsidRPr="00AF1CDF">
        <w:rPr>
          <w:lang w:val="bg-BG"/>
        </w:rPr>
        <w:instrText>-</w:instrText>
      </w:r>
      <w:r w:rsidRPr="00AF1CDF">
        <w:instrText>DD</w:instrText>
      </w:r>
      <w:r w:rsidRPr="00AF1CDF">
        <w:rPr>
          <w:lang w:val="bg-BG"/>
        </w:rPr>
        <w:instrText>(2020)972-</w:instrText>
      </w:r>
      <w:r w:rsidRPr="00AF1CDF">
        <w:instrText>rev</w:instrText>
      </w:r>
      <w:r w:rsidRPr="00AF1CDF">
        <w:rPr>
          <w:lang w:val="bg-BG"/>
        </w:rPr>
        <w:instrText>" \</w:instrText>
      </w:r>
      <w:r w:rsidRPr="00AF1CDF">
        <w:instrText>o</w:instrText>
      </w:r>
      <w:r w:rsidRPr="00AF1CDF">
        <w:rPr>
          <w:lang w:val="bg-BG"/>
        </w:rPr>
        <w:instrText xml:space="preserve"> "1390</w:instrText>
      </w:r>
      <w:r w:rsidRPr="00AF1CDF">
        <w:instrText>th</w:instrText>
      </w:r>
      <w:r w:rsidRPr="00AF1CDF">
        <w:rPr>
          <w:lang w:val="bg-BG"/>
        </w:rPr>
        <w:instrText xml:space="preserve"> </w:instrText>
      </w:r>
      <w:r w:rsidRPr="00AF1CDF">
        <w:instrText>meeting</w:instrText>
      </w:r>
      <w:r w:rsidRPr="00AF1CDF">
        <w:rPr>
          <w:lang w:val="bg-BG"/>
        </w:rPr>
        <w:instrText xml:space="preserve"> (</w:instrText>
      </w:r>
      <w:r w:rsidRPr="00AF1CDF">
        <w:instrText>December</w:instrText>
      </w:r>
      <w:r w:rsidRPr="00AF1CDF">
        <w:rPr>
          <w:lang w:val="bg-BG"/>
        </w:rPr>
        <w:instrText xml:space="preserve"> 2020) (</w:instrText>
      </w:r>
      <w:r w:rsidRPr="00AF1CDF">
        <w:instrText>DH</w:instrText>
      </w:r>
      <w:r w:rsidRPr="00AF1CDF">
        <w:rPr>
          <w:lang w:val="bg-BG"/>
        </w:rPr>
        <w:instrText xml:space="preserve">) - </w:instrText>
      </w:r>
      <w:r w:rsidRPr="00AF1CDF">
        <w:instrText>Rules</w:instrText>
      </w:r>
      <w:r w:rsidRPr="00AF1CDF">
        <w:rPr>
          <w:lang w:val="bg-BG"/>
        </w:rPr>
        <w:instrText xml:space="preserve"> 9.2 </w:instrText>
      </w:r>
      <w:r w:rsidRPr="00AF1CDF">
        <w:instrText>and</w:instrText>
      </w:r>
      <w:r w:rsidRPr="00AF1CDF">
        <w:rPr>
          <w:lang w:val="bg-BG"/>
        </w:rPr>
        <w:instrText xml:space="preserve"> 9.6 - </w:instrText>
      </w:r>
      <w:r w:rsidRPr="00AF1CDF">
        <w:instrText>Reply</w:instrText>
      </w:r>
      <w:r w:rsidRPr="00AF1CDF">
        <w:rPr>
          <w:lang w:val="bg-BG"/>
        </w:rPr>
        <w:instrText xml:space="preserve"> </w:instrText>
      </w:r>
      <w:r w:rsidRPr="00AF1CDF">
        <w:instrText>from</w:instrText>
      </w:r>
      <w:r w:rsidRPr="00AF1CDF">
        <w:rPr>
          <w:lang w:val="bg-BG"/>
        </w:rPr>
        <w:instrText xml:space="preserve"> </w:instrText>
      </w:r>
      <w:r w:rsidRPr="00AF1CDF">
        <w:instrText>the</w:instrText>
      </w:r>
      <w:r w:rsidRPr="00AF1CDF">
        <w:rPr>
          <w:lang w:val="bg-BG"/>
        </w:rPr>
        <w:instrText xml:space="preserve"> </w:instrText>
      </w:r>
      <w:r w:rsidRPr="00AF1CDF">
        <w:instrText>authorities</w:instrText>
      </w:r>
      <w:r w:rsidRPr="00AF1CDF">
        <w:rPr>
          <w:lang w:val="bg-BG"/>
        </w:rPr>
        <w:instrText xml:space="preserve"> (06/11/2020) </w:instrText>
      </w:r>
      <w:r w:rsidRPr="00AF1CDF">
        <w:instrText>to</w:instrText>
      </w:r>
      <w:r w:rsidRPr="00AF1CDF">
        <w:rPr>
          <w:lang w:val="bg-BG"/>
        </w:rPr>
        <w:instrText xml:space="preserve"> </w:instrText>
      </w:r>
      <w:r w:rsidRPr="00AF1CDF">
        <w:instrText>a</w:instrText>
      </w:r>
      <w:r w:rsidRPr="00AF1CDF">
        <w:rPr>
          <w:lang w:val="bg-BG"/>
        </w:rPr>
        <w:instrText xml:space="preserve"> </w:instrText>
      </w:r>
      <w:r w:rsidRPr="00AF1CDF">
        <w:instrText>communication</w:instrText>
      </w:r>
      <w:r w:rsidRPr="00AF1CDF">
        <w:rPr>
          <w:lang w:val="bg-BG"/>
        </w:rPr>
        <w:instrText xml:space="preserve"> </w:instrText>
      </w:r>
      <w:r w:rsidRPr="00AF1CDF">
        <w:instrText>from</w:instrText>
      </w:r>
      <w:r w:rsidRPr="00AF1CDF">
        <w:rPr>
          <w:lang w:val="bg-BG"/>
        </w:rPr>
        <w:instrText xml:space="preserve"> </w:instrText>
      </w:r>
      <w:r w:rsidRPr="00AF1CDF">
        <w:instrText>an</w:instrText>
      </w:r>
      <w:r w:rsidRPr="00AF1CDF">
        <w:rPr>
          <w:lang w:val="bg-BG"/>
        </w:rPr>
        <w:instrText xml:space="preserve"> </w:instrText>
      </w:r>
      <w:r w:rsidRPr="00AF1CDF">
        <w:instrText>NGO</w:instrText>
      </w:r>
      <w:r w:rsidRPr="00AF1CDF">
        <w:rPr>
          <w:lang w:val="bg-BG"/>
        </w:rPr>
        <w:instrText xml:space="preserve"> (</w:instrText>
      </w:r>
      <w:r w:rsidRPr="00AF1CDF">
        <w:instrText>Bulgarian</w:instrText>
      </w:r>
      <w:r w:rsidRPr="00AF1CDF">
        <w:rPr>
          <w:lang w:val="bg-BG"/>
        </w:rPr>
        <w:instrText xml:space="preserve"> </w:instrText>
      </w:r>
      <w:r w:rsidRPr="00AF1CDF">
        <w:instrText>Helsinki</w:instrText>
      </w:r>
      <w:r w:rsidRPr="00AF1CDF">
        <w:rPr>
          <w:lang w:val="bg-BG"/>
        </w:rPr>
        <w:instrText xml:space="preserve"> </w:instrText>
      </w:r>
      <w:r w:rsidRPr="00AF1CDF">
        <w:instrText>Committee</w:instrText>
      </w:r>
      <w:r w:rsidRPr="00AF1CDF">
        <w:rPr>
          <w:lang w:val="bg-BG"/>
        </w:rPr>
        <w:instrText xml:space="preserve">) (23/10/2020) </w:instrText>
      </w:r>
      <w:r w:rsidRPr="00AF1CDF">
        <w:instrText>in</w:instrText>
      </w:r>
      <w:r w:rsidRPr="00AF1CDF">
        <w:rPr>
          <w:lang w:val="bg-BG"/>
        </w:rPr>
        <w:instrText xml:space="preserve"> </w:instrText>
      </w:r>
      <w:r w:rsidRPr="00AF1CDF">
        <w:instrText>the</w:instrText>
      </w:r>
      <w:r w:rsidRPr="00AF1CDF">
        <w:rPr>
          <w:lang w:val="bg-BG"/>
        </w:rPr>
        <w:instrText xml:space="preserve"> </w:instrText>
      </w:r>
      <w:r w:rsidRPr="00AF1CDF">
        <w:instrText>YORDANOVA</w:instrText>
      </w:r>
      <w:r w:rsidRPr="00AF1CDF">
        <w:rPr>
          <w:lang w:val="bg-BG"/>
        </w:rPr>
        <w:instrText xml:space="preserve"> </w:instrText>
      </w:r>
      <w:r w:rsidRPr="00AF1CDF">
        <w:instrText>AND</w:instrText>
      </w:r>
      <w:r w:rsidRPr="00AF1CDF">
        <w:rPr>
          <w:lang w:val="bg-BG"/>
        </w:rPr>
        <w:instrText xml:space="preserve"> </w:instrText>
      </w:r>
      <w:r w:rsidRPr="00AF1CDF">
        <w:instrText>OTHERS</w:instrText>
      </w:r>
      <w:r w:rsidRPr="00AF1CDF">
        <w:rPr>
          <w:lang w:val="bg-BG"/>
        </w:rPr>
        <w:instrText xml:space="preserve"> </w:instrText>
      </w:r>
      <w:r w:rsidRPr="00AF1CDF">
        <w:instrText>group</w:instrText>
      </w:r>
      <w:r w:rsidRPr="00AF1CDF">
        <w:rPr>
          <w:lang w:val="bg-BG"/>
        </w:rPr>
        <w:instrText xml:space="preserve"> </w:instrText>
      </w:r>
      <w:r w:rsidRPr="00AF1CDF">
        <w:instrText>of</w:instrText>
      </w:r>
      <w:r w:rsidRPr="00AF1CDF">
        <w:rPr>
          <w:lang w:val="bg-BG"/>
        </w:rPr>
        <w:instrText xml:space="preserve"> </w:instrText>
      </w:r>
      <w:r w:rsidRPr="00AF1CDF">
        <w:instrText>cases</w:instrText>
      </w:r>
      <w:r w:rsidRPr="00AF1CDF">
        <w:rPr>
          <w:lang w:val="bg-BG"/>
        </w:rPr>
        <w:instrText xml:space="preserve"> </w:instrText>
      </w:r>
      <w:r w:rsidRPr="00AF1CDF">
        <w:instrText>v</w:instrText>
      </w:r>
      <w:r w:rsidRPr="00AF1CDF">
        <w:rPr>
          <w:lang w:val="bg-BG"/>
        </w:rPr>
        <w:instrText xml:space="preserve">. </w:instrText>
      </w:r>
      <w:r w:rsidRPr="00AF1CDF">
        <w:instrText>Bulgaria</w:instrText>
      </w:r>
      <w:r w:rsidRPr="00AF1CDF">
        <w:rPr>
          <w:lang w:val="bg-BG"/>
        </w:rPr>
        <w:instrText xml:space="preserve"> (</w:instrText>
      </w:r>
      <w:r w:rsidRPr="00AF1CDF">
        <w:instrText>Application</w:instrText>
      </w:r>
      <w:r w:rsidRPr="00AF1CDF">
        <w:rPr>
          <w:lang w:val="bg-BG"/>
        </w:rPr>
        <w:instrText xml:space="preserve"> </w:instrText>
      </w:r>
      <w:r w:rsidRPr="00AF1CDF">
        <w:instrText>No</w:instrText>
      </w:r>
      <w:r w:rsidRPr="00AF1CDF">
        <w:rPr>
          <w:lang w:val="bg-BG"/>
        </w:rPr>
        <w:instrText>. 25446/06) [</w:instrText>
      </w:r>
      <w:r w:rsidRPr="00AF1CDF">
        <w:instrText>Anglais</w:instrText>
      </w:r>
      <w:r w:rsidRPr="00AF1CDF">
        <w:rPr>
          <w:lang w:val="bg-BG"/>
        </w:rPr>
        <w:instrText xml:space="preserve"> </w:instrText>
      </w:r>
      <w:r w:rsidRPr="00AF1CDF">
        <w:instrText>uniquement</w:instrText>
      </w:r>
      <w:r w:rsidRPr="00AF1CDF">
        <w:rPr>
          <w:lang w:val="bg-BG"/>
        </w:rPr>
        <w:instrText xml:space="preserve">]" </w:instrText>
      </w:r>
      <w:r w:rsidRPr="00AF1CDF">
        <w:fldChar w:fldCharType="separate"/>
      </w:r>
      <w:bookmarkEnd w:id="2"/>
      <w:r w:rsidRPr="00AF1CDF">
        <w:rPr>
          <w:rStyle w:val="Hyperlink"/>
        </w:rPr>
        <w:t>DH</w:t>
      </w:r>
      <w:r w:rsidRPr="00AF1CDF">
        <w:rPr>
          <w:rStyle w:val="Hyperlink"/>
          <w:lang w:val="bg-BG"/>
        </w:rPr>
        <w:t>-</w:t>
      </w:r>
      <w:r w:rsidRPr="00AF1CDF">
        <w:rPr>
          <w:rStyle w:val="Hyperlink"/>
        </w:rPr>
        <w:t>DD</w:t>
      </w:r>
      <w:r w:rsidRPr="00AF1CDF">
        <w:rPr>
          <w:rStyle w:val="Hyperlink"/>
          <w:lang w:val="bg-BG"/>
        </w:rPr>
        <w:t>(2020)972-</w:t>
      </w:r>
      <w:r w:rsidRPr="00AF1CDF">
        <w:rPr>
          <w:rStyle w:val="Hyperlink"/>
        </w:rPr>
        <w:t>rev</w:t>
      </w:r>
      <w:r w:rsidRPr="00AF1CDF">
        <w:fldChar w:fldCharType="end"/>
      </w:r>
      <w:r w:rsidRPr="00AF1CDF">
        <w:rPr>
          <w:lang w:val="bg-BG"/>
        </w:rPr>
        <w:t xml:space="preserve"> </w:t>
      </w:r>
      <w:bookmarkStart w:id="3" w:name="_ML_000000000007_VALID"/>
      <w:r w:rsidRPr="00AF1CDF">
        <w:rPr>
          <w:lang w:val="bg-BG"/>
        </w:rPr>
        <w:t xml:space="preserve">и </w:t>
      </w:r>
      <w:hyperlink r:id="rId1" w:tooltip="1390th meeting (December 2020) (DH) - Rules 9.2 and 9.6 - Communication from an NGO (Bulgarian Helsinki Committee) (03/11/2020) concerning the YORDANOVA AND OTHERS group of cases v. Bulgaria (Application No. 25446/06) and reply from the authorities (16/11/2020" w:history="1">
        <w:bookmarkEnd w:id="3"/>
        <w:r w:rsidRPr="00AF1CDF">
          <w:rPr>
            <w:rStyle w:val="Hyperlink"/>
            <w:color w:val="161616"/>
          </w:rPr>
          <w:t>DH</w:t>
        </w:r>
        <w:r w:rsidRPr="00AF1CDF">
          <w:rPr>
            <w:rStyle w:val="Hyperlink"/>
            <w:color w:val="161616"/>
            <w:lang w:val="bg-BG"/>
          </w:rPr>
          <w:t>-</w:t>
        </w:r>
        <w:r w:rsidRPr="00AF1CDF">
          <w:rPr>
            <w:rStyle w:val="Hyperlink"/>
            <w:color w:val="161616"/>
          </w:rPr>
          <w:t>DD</w:t>
        </w:r>
        <w:r w:rsidRPr="00AF1CDF">
          <w:rPr>
            <w:rStyle w:val="Hyperlink"/>
            <w:color w:val="161616"/>
            <w:lang w:val="bg-BG"/>
          </w:rPr>
          <w:t>(2020)1009-</w:t>
        </w:r>
        <w:r w:rsidRPr="00AF1CDF">
          <w:rPr>
            <w:rStyle w:val="Hyperlink"/>
            <w:color w:val="161616"/>
          </w:rPr>
          <w:t>rev</w:t>
        </w:r>
      </w:hyperlink>
      <w:r w:rsidRPr="00AF1CDF">
        <w:rPr>
          <w:lang w:val="bg-BG"/>
        </w:rPr>
        <w:t>).</w:t>
      </w:r>
    </w:p>
  </w:footnote>
  <w:footnote w:id="5">
    <w:p w14:paraId="0806848B" w14:textId="77777777" w:rsidR="00BE2256" w:rsidRPr="00AF1CDF" w:rsidRDefault="00BE2256" w:rsidP="00BE2256">
      <w:pPr>
        <w:pStyle w:val="FootnoteText"/>
        <w:rPr>
          <w:lang w:val="bg-BG"/>
        </w:rPr>
      </w:pPr>
      <w:r w:rsidRPr="00AF1CDF">
        <w:rPr>
          <w:rStyle w:val="FootnoteReference"/>
        </w:rPr>
        <w:footnoteRef/>
      </w:r>
      <w:r w:rsidRPr="00AF1CDF">
        <w:rPr>
          <w:lang w:val="bg-BG"/>
        </w:rPr>
        <w:t xml:space="preserve"> Решение  № 16768 от 10 декември 2019 г. по адм. дело № 4447/2019 на Върховния административен съд,</w:t>
      </w:r>
    </w:p>
  </w:footnote>
  <w:footnote w:id="6">
    <w:p w14:paraId="7D176D82" w14:textId="77777777" w:rsidR="00BE2256" w:rsidRPr="00AF1CDF" w:rsidRDefault="00BE2256" w:rsidP="00BE2256">
      <w:pPr>
        <w:pStyle w:val="FootnoteText"/>
        <w:rPr>
          <w:lang w:val="bg-BG"/>
        </w:rPr>
      </w:pPr>
      <w:r w:rsidRPr="00AF1CDF">
        <w:rPr>
          <w:rStyle w:val="FootnoteReference"/>
        </w:rPr>
        <w:footnoteRef/>
      </w:r>
      <w:r w:rsidRPr="00AF1CDF">
        <w:rPr>
          <w:lang w:val="bg-BG"/>
        </w:rPr>
        <w:t xml:space="preserve"> Вж. §§ 26, 27, 56 и 58 от решението </w:t>
      </w:r>
      <w:r w:rsidRPr="00AF1CDF">
        <w:rPr>
          <w:i/>
          <w:iCs/>
          <w:lang w:val="bg-BG"/>
        </w:rPr>
        <w:t>„Иванова и Черкезов“.</w:t>
      </w:r>
    </w:p>
  </w:footnote>
  <w:footnote w:id="7">
    <w:p w14:paraId="06D10A18" w14:textId="77777777" w:rsidR="00BE2256" w:rsidRPr="00AF1CDF" w:rsidRDefault="00BE2256" w:rsidP="00BE2256">
      <w:pPr>
        <w:pStyle w:val="FootnoteText"/>
        <w:rPr>
          <w:lang w:val="bg-BG"/>
        </w:rPr>
      </w:pPr>
      <w:r w:rsidRPr="00AF1CDF">
        <w:rPr>
          <w:rStyle w:val="FootnoteReference"/>
        </w:rPr>
        <w:footnoteRef/>
      </w:r>
      <w:r w:rsidRPr="00AF1CDF">
        <w:rPr>
          <w:lang w:val="bg-BG"/>
        </w:rPr>
        <w:t xml:space="preserve"> Решение №. 6571 от 2 юни 2020 г. по адм. дело № 12088/2019. За сходна, но по-нюансирана мотивация, вж. решение №</w:t>
      </w:r>
      <w:r w:rsidRPr="00AF1CDF">
        <w:t> </w:t>
      </w:r>
      <w:r w:rsidRPr="00AF1CDF">
        <w:rPr>
          <w:lang w:val="bg-BG"/>
        </w:rPr>
        <w:t>9576 от 14 юли 2020 г. по адм. дело № 9348/2019 на Върховния административен съд.</w:t>
      </w:r>
    </w:p>
  </w:footnote>
  <w:footnote w:id="8">
    <w:p w14:paraId="1C7CE38F" w14:textId="77777777" w:rsidR="00BE2256" w:rsidRPr="00AF1CDF" w:rsidRDefault="00BE2256" w:rsidP="00BE2256">
      <w:pPr>
        <w:pStyle w:val="FootnoteText"/>
        <w:rPr>
          <w:lang w:val="bg-BG"/>
        </w:rPr>
      </w:pPr>
      <w:r w:rsidRPr="00AF1CDF">
        <w:rPr>
          <w:rStyle w:val="FootnoteReference"/>
        </w:rPr>
        <w:footnoteRef/>
      </w:r>
      <w:r w:rsidRPr="00AF1CDF">
        <w:rPr>
          <w:lang w:val="bg-BG"/>
        </w:rPr>
        <w:t xml:space="preserve"> В частност </w:t>
      </w:r>
      <w:proofErr w:type="spellStart"/>
      <w:r w:rsidRPr="00AF1CDF">
        <w:rPr>
          <w:lang w:val="bg-BG"/>
        </w:rPr>
        <w:t>чл.чл</w:t>
      </w:r>
      <w:proofErr w:type="spellEnd"/>
      <w:r w:rsidRPr="00AF1CDF">
        <w:rPr>
          <w:lang w:val="bg-BG"/>
        </w:rPr>
        <w:t>. 225 и 225</w:t>
      </w:r>
      <w:r w:rsidRPr="00AF1CDF">
        <w:t>a</w:t>
      </w:r>
      <w:r w:rsidRPr="00AF1CDF">
        <w:rPr>
          <w:lang w:val="bg-BG"/>
        </w:rPr>
        <w:t xml:space="preserve"> от ЗУТ, </w:t>
      </w:r>
      <w:proofErr w:type="spellStart"/>
      <w:r w:rsidRPr="00AF1CDF">
        <w:rPr>
          <w:lang w:val="bg-BG"/>
        </w:rPr>
        <w:t>чл.чл</w:t>
      </w:r>
      <w:proofErr w:type="spellEnd"/>
      <w:r w:rsidRPr="00AF1CDF">
        <w:rPr>
          <w:lang w:val="bg-BG"/>
        </w:rPr>
        <w:t>. 80 и 80</w:t>
      </w:r>
      <w:r w:rsidRPr="00AF1CDF">
        <w:t>a</w:t>
      </w:r>
      <w:r w:rsidRPr="00AF1CDF">
        <w:rPr>
          <w:lang w:val="bg-BG"/>
        </w:rPr>
        <w:t xml:space="preserve"> от ЗДС и чл. 65 от ЗОС.</w:t>
      </w:r>
    </w:p>
  </w:footnote>
  <w:footnote w:id="9">
    <w:p w14:paraId="7E329832" w14:textId="77777777" w:rsidR="00BE2256" w:rsidRPr="00E65AE5" w:rsidRDefault="00BE2256" w:rsidP="00BE2256">
      <w:pPr>
        <w:pStyle w:val="FootnoteText"/>
        <w:rPr>
          <w:lang w:val="bg-BG"/>
        </w:rPr>
      </w:pPr>
      <w:r w:rsidRPr="00AF1CDF">
        <w:rPr>
          <w:rStyle w:val="FootnoteReference"/>
        </w:rPr>
        <w:footnoteRef/>
      </w:r>
      <w:r w:rsidRPr="00AF1CDF">
        <w:rPr>
          <w:lang w:val="bg-BG"/>
        </w:rPr>
        <w:t xml:space="preserve"> Комисарят по правата на човека на Съвета на Европа предостави комуникация относно изпълнението на тази група дела на 16 октомври 2020 г. Властите отговориха на тази комуни</w:t>
      </w:r>
      <w:r>
        <w:rPr>
          <w:lang w:val="bg-BG"/>
        </w:rPr>
        <w:t>кация на 30 октомври</w:t>
      </w:r>
      <w:r w:rsidRPr="00E65AE5">
        <w:rPr>
          <w:lang w:val="bg-BG"/>
        </w:rPr>
        <w:t xml:space="preserve"> 2020 </w:t>
      </w:r>
      <w:r>
        <w:rPr>
          <w:lang w:val="bg-BG"/>
        </w:rPr>
        <w:t xml:space="preserve">г. </w:t>
      </w:r>
      <w:r w:rsidRPr="00E65AE5">
        <w:rPr>
          <w:lang w:val="bg-BG"/>
        </w:rPr>
        <w:t>(</w:t>
      </w:r>
      <w:bookmarkStart w:id="5" w:name="_ML_000000000008_VALID"/>
      <w:r w:rsidRPr="001857FE">
        <w:fldChar w:fldCharType="begin"/>
      </w:r>
      <w:r w:rsidRPr="00E65AE5">
        <w:rPr>
          <w:lang w:val="bg-BG"/>
        </w:rPr>
        <w:instrText xml:space="preserve"> </w:instrText>
      </w:r>
      <w:r w:rsidRPr="001857FE">
        <w:instrText>HYPERLINK</w:instrText>
      </w:r>
      <w:r w:rsidRPr="00E65AE5">
        <w:rPr>
          <w:lang w:val="bg-BG"/>
        </w:rPr>
        <w:instrText xml:space="preserve"> "</w:instrText>
      </w:r>
      <w:r w:rsidRPr="001857FE">
        <w:instrText>https</w:instrText>
      </w:r>
      <w:r w:rsidRPr="00E65AE5">
        <w:rPr>
          <w:lang w:val="bg-BG"/>
        </w:rPr>
        <w:instrText>://</w:instrText>
      </w:r>
      <w:r w:rsidRPr="001857FE">
        <w:instrText>search</w:instrText>
      </w:r>
      <w:r w:rsidRPr="00E65AE5">
        <w:rPr>
          <w:lang w:val="bg-BG"/>
        </w:rPr>
        <w:instrText>.</w:instrText>
      </w:r>
      <w:r w:rsidRPr="001857FE">
        <w:instrText>coe</w:instrText>
      </w:r>
      <w:r w:rsidRPr="00E65AE5">
        <w:rPr>
          <w:lang w:val="bg-BG"/>
        </w:rPr>
        <w:instrText>.</w:instrText>
      </w:r>
      <w:r w:rsidRPr="001857FE">
        <w:instrText>int</w:instrText>
      </w:r>
      <w:r w:rsidRPr="00E65AE5">
        <w:rPr>
          <w:lang w:val="bg-BG"/>
        </w:rPr>
        <w:instrText>/</w:instrText>
      </w:r>
      <w:r w:rsidRPr="001857FE">
        <w:instrText>cm</w:instrText>
      </w:r>
      <w:r w:rsidRPr="00E65AE5">
        <w:rPr>
          <w:lang w:val="bg-BG"/>
        </w:rPr>
        <w:instrText>/</w:instrText>
      </w:r>
      <w:r w:rsidRPr="001857FE">
        <w:instrText>Pages</w:instrText>
      </w:r>
      <w:r w:rsidRPr="00E65AE5">
        <w:rPr>
          <w:lang w:val="bg-BG"/>
        </w:rPr>
        <w:instrText>/</w:instrText>
      </w:r>
      <w:r w:rsidRPr="001857FE">
        <w:instrText>result</w:instrText>
      </w:r>
      <w:r w:rsidRPr="00E65AE5">
        <w:rPr>
          <w:lang w:val="bg-BG"/>
        </w:rPr>
        <w:instrText>_</w:instrText>
      </w:r>
      <w:r w:rsidRPr="001857FE">
        <w:instrText>details</w:instrText>
      </w:r>
      <w:r w:rsidRPr="00E65AE5">
        <w:rPr>
          <w:lang w:val="bg-BG"/>
        </w:rPr>
        <w:instrText>.</w:instrText>
      </w:r>
      <w:r w:rsidRPr="001857FE">
        <w:instrText>aspx</w:instrText>
      </w:r>
      <w:r w:rsidRPr="00E65AE5">
        <w:rPr>
          <w:lang w:val="bg-BG"/>
        </w:rPr>
        <w:instrText>?</w:instrText>
      </w:r>
      <w:r w:rsidRPr="001857FE">
        <w:instrText>Reference</w:instrText>
      </w:r>
      <w:r w:rsidRPr="00E65AE5">
        <w:rPr>
          <w:lang w:val="bg-BG"/>
        </w:rPr>
        <w:instrText>=</w:instrText>
      </w:r>
      <w:r w:rsidRPr="001857FE">
        <w:instrText>DH</w:instrText>
      </w:r>
      <w:r w:rsidRPr="00E65AE5">
        <w:rPr>
          <w:lang w:val="bg-BG"/>
        </w:rPr>
        <w:instrText>-</w:instrText>
      </w:r>
      <w:r w:rsidRPr="001857FE">
        <w:instrText>DD</w:instrText>
      </w:r>
      <w:r w:rsidRPr="00E65AE5">
        <w:rPr>
          <w:lang w:val="bg-BG"/>
        </w:rPr>
        <w:instrText>(2020)932-</w:instrText>
      </w:r>
      <w:r w:rsidRPr="001857FE">
        <w:instrText>rev</w:instrText>
      </w:r>
      <w:r w:rsidRPr="00E65AE5">
        <w:rPr>
          <w:lang w:val="bg-BG"/>
        </w:rPr>
        <w:instrText>" \</w:instrText>
      </w:r>
      <w:r w:rsidRPr="001857FE">
        <w:instrText>o</w:instrText>
      </w:r>
      <w:r w:rsidRPr="00E65AE5">
        <w:rPr>
          <w:lang w:val="bg-BG"/>
        </w:rPr>
        <w:instrText xml:space="preserve"> "1390</w:instrText>
      </w:r>
      <w:r w:rsidRPr="001857FE">
        <w:instrText>th</w:instrText>
      </w:r>
      <w:r w:rsidRPr="00E65AE5">
        <w:rPr>
          <w:lang w:val="bg-BG"/>
        </w:rPr>
        <w:instrText xml:space="preserve"> </w:instrText>
      </w:r>
      <w:r w:rsidRPr="001857FE">
        <w:instrText>meeting</w:instrText>
      </w:r>
      <w:r w:rsidRPr="00E65AE5">
        <w:rPr>
          <w:lang w:val="bg-BG"/>
        </w:rPr>
        <w:instrText xml:space="preserve"> (1-3 </w:instrText>
      </w:r>
      <w:r w:rsidRPr="001857FE">
        <w:instrText>December</w:instrText>
      </w:r>
      <w:r w:rsidRPr="00E65AE5">
        <w:rPr>
          <w:lang w:val="bg-BG"/>
        </w:rPr>
        <w:instrText xml:space="preserve"> 2020) (</w:instrText>
      </w:r>
      <w:r w:rsidRPr="001857FE">
        <w:instrText>DH</w:instrText>
      </w:r>
      <w:r w:rsidRPr="00E65AE5">
        <w:rPr>
          <w:lang w:val="bg-BG"/>
        </w:rPr>
        <w:instrText xml:space="preserve">) - </w:instrText>
      </w:r>
      <w:r w:rsidRPr="001857FE">
        <w:instrText>Rules</w:instrText>
      </w:r>
      <w:r w:rsidRPr="00E65AE5">
        <w:rPr>
          <w:lang w:val="bg-BG"/>
        </w:rPr>
        <w:instrText xml:space="preserve"> 9.4 </w:instrText>
      </w:r>
      <w:r w:rsidRPr="001857FE">
        <w:instrText>and</w:instrText>
      </w:r>
      <w:r w:rsidRPr="00E65AE5">
        <w:rPr>
          <w:lang w:val="bg-BG"/>
        </w:rPr>
        <w:instrText xml:space="preserve"> 9.6 - </w:instrText>
      </w:r>
      <w:r w:rsidRPr="001857FE">
        <w:instrText>Communication</w:instrText>
      </w:r>
      <w:r w:rsidRPr="00E65AE5">
        <w:rPr>
          <w:lang w:val="bg-BG"/>
        </w:rPr>
        <w:instrText xml:space="preserve"> </w:instrText>
      </w:r>
      <w:r w:rsidRPr="001857FE">
        <w:instrText>from</w:instrText>
      </w:r>
      <w:r w:rsidRPr="00E65AE5">
        <w:rPr>
          <w:lang w:val="bg-BG"/>
        </w:rPr>
        <w:instrText xml:space="preserve"> </w:instrText>
      </w:r>
      <w:r w:rsidRPr="001857FE">
        <w:instrText>the</w:instrText>
      </w:r>
      <w:r w:rsidRPr="00E65AE5">
        <w:rPr>
          <w:lang w:val="bg-BG"/>
        </w:rPr>
        <w:instrText xml:space="preserve"> </w:instrText>
      </w:r>
      <w:r w:rsidRPr="001857FE">
        <w:instrText>Council</w:instrText>
      </w:r>
      <w:r w:rsidRPr="00E65AE5">
        <w:rPr>
          <w:lang w:val="bg-BG"/>
        </w:rPr>
        <w:instrText xml:space="preserve"> </w:instrText>
      </w:r>
      <w:r w:rsidRPr="001857FE">
        <w:instrText>of</w:instrText>
      </w:r>
      <w:r w:rsidRPr="00E65AE5">
        <w:rPr>
          <w:lang w:val="bg-BG"/>
        </w:rPr>
        <w:instrText xml:space="preserve"> </w:instrText>
      </w:r>
      <w:r w:rsidRPr="001857FE">
        <w:instrText>Europe</w:instrText>
      </w:r>
      <w:r w:rsidRPr="00E65AE5">
        <w:rPr>
          <w:lang w:val="bg-BG"/>
        </w:rPr>
        <w:instrText xml:space="preserve"> </w:instrText>
      </w:r>
      <w:r w:rsidRPr="001857FE">
        <w:instrText>Commissioner</w:instrText>
      </w:r>
      <w:r w:rsidRPr="00E65AE5">
        <w:rPr>
          <w:lang w:val="bg-BG"/>
        </w:rPr>
        <w:instrText xml:space="preserve"> </w:instrText>
      </w:r>
      <w:r w:rsidRPr="001857FE">
        <w:instrText>for</w:instrText>
      </w:r>
      <w:r w:rsidRPr="00E65AE5">
        <w:rPr>
          <w:lang w:val="bg-BG"/>
        </w:rPr>
        <w:instrText xml:space="preserve"> </w:instrText>
      </w:r>
      <w:r w:rsidRPr="001857FE">
        <w:instrText>Human</w:instrText>
      </w:r>
      <w:r w:rsidRPr="00E65AE5">
        <w:rPr>
          <w:lang w:val="bg-BG"/>
        </w:rPr>
        <w:instrText xml:space="preserve"> </w:instrText>
      </w:r>
      <w:r w:rsidRPr="001857FE">
        <w:instrText>Rights</w:instrText>
      </w:r>
      <w:r w:rsidRPr="00E65AE5">
        <w:rPr>
          <w:lang w:val="bg-BG"/>
        </w:rPr>
        <w:instrText xml:space="preserve"> (16/10/2020) </w:instrText>
      </w:r>
      <w:r w:rsidRPr="001857FE">
        <w:instrText>in</w:instrText>
      </w:r>
      <w:r w:rsidRPr="00E65AE5">
        <w:rPr>
          <w:lang w:val="bg-BG"/>
        </w:rPr>
        <w:instrText xml:space="preserve"> </w:instrText>
      </w:r>
      <w:r w:rsidRPr="001857FE">
        <w:instrText>the</w:instrText>
      </w:r>
      <w:r w:rsidRPr="00E65AE5">
        <w:rPr>
          <w:lang w:val="bg-BG"/>
        </w:rPr>
        <w:instrText xml:space="preserve"> </w:instrText>
      </w:r>
      <w:r w:rsidRPr="001857FE">
        <w:instrText>YORDANOVA</w:instrText>
      </w:r>
      <w:r w:rsidRPr="00E65AE5">
        <w:rPr>
          <w:lang w:val="bg-BG"/>
        </w:rPr>
        <w:instrText xml:space="preserve"> </w:instrText>
      </w:r>
      <w:r w:rsidRPr="001857FE">
        <w:instrText>AND</w:instrText>
      </w:r>
      <w:r w:rsidRPr="00E65AE5">
        <w:rPr>
          <w:lang w:val="bg-BG"/>
        </w:rPr>
        <w:instrText xml:space="preserve"> </w:instrText>
      </w:r>
      <w:r w:rsidRPr="001857FE">
        <w:instrText>OTHERS</w:instrText>
      </w:r>
      <w:r w:rsidRPr="00E65AE5">
        <w:rPr>
          <w:lang w:val="bg-BG"/>
        </w:rPr>
        <w:instrText xml:space="preserve"> </w:instrText>
      </w:r>
      <w:r w:rsidRPr="001857FE">
        <w:instrText>group</w:instrText>
      </w:r>
      <w:r w:rsidRPr="00E65AE5">
        <w:rPr>
          <w:lang w:val="bg-BG"/>
        </w:rPr>
        <w:instrText xml:space="preserve"> </w:instrText>
      </w:r>
      <w:r w:rsidRPr="001857FE">
        <w:instrText>of</w:instrText>
      </w:r>
      <w:r w:rsidRPr="00E65AE5">
        <w:rPr>
          <w:lang w:val="bg-BG"/>
        </w:rPr>
        <w:instrText xml:space="preserve"> </w:instrText>
      </w:r>
      <w:r w:rsidRPr="001857FE">
        <w:instrText>cases</w:instrText>
      </w:r>
      <w:r w:rsidRPr="00E65AE5">
        <w:rPr>
          <w:lang w:val="bg-BG"/>
        </w:rPr>
        <w:instrText xml:space="preserve"> </w:instrText>
      </w:r>
      <w:r w:rsidRPr="001857FE">
        <w:instrText>v</w:instrText>
      </w:r>
      <w:r w:rsidRPr="00E65AE5">
        <w:rPr>
          <w:lang w:val="bg-BG"/>
        </w:rPr>
        <w:instrText xml:space="preserve">. </w:instrText>
      </w:r>
      <w:r w:rsidRPr="001857FE">
        <w:instrText>Bulgaria</w:instrText>
      </w:r>
      <w:r w:rsidRPr="00E65AE5">
        <w:rPr>
          <w:lang w:val="bg-BG"/>
        </w:rPr>
        <w:instrText xml:space="preserve"> (</w:instrText>
      </w:r>
      <w:r w:rsidRPr="001857FE">
        <w:instrText>Application</w:instrText>
      </w:r>
      <w:r w:rsidRPr="00E65AE5">
        <w:rPr>
          <w:lang w:val="bg-BG"/>
        </w:rPr>
        <w:instrText xml:space="preserve"> </w:instrText>
      </w:r>
      <w:r w:rsidRPr="001857FE">
        <w:instrText>No</w:instrText>
      </w:r>
      <w:r w:rsidRPr="00E65AE5">
        <w:rPr>
          <w:lang w:val="bg-BG"/>
        </w:rPr>
        <w:instrText xml:space="preserve">. 25446/06) </w:instrText>
      </w:r>
      <w:r w:rsidRPr="001857FE">
        <w:instrText>and</w:instrText>
      </w:r>
      <w:r w:rsidRPr="00E65AE5">
        <w:rPr>
          <w:lang w:val="bg-BG"/>
        </w:rPr>
        <w:instrText xml:space="preserve"> </w:instrText>
      </w:r>
      <w:r w:rsidRPr="001857FE">
        <w:instrText>reply</w:instrText>
      </w:r>
      <w:r w:rsidRPr="00E65AE5">
        <w:rPr>
          <w:lang w:val="bg-BG"/>
        </w:rPr>
        <w:instrText xml:space="preserve"> </w:instrText>
      </w:r>
      <w:r w:rsidRPr="001857FE">
        <w:instrText>from</w:instrText>
      </w:r>
      <w:r w:rsidRPr="00E65AE5">
        <w:rPr>
          <w:lang w:val="bg-BG"/>
        </w:rPr>
        <w:instrText xml:space="preserve"> </w:instrText>
      </w:r>
      <w:r w:rsidRPr="001857FE">
        <w:instrText>the</w:instrText>
      </w:r>
      <w:r w:rsidRPr="00E65AE5">
        <w:rPr>
          <w:lang w:val="bg-BG"/>
        </w:rPr>
        <w:instrText xml:space="preserve"> </w:instrText>
      </w:r>
      <w:r w:rsidRPr="001857FE">
        <w:instrText>authorities</w:instrText>
      </w:r>
      <w:r w:rsidRPr="00E65AE5">
        <w:rPr>
          <w:lang w:val="bg-BG"/>
        </w:rPr>
        <w:instrText xml:space="preserve"> (30/10/2020) [</w:instrText>
      </w:r>
      <w:r w:rsidRPr="001857FE">
        <w:instrText>anglais</w:instrText>
      </w:r>
      <w:r w:rsidRPr="00E65AE5">
        <w:rPr>
          <w:lang w:val="bg-BG"/>
        </w:rPr>
        <w:instrText xml:space="preserve"> </w:instrText>
      </w:r>
      <w:r w:rsidRPr="001857FE">
        <w:instrText>uniquement</w:instrText>
      </w:r>
      <w:r w:rsidRPr="00E65AE5">
        <w:rPr>
          <w:lang w:val="bg-BG"/>
        </w:rPr>
        <w:instrText xml:space="preserve">]" </w:instrText>
      </w:r>
      <w:r w:rsidRPr="001857FE">
        <w:fldChar w:fldCharType="separate"/>
      </w:r>
      <w:bookmarkEnd w:id="5"/>
      <w:r w:rsidRPr="001857FE">
        <w:rPr>
          <w:rStyle w:val="Hyperlink"/>
        </w:rPr>
        <w:t>DH</w:t>
      </w:r>
      <w:r w:rsidRPr="00E65AE5">
        <w:rPr>
          <w:rStyle w:val="Hyperlink"/>
          <w:lang w:val="bg-BG"/>
        </w:rPr>
        <w:t>-</w:t>
      </w:r>
      <w:r w:rsidRPr="001857FE">
        <w:rPr>
          <w:rStyle w:val="Hyperlink"/>
        </w:rPr>
        <w:t>DD</w:t>
      </w:r>
      <w:r w:rsidRPr="00E65AE5">
        <w:rPr>
          <w:rStyle w:val="Hyperlink"/>
          <w:lang w:val="bg-BG"/>
        </w:rPr>
        <w:t>(2020)932-</w:t>
      </w:r>
      <w:r w:rsidRPr="001857FE">
        <w:rPr>
          <w:rStyle w:val="Hyperlink"/>
        </w:rPr>
        <w:t>rev</w:t>
      </w:r>
      <w:r w:rsidRPr="001857FE">
        <w:fldChar w:fldCharType="end"/>
      </w:r>
      <w:r w:rsidRPr="00E65AE5">
        <w:rPr>
          <w:lang w:val="bg-BG"/>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02809"/>
    <w:multiLevelType w:val="hybridMultilevel"/>
    <w:tmpl w:val="0202610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77168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256"/>
    <w:rsid w:val="000D04B4"/>
    <w:rsid w:val="0056709F"/>
    <w:rsid w:val="006212FD"/>
    <w:rsid w:val="00705B4F"/>
    <w:rsid w:val="00735E27"/>
    <w:rsid w:val="00990E35"/>
    <w:rsid w:val="009A1212"/>
    <w:rsid w:val="00BE2256"/>
    <w:rsid w:val="00F10E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EA2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E22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2256"/>
    <w:rPr>
      <w:sz w:val="20"/>
      <w:szCs w:val="20"/>
    </w:rPr>
  </w:style>
  <w:style w:type="character" w:styleId="Hyperlink">
    <w:name w:val="Hyperlink"/>
    <w:uiPriority w:val="99"/>
    <w:unhideWhenUsed/>
    <w:rsid w:val="00BE2256"/>
    <w:rPr>
      <w:color w:val="auto"/>
      <w:u w:val="none"/>
    </w:rPr>
  </w:style>
  <w:style w:type="character" w:styleId="FootnoteReference">
    <w:name w:val="footnote reference"/>
    <w:aliases w:val="Footnotes refss,Footnote Refernece,Footnotes refss Caracter,Appel note de bas de p Caracter,Footnotes refss Car Char Char Char Caracter,callout Car Char Char Char Caracter,4_G,BVI fnr Char Char Char Char Char1 Char,ftref"/>
    <w:link w:val="Appelnotedebasdep"/>
    <w:uiPriority w:val="99"/>
    <w:unhideWhenUsed/>
    <w:qFormat/>
    <w:rsid w:val="00BE2256"/>
    <w:rPr>
      <w:vertAlign w:val="superscript"/>
    </w:rPr>
  </w:style>
  <w:style w:type="paragraph" w:customStyle="1" w:styleId="Appelnotedebasdep">
    <w:name w:val="Appel note de bas de p"/>
    <w:aliases w:val="Footnotes refss Car Char Char Char,callout Car Char Char Char,Zchn Zchn Char Char Char Char Car Char Char Char Char Char Char Char Char Char Car Char Car Char Char Char"/>
    <w:basedOn w:val="Normal"/>
    <w:link w:val="FootnoteReference"/>
    <w:uiPriority w:val="99"/>
    <w:rsid w:val="00BE2256"/>
    <w:pPr>
      <w:spacing w:line="240" w:lineRule="exact"/>
    </w:pPr>
    <w:rPr>
      <w:vertAlign w:val="superscript"/>
    </w:rPr>
  </w:style>
  <w:style w:type="paragraph" w:styleId="Header">
    <w:name w:val="header"/>
    <w:basedOn w:val="Normal"/>
    <w:link w:val="HeaderChar"/>
    <w:uiPriority w:val="99"/>
    <w:unhideWhenUsed/>
    <w:rsid w:val="00F10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E30"/>
  </w:style>
  <w:style w:type="paragraph" w:styleId="Footer">
    <w:name w:val="footer"/>
    <w:basedOn w:val="Normal"/>
    <w:link w:val="FooterChar"/>
    <w:uiPriority w:val="99"/>
    <w:unhideWhenUsed/>
    <w:rsid w:val="00F10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cm/Pages/result_details.aspx?Reference=DH-DD(2020)1009-re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4221</Words>
  <Characters>24065</Characters>
  <Application>Microsoft Office Word</Application>
  <DocSecurity>0</DocSecurity>
  <Lines>200</Lines>
  <Paragraphs>56</Paragraphs>
  <ScaleCrop>false</ScaleCrop>
  <Company/>
  <LinksUpToDate>false</LinksUpToDate>
  <CharactersWithSpaces>28230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2022-12-21T21:23:00Z</dcterms:created>
  <dcterms:modified xsi:type="dcterms:W3CDTF">2022-12-21T21:23:00Z</dcterms:modified>
</cp:coreProperties>
</file>