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E" w:rsidRDefault="00E43805" w:rsidP="00E43805">
      <w:pPr>
        <w:pStyle w:val="a7"/>
        <w:ind w:left="3540" w:firstLine="708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Приложение № 1.4.2.</w:t>
      </w:r>
      <w:bookmarkStart w:id="0" w:name="_GoBack"/>
      <w:bookmarkEnd w:id="0"/>
      <w:r>
        <w:rPr>
          <w:rStyle w:val="af4"/>
          <w:rFonts w:ascii="Times New Roman" w:hAnsi="Times New Roman" w:cs="Times New Roman"/>
          <w:sz w:val="24"/>
          <w:szCs w:val="24"/>
        </w:rPr>
        <w:t xml:space="preserve"> – Упражнение отговор</w:t>
      </w:r>
    </w:p>
    <w:p w:rsidR="00E43805" w:rsidRDefault="00E43805" w:rsidP="00E43805">
      <w:pPr>
        <w:pStyle w:val="a7"/>
        <w:ind w:left="3540" w:firstLine="708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0E4503">
        <w:rPr>
          <w:rStyle w:val="af4"/>
          <w:rFonts w:ascii="Times New Roman" w:hAnsi="Times New Roman" w:cs="Times New Roman"/>
          <w:sz w:val="24"/>
          <w:szCs w:val="24"/>
        </w:rPr>
        <w:t>4</w:t>
      </w:r>
    </w:p>
    <w:p w:rsidR="009221BE" w:rsidRDefault="009221BE" w:rsidP="009221BE">
      <w:pPr>
        <w:shd w:val="clear" w:color="auto" w:fill="DBE5F1" w:themeFill="accent1" w:themeFillTint="33"/>
        <w:spacing w:after="0"/>
        <w:ind w:right="1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БЕЗОПАСНОСТ НА ДВИЖЕНИЕТО В НАСЕЛЕНИТЕ МЕСТА – ОРГАНИЗАЦИЯ НА ДВИЖЕНИЕТО И КОНТРОЛ, СЪОБРАЗНО ОБЩИНСКИТЕ</w:t>
      </w:r>
      <w:r w:rsidR="005E6837">
        <w:rPr>
          <w:rStyle w:val="af4"/>
          <w:rFonts w:ascii="Times New Roman" w:hAnsi="Times New Roman" w:cs="Times New Roman"/>
          <w:sz w:val="24"/>
          <w:szCs w:val="24"/>
        </w:rPr>
        <w:t xml:space="preserve"> ПРАВОМОЩИЯ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52471" w:rsidRPr="0043178B" w:rsidRDefault="004D2353" w:rsidP="00E6512E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0259E2" w:rsidRDefault="00B52471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3178B" w:rsidRPr="0043178B">
        <w:rPr>
          <w:rFonts w:ascii="Times New Roman" w:hAnsi="Times New Roman" w:cs="Times New Roman"/>
          <w:b/>
          <w:sz w:val="24"/>
          <w:szCs w:val="24"/>
        </w:rPr>
        <w:t>о</w:t>
      </w:r>
      <w:r w:rsidR="0043178B">
        <w:rPr>
          <w:rFonts w:ascii="Times New Roman" w:hAnsi="Times New Roman" w:cs="Times New Roman"/>
          <w:sz w:val="24"/>
          <w:szCs w:val="24"/>
        </w:rPr>
        <w:t xml:space="preserve"> </w:t>
      </w:r>
      <w:r w:rsidR="0043178B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ъпрос №</w:t>
      </w:r>
      <w:r w:rsidR="00BC5874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8235F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4D235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– </w:t>
      </w:r>
      <w:r w:rsidR="00AE6C5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Безопасност на движението в населените места, с оглед навлизането на нови транспортни средства</w:t>
      </w:r>
    </w:p>
    <w:p w:rsidR="00E6512E" w:rsidRPr="0043178B" w:rsidRDefault="00E6512E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="0088235F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Отговор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</w:p>
    <w:p w:rsidR="00FB2ECC" w:rsidRPr="0043178B" w:rsidRDefault="00FB2ECC" w:rsidP="0043178B">
      <w:pPr>
        <w:tabs>
          <w:tab w:val="left" w:pos="567"/>
          <w:tab w:val="left" w:pos="993"/>
        </w:tabs>
        <w:spacing w:after="0"/>
        <w:ind w:right="1" w:firstLine="85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</w:pPr>
    </w:p>
    <w:p w:rsidR="007E696A" w:rsidRPr="00ED534B" w:rsidRDefault="007E696A" w:rsidP="00ED534B">
      <w:pPr>
        <w:pStyle w:val="a5"/>
        <w:numPr>
          <w:ilvl w:val="0"/>
          <w:numId w:val="32"/>
        </w:num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Съдържание на </w:t>
      </w:r>
      <w:r w:rsid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упражнението</w:t>
      </w:r>
      <w:r w:rsidRPr="00ED534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AE6C5A" w:rsidRDefault="00AE6C5A" w:rsidP="00AE6C5A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Община Мартиново има намерение да разреши на търговско дружество отдаването под наем на индивидуални електрически транспортни средства. В тази връзка на Вас е възложено да предложите мерките, които е необходимо да бъдат предприети за осигуряване безопасността на движението в общината, с оглед експлоатацията на индивидуалните.</w:t>
      </w:r>
    </w:p>
    <w:p w:rsidR="00BE4DD2" w:rsidRPr="002B2A95" w:rsidRDefault="002B2A95" w:rsidP="002B2A95">
      <w:pPr>
        <w:pStyle w:val="a5"/>
        <w:numPr>
          <w:ilvl w:val="0"/>
          <w:numId w:val="32"/>
        </w:num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B2A95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Решение:</w:t>
      </w:r>
    </w:p>
    <w:p w:rsidR="00AE6C5A" w:rsidRDefault="006F1E7A" w:rsidP="006F1E7A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  <w:t xml:space="preserve">При даване на отговор на задачите в упражнението </w:t>
      </w:r>
      <w:r w:rsidR="00AE6C5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първо следва да бъде изяснено понятието </w:t>
      </w:r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„Индивидуално електрическо превозно ср</w:t>
      </w:r>
      <w:r w:rsid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едство“. Това е </w:t>
      </w:r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(електрически тротине</w:t>
      </w:r>
      <w:r w:rsid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тки и електрически велосипеди) </w:t>
      </w:r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пътно превозно средство, оборудвано с електрически двигател/и и максимална конструктивна скорост, надвишаваща 6 </w:t>
      </w:r>
      <w:proofErr w:type="spellStart"/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km</w:t>
      </w:r>
      <w:proofErr w:type="spellEnd"/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/h, без или със място за сядане с височина на точка R (референтна точка на седене), ненадвишаваща 540 mm, когато превозното средство е с не повече от две колела или с височина на точка R, ненадвишаваща 400 mm, когато превозното средство е с три или повече колела, със собствена маса до 50 </w:t>
      </w:r>
      <w:proofErr w:type="spellStart"/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kg</w:t>
      </w:r>
      <w:proofErr w:type="spellEnd"/>
      <w:r w:rsidR="00925D4A" w:rsidRP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Не са индивидуални електрически превозни средства инвалидните колички, обслужващи лица с увреждания.</w:t>
      </w:r>
      <w:r w:rsid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При разглеждане на въпроса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следва да се отчитат изискванията </w:t>
      </w:r>
      <w:r w:rsidR="00AE6C5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 Закона за движение по пътищата, в който са регламентирани изискванията към </w:t>
      </w:r>
      <w:r w:rsidR="00925D4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този вид транспорт.</w:t>
      </w:r>
      <w:r w:rsidR="00CC7E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CC7E22" w:rsidRPr="00CC7E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По отношение на общините следва да се има предвид чл. 80а ЗДП, съгласно който с наредба на общинския съвет се определят: по-ниски максимално допустими скорости от определените в закона; редът за определяне на задължителните зони за паркиране на индивидуални електрически превозни средства, включително и максимално допустимия брой, както и условията и реда за тяхното предоставяне и ползване</w:t>
      </w:r>
      <w:r w:rsidR="00CC7E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6F1E7A" w:rsidRDefault="00CC7E22" w:rsidP="006F1E7A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Посочените отговори</w:t>
      </w:r>
      <w:r w:rsidR="006F1E7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упражнението не са изчерпателни и общовалидни, но те очертават нормалната последователност и изискванията на нормативната уредба.</w:t>
      </w:r>
      <w:r w:rsidR="00153DF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Отговорите могат да бъдат представени и по-подробно от обучаемите, което следва да бъде отчетено от преподавателя.</w:t>
      </w:r>
      <w:r w:rsidR="006F1E7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Отговорите могат да бъдат представени и подре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дени в следният начин</w:t>
      </w:r>
      <w:r w:rsidR="006F1E7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</w:t>
      </w:r>
    </w:p>
    <w:p w:rsidR="006F1E7A" w:rsidRDefault="00343A64" w:rsidP="00343A64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7618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Определяне на </w:t>
      </w:r>
      <w:r w:rsidR="00CC7E22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скоростта за движене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– </w:t>
      </w:r>
      <w:r w:rsidR="00CC7E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следва да се прецени, дали с оглед на транспортната инфраструктура да се определи по-ниска скорост за движение в цялото населено място или в отделни негови участъци</w:t>
      </w:r>
      <w:r w:rsidR="00B656F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E32F17" w:rsidRPr="00E32F17" w:rsidRDefault="00343A64" w:rsidP="00E32F17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7618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Определяне </w:t>
      </w:r>
      <w:r w:rsidR="00CC7E22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местата за паркиране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</w:t>
      </w:r>
      <w:r w:rsidR="004E42D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необходимо е да се планират </w:t>
      </w:r>
      <w:proofErr w:type="spellStart"/>
      <w:r w:rsidR="004E42D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стоянките</w:t>
      </w:r>
      <w:proofErr w:type="spellEnd"/>
      <w:r w:rsidR="004E42D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местата за паркиране, обозначаване и други аспекти, осигуряващи експлоатацията на ИЕПС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E32F17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Така например в София, </w:t>
      </w:r>
      <w:r w:rsid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бособените места за безплатно паркиране на тези превозни </w:t>
      </w:r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средства в „Синя“ зона са 58. Всяка </w:t>
      </w:r>
      <w:proofErr w:type="spellStart"/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стоянка</w:t>
      </w:r>
      <w:proofErr w:type="spellEnd"/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е разположена върху едно сегашно </w:t>
      </w:r>
      <w:proofErr w:type="spellStart"/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паркомясто</w:t>
      </w:r>
      <w:proofErr w:type="spellEnd"/>
      <w:r w:rsidR="00E32F17" w:rsidRPr="00E32F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 кола, като е обозначена със знак и боядисана, за да е разпознаваема. Тя може да побира 10-12 тротинетки или 6 велосипеда. Мярката бе продиктувана от опита на други европейски градове, в които се доказа, че произволното паркиране на електрически тротинетки под наем създава трудности на пешеходците и на останалите участници в движението.</w:t>
      </w:r>
    </w:p>
    <w:p w:rsidR="000D03A0" w:rsidRPr="00E32F17" w:rsidRDefault="004E42DB" w:rsidP="00E32F17">
      <w:pPr>
        <w:pStyle w:val="a5"/>
        <w:numPr>
          <w:ilvl w:val="0"/>
          <w:numId w:val="39"/>
        </w:numPr>
        <w:tabs>
          <w:tab w:val="left" w:pos="426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Определяне на реда и условията за предоставяне и ползване</w:t>
      </w:r>
      <w:r w:rsidR="00343A64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</w:t>
      </w:r>
      <w:r w:rsidR="00E32F17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Например в София, </w:t>
      </w:r>
      <w:r w:rsidR="00E32F17">
        <w:rPr>
          <w:rFonts w:ascii="Times New Roman" w:hAnsi="Times New Roman" w:cs="Times New Roman"/>
          <w:sz w:val="24"/>
          <w:szCs w:val="24"/>
        </w:rPr>
        <w:t>п</w:t>
      </w:r>
      <w:r w:rsidR="00E32F17" w:rsidRPr="00E32F17">
        <w:rPr>
          <w:rFonts w:ascii="Times New Roman" w:hAnsi="Times New Roman" w:cs="Times New Roman"/>
          <w:sz w:val="24"/>
          <w:szCs w:val="24"/>
        </w:rPr>
        <w:t>роучване</w:t>
      </w:r>
      <w:r w:rsidR="00E32F17">
        <w:rPr>
          <w:rFonts w:ascii="Times New Roman" w:hAnsi="Times New Roman" w:cs="Times New Roman"/>
          <w:sz w:val="24"/>
          <w:szCs w:val="24"/>
        </w:rPr>
        <w:t>то</w:t>
      </w:r>
      <w:r w:rsidR="00E32F17" w:rsidRPr="00E32F17">
        <w:rPr>
          <w:rFonts w:ascii="Times New Roman" w:hAnsi="Times New Roman" w:cs="Times New Roman"/>
          <w:sz w:val="24"/>
          <w:szCs w:val="24"/>
        </w:rPr>
        <w:t xml:space="preserve"> на опита на други градове е довело до поставянето на условия към партньорите, предоставящи услугата „наем на електрически скутер“, като всичко това е описано в специално подготвения за целта от Столична община Меморандум за сътрудничество24 и подписан от фирмите (Партньори), доставчици на услугата </w:t>
      </w:r>
      <w:r w:rsidR="00E32F17">
        <w:rPr>
          <w:rFonts w:ascii="Times New Roman" w:hAnsi="Times New Roman" w:cs="Times New Roman"/>
          <w:sz w:val="24"/>
          <w:szCs w:val="24"/>
        </w:rPr>
        <w:t xml:space="preserve">„наем на </w:t>
      </w:r>
      <w:r w:rsidR="008B0E31">
        <w:rPr>
          <w:rFonts w:ascii="Times New Roman" w:hAnsi="Times New Roman" w:cs="Times New Roman"/>
          <w:sz w:val="24"/>
          <w:szCs w:val="24"/>
        </w:rPr>
        <w:t xml:space="preserve">електрически скутер“ - </w:t>
      </w:r>
      <w:r w:rsidR="00E32F17">
        <w:t>https://www.sofia-da.eu/images/documents/BG_Sofia_MoU.pdf</w:t>
      </w: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D7618" w:rsidRDefault="001D7618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1D7618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E43805">
      <w:rPr>
        <w:rFonts w:ascii="Calibri" w:eastAsia="Times New Roman" w:hAnsi="Calibri" w:cs="Times New Roman"/>
        <w:noProof/>
        <w:lang w:val="en-US"/>
      </w:rPr>
      <w:t>2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579B8B60" wp14:editId="053EBD71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52F64A2D" wp14:editId="4D888E0B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0ABE12D7" wp14:editId="38E58996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4503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1A87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4F10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E42DB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5A04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3DC"/>
    <w:rsid w:val="005E0FAD"/>
    <w:rsid w:val="005E17ED"/>
    <w:rsid w:val="005E42D4"/>
    <w:rsid w:val="005E477B"/>
    <w:rsid w:val="005E54E4"/>
    <w:rsid w:val="005E5C80"/>
    <w:rsid w:val="005E6837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235F"/>
    <w:rsid w:val="008838A5"/>
    <w:rsid w:val="008838F8"/>
    <w:rsid w:val="00885183"/>
    <w:rsid w:val="00895BEE"/>
    <w:rsid w:val="008A1CB2"/>
    <w:rsid w:val="008A492B"/>
    <w:rsid w:val="008A64C7"/>
    <w:rsid w:val="008A6DB5"/>
    <w:rsid w:val="008B0E31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21BE"/>
    <w:rsid w:val="009236C9"/>
    <w:rsid w:val="00925D4A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C5A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389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08C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C7922"/>
    <w:rsid w:val="00BD1DC3"/>
    <w:rsid w:val="00BD57AC"/>
    <w:rsid w:val="00BE01D8"/>
    <w:rsid w:val="00BE2E2B"/>
    <w:rsid w:val="00BE4DD2"/>
    <w:rsid w:val="00BE792A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C7E22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4A35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2F17"/>
    <w:rsid w:val="00E3469E"/>
    <w:rsid w:val="00E37C8C"/>
    <w:rsid w:val="00E43805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17AAD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2E7A-3A61-40B8-9B3B-5E7322E3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113</cp:revision>
  <cp:lastPrinted>2018-01-28T00:12:00Z</cp:lastPrinted>
  <dcterms:created xsi:type="dcterms:W3CDTF">2018-05-14T18:34:00Z</dcterms:created>
  <dcterms:modified xsi:type="dcterms:W3CDTF">2021-10-06T11:10:00Z</dcterms:modified>
</cp:coreProperties>
</file>