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644"/>
        <w:gridCol w:w="4645"/>
      </w:tblGrid>
      <w:tr w:rsidR="003D2B1D" w:rsidRPr="007D6E33" w:rsidTr="008C0E9F">
        <w:trPr>
          <w:cantSplit/>
        </w:trPr>
        <w:tc>
          <w:tcPr>
            <w:tcW w:w="4644" w:type="dxa"/>
          </w:tcPr>
          <w:p w:rsidR="003D2B1D" w:rsidRPr="007D6E33" w:rsidRDefault="008C0E9F" w:rsidP="008C0E9F">
            <w:r w:rsidRPr="007D6E33">
              <w:rPr>
                <w:noProof/>
                <w:lang w:val="en-US" w:eastAsia="en-US" w:bidi="ar-SA"/>
              </w:rPr>
              <mc:AlternateContent>
                <mc:Choice Requires="wps">
                  <w:drawing>
                    <wp:anchor distT="0" distB="0" distL="114300" distR="114300" simplePos="0" relativeHeight="251663360" behindDoc="1" locked="0" layoutInCell="0" allowOverlap="1" wp14:anchorId="0DD93105" wp14:editId="603A3B45">
                      <wp:simplePos x="0" y="0"/>
                      <wp:positionH relativeFrom="page">
                        <wp:posOffset>6767830</wp:posOffset>
                      </wp:positionH>
                      <wp:positionV relativeFrom="page">
                        <wp:posOffset>10079990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E9F" w:rsidRPr="008C0E9F" w:rsidRDefault="008C0E9F" w:rsidP="008C0E9F">
                                  <w:pPr>
                                    <w:jc w:val="center"/>
                                    <w:rPr>
                                      <w:rFonts w:ascii="Arial" w:hAnsi="Arial" w:cs="Arial"/>
                                      <w:b/>
                                      <w:bCs/>
                                      <w:sz w:val="48"/>
                                    </w:rPr>
                                  </w:pPr>
                                  <w:r>
                                    <w:rPr>
                                      <w:rFonts w:ascii="Arial" w:hAnsi="Arial"/>
                                      <w:b/>
                                      <w:sz w:val="48"/>
                                    </w:rPr>
                                    <w:t>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3105" id="_x0000_t202" coordsize="21600,21600" o:spt="202" path="m,l,21600r21600,l21600,xe">
                      <v:stroke joinstyle="miter"/>
                      <v:path gradientshapeok="t" o:connecttype="rect"/>
                    </v:shapetype>
                    <v:shape id="Text Box 3" o:spid="_x0000_s1026" type="#_x0000_t202" style="position:absolute;left:0;text-align:left;margin-left:532.9pt;margin-top:793.7pt;width:51pt;height:3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" o:allowincell="f" filled="f" stroked="f">
                      <v:textbox>
                        <w:txbxContent>
                          <w:p w:rsidR="008C0E9F" w:rsidRPr="008C0E9F" w:rsidRDefault="008C0E9F" w:rsidP="008C0E9F">
                            <w:pPr>
                              <w:jc w:val="center"/>
                              <w:rPr>
                                <w:rFonts w:ascii="Arial" w:hAnsi="Arial" w:cs="Arial"/>
                                <w:b/>
                                <w:bCs/>
                                <w:sz w:val="48"/>
                              </w:rPr>
                            </w:pPr>
                            <w:r>
                              <w:rPr>
                                <w:rFonts w:ascii="Arial" w:hAnsi="Arial"/>
                                <w:b/>
                                <w:sz w:val="48"/>
                              </w:rPr>
                              <w:t>BG</w:t>
                            </w:r>
                          </w:p>
                        </w:txbxContent>
                      </v:textbox>
                      <w10:wrap anchorx="page" anchory="page"/>
                    </v:shape>
                  </w:pict>
                </mc:Fallback>
              </mc:AlternateContent>
            </w:r>
            <w:r w:rsidRPr="007D6E33">
              <w:rPr>
                <w:noProof/>
                <w:lang w:val="en-US" w:eastAsia="en-US" w:bidi="ar-SA"/>
              </w:rPr>
              <w:drawing>
                <wp:anchor distT="0" distB="0" distL="114300" distR="114300" simplePos="0" relativeHeight="251661312" behindDoc="0" locked="0" layoutInCell="0" allowOverlap="0" wp14:anchorId="3500B795" wp14:editId="778FB015">
                  <wp:simplePos x="0" y="0"/>
                  <wp:positionH relativeFrom="margin">
                    <wp:posOffset>0</wp:posOffset>
                  </wp:positionH>
                  <wp:positionV relativeFrom="margin">
                    <wp:posOffset>9341485</wp:posOffset>
                  </wp:positionV>
                  <wp:extent cx="5760000" cy="266400"/>
                  <wp:effectExtent l="0" t="0" r="0" b="635"/>
                  <wp:wrapNone/>
                  <wp:docPr id="6" name="Picture 6"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26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1CE" w:rsidRPr="007D6E33">
              <w:rPr>
                <w:b/>
                <w:bCs/>
                <w:noProof/>
                <w:sz w:val="32"/>
                <w:lang w:val="en-US" w:eastAsia="en-US" w:bidi="ar-SA"/>
              </w:rPr>
              <w:drawing>
                <wp:inline distT="0" distB="0" distL="0" distR="0" wp14:anchorId="5E63177A" wp14:editId="1A889B48">
                  <wp:extent cx="1800000" cy="1559259"/>
                  <wp:effectExtent l="0" t="0" r="0" b="3175"/>
                  <wp:docPr id="1" name="Picture 1" descr="C:\Users\mreg\Music\New LOGO\Logo\logo_CoR-vertical-positive-bg-quadri_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g\Music\New LOGO\Logo\logo_CoR-vertical-positive-bg-quadri_M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559259"/>
                          </a:xfrm>
                          <a:prstGeom prst="rect">
                            <a:avLst/>
                          </a:prstGeom>
                          <a:noFill/>
                          <a:ln>
                            <a:noFill/>
                          </a:ln>
                        </pic:spPr>
                      </pic:pic>
                    </a:graphicData>
                  </a:graphic>
                </wp:inline>
              </w:drawing>
            </w:r>
          </w:p>
        </w:tc>
        <w:tc>
          <w:tcPr>
            <w:tcW w:w="4645" w:type="dxa"/>
          </w:tcPr>
          <w:p w:rsidR="003D2B1D" w:rsidRPr="007D6E33" w:rsidRDefault="003D2B1D" w:rsidP="008C0E9F"/>
        </w:tc>
      </w:tr>
      <w:tr w:rsidR="00165D30" w:rsidRPr="007D6E33" w:rsidTr="008C0E9F">
        <w:tblPrEx>
          <w:tblLook w:val="01E0" w:firstRow="1" w:lastRow="1" w:firstColumn="1" w:lastColumn="1" w:noHBand="0" w:noVBand="0"/>
        </w:tblPrEx>
        <w:tc>
          <w:tcPr>
            <w:tcW w:w="9289" w:type="dxa"/>
            <w:gridSpan w:val="2"/>
          </w:tcPr>
          <w:p w:rsidR="00165D30" w:rsidRPr="007D6E33" w:rsidRDefault="00414393" w:rsidP="008C0E9F">
            <w:pPr>
              <w:jc w:val="right"/>
            </w:pPr>
            <w:r w:rsidRPr="007D6E33">
              <w:rPr>
                <w:b/>
                <w:sz w:val="28"/>
              </w:rPr>
              <w:t>NAT-VI/015</w:t>
            </w:r>
          </w:p>
        </w:tc>
      </w:tr>
      <w:tr w:rsidR="00165D30" w:rsidRPr="007D6E33" w:rsidTr="008C0E9F">
        <w:tblPrEx>
          <w:tblLook w:val="01E0" w:firstRow="1" w:lastRow="1" w:firstColumn="1" w:lastColumn="1" w:noHBand="0" w:noVBand="0"/>
        </w:tblPrEx>
        <w:tc>
          <w:tcPr>
            <w:tcW w:w="9289" w:type="dxa"/>
            <w:gridSpan w:val="2"/>
          </w:tcPr>
          <w:p w:rsidR="00165D30" w:rsidRPr="007D6E33" w:rsidRDefault="00414393" w:rsidP="008C0E9F">
            <w:pPr>
              <w:jc w:val="center"/>
              <w:rPr>
                <w:b/>
                <w:bCs/>
                <w:sz w:val="28"/>
                <w:szCs w:val="28"/>
              </w:rPr>
            </w:pPr>
            <w:r w:rsidRPr="007D6E33">
              <w:rPr>
                <w:b/>
                <w:sz w:val="28"/>
              </w:rPr>
              <w:t>12-о заседание на Комисията, 2 февруари 2017 г.</w:t>
            </w:r>
          </w:p>
        </w:tc>
      </w:tr>
    </w:tbl>
    <w:p w:rsidR="00165D30" w:rsidRPr="007D6E33" w:rsidRDefault="00165D30" w:rsidP="008C0E9F"/>
    <w:p w:rsidR="00165D30" w:rsidRPr="007D6E33" w:rsidRDefault="00165D30" w:rsidP="008C0E9F"/>
    <w:p w:rsidR="003767B6" w:rsidRPr="007D6E33" w:rsidRDefault="003767B6" w:rsidP="00E1546A">
      <w:pPr>
        <w:jc w:val="center"/>
        <w:rPr>
          <w:b/>
          <w:sz w:val="28"/>
        </w:rPr>
      </w:pPr>
      <w:r w:rsidRPr="007D6E33">
        <w:rPr>
          <w:b/>
          <w:sz w:val="28"/>
        </w:rPr>
        <w:t>ПРОЕКТОСТАНОВИЩЕ</w:t>
      </w:r>
    </w:p>
    <w:p w:rsidR="003767B6" w:rsidRPr="007D6E33" w:rsidRDefault="003767B6" w:rsidP="00E1546A">
      <w:pPr>
        <w:jc w:val="center"/>
        <w:rPr>
          <w:b/>
          <w:sz w:val="28"/>
        </w:rPr>
      </w:pPr>
    </w:p>
    <w:p w:rsidR="003767B6" w:rsidRPr="007D6E33" w:rsidRDefault="00165D30" w:rsidP="00E1546A">
      <w:pPr>
        <w:jc w:val="center"/>
        <w:rPr>
          <w:b/>
          <w:sz w:val="28"/>
        </w:rPr>
      </w:pPr>
      <w:r w:rsidRPr="007D6E33">
        <w:rPr>
          <w:b/>
          <w:sz w:val="28"/>
        </w:rPr>
        <w:t>Комисия по природни ресурси</w:t>
      </w:r>
    </w:p>
    <w:p w:rsidR="003767B6" w:rsidRPr="007D6E33" w:rsidRDefault="003767B6" w:rsidP="00E1546A">
      <w:pPr>
        <w:jc w:val="center"/>
        <w:rPr>
          <w:b/>
          <w:sz w:val="28"/>
        </w:rPr>
      </w:pPr>
    </w:p>
    <w:p w:rsidR="00165D30" w:rsidRPr="007D6E33" w:rsidRDefault="00165D30" w:rsidP="00E1546A">
      <w:pPr>
        <w:jc w:val="center"/>
        <w:rPr>
          <w:b/>
          <w:sz w:val="28"/>
          <w:szCs w:val="28"/>
        </w:rPr>
      </w:pPr>
      <w:r w:rsidRPr="007D6E33">
        <w:rPr>
          <w:b/>
          <w:sz w:val="28"/>
        </w:rPr>
        <w:t>План за действие относно Рамковата програма от Сендай за намаляване на риска от бедствия за периода 2015 – 2030 г.</w:t>
      </w:r>
    </w:p>
    <w:p w:rsidR="00165D30" w:rsidRPr="007D6E33" w:rsidRDefault="00165D30" w:rsidP="008C0E9F"/>
    <w:p w:rsidR="00165D30" w:rsidRPr="007D6E33" w:rsidRDefault="00165D30" w:rsidP="008C0E9F"/>
    <w:p w:rsidR="00165D30" w:rsidRPr="007D6E33" w:rsidRDefault="00165D30" w:rsidP="008C0E9F"/>
    <w:tbl>
      <w:tblPr>
        <w:tblW w:w="0" w:type="auto"/>
        <w:tblLayout w:type="fixed"/>
        <w:tblLook w:val="01E0" w:firstRow="1" w:lastRow="1" w:firstColumn="1" w:lastColumn="1" w:noHBand="0" w:noVBand="0"/>
      </w:tblPr>
      <w:tblGrid>
        <w:gridCol w:w="9289"/>
      </w:tblGrid>
      <w:tr w:rsidR="00165D30" w:rsidRPr="007D6E33" w:rsidTr="008C0E9F">
        <w:tc>
          <w:tcPr>
            <w:tcW w:w="9289" w:type="dxa"/>
          </w:tcPr>
          <w:p w:rsidR="00A17022" w:rsidRPr="007D6E33" w:rsidRDefault="00A17022" w:rsidP="008C0E9F">
            <w:pPr>
              <w:jc w:val="center"/>
            </w:pPr>
            <w:r w:rsidRPr="007D6E33">
              <w:t>_____________</w:t>
            </w:r>
          </w:p>
          <w:p w:rsidR="00A17022" w:rsidRPr="007D6E33" w:rsidRDefault="00A17022" w:rsidP="008C0E9F">
            <w:pPr>
              <w:jc w:val="center"/>
            </w:pPr>
          </w:p>
          <w:p w:rsidR="00414393" w:rsidRPr="007D6E33" w:rsidRDefault="00165D30" w:rsidP="008C0E9F">
            <w:pPr>
              <w:jc w:val="center"/>
              <w:rPr>
                <w:b/>
              </w:rPr>
            </w:pPr>
            <w:r w:rsidRPr="007D6E33">
              <w:t xml:space="preserve">Докладчик: </w:t>
            </w:r>
            <w:r w:rsidRPr="007D6E33">
              <w:rPr>
                <w:b/>
              </w:rPr>
              <w:t>Adam Banaszak (PL/EКР)</w:t>
            </w:r>
            <w:r w:rsidRPr="007D6E33">
              <w:t>,</w:t>
            </w:r>
          </w:p>
          <w:p w:rsidR="00A17022" w:rsidRPr="007D6E33" w:rsidRDefault="00B70113" w:rsidP="008C0E9F">
            <w:pPr>
              <w:jc w:val="center"/>
            </w:pPr>
            <w:bookmarkStart w:id="0" w:name="_GoBack"/>
            <w:bookmarkEnd w:id="0"/>
            <w:r w:rsidRPr="007D6E33">
              <w:t>заместник-председател на Регионалната асамблея на Куявско-Поморското воеводство</w:t>
            </w:r>
          </w:p>
          <w:p w:rsidR="00165D30" w:rsidRPr="007D6E33" w:rsidRDefault="00A17022" w:rsidP="008C0E9F">
            <w:pPr>
              <w:jc w:val="center"/>
            </w:pPr>
            <w:r w:rsidRPr="007D6E33">
              <w:t>_____________</w:t>
            </w:r>
            <w:r w:rsidR="00F3285A" w:rsidRPr="007D6E33">
              <w:t xml:space="preserve"> </w:t>
            </w:r>
            <w:r w:rsidRPr="007D6E33">
              <w:br/>
            </w:r>
          </w:p>
        </w:tc>
      </w:tr>
    </w:tbl>
    <w:p w:rsidR="00165D30" w:rsidRPr="007D6E33" w:rsidRDefault="00165D30" w:rsidP="008C0E9F"/>
    <w:p w:rsidR="00165D30" w:rsidRPr="007D6E33" w:rsidRDefault="00165D30" w:rsidP="008C0E9F"/>
    <w:p w:rsidR="00165D30" w:rsidRPr="007D6E33" w:rsidRDefault="00165D30" w:rsidP="008C0E9F"/>
    <w:p w:rsidR="00165D30" w:rsidRPr="007D6E33" w:rsidRDefault="00165D30" w:rsidP="008C0E9F"/>
    <w:p w:rsidR="00165D30" w:rsidRPr="007D6E33" w:rsidRDefault="00165D30" w:rsidP="008C0E9F"/>
    <w:p w:rsidR="00165D30" w:rsidRPr="007D6E33" w:rsidRDefault="00165D30" w:rsidP="008C0E9F"/>
    <w:p w:rsidR="00165D30" w:rsidRPr="007D6E33" w:rsidRDefault="00165D30" w:rsidP="008C0E9F"/>
    <w:p w:rsidR="00165D30" w:rsidRPr="007D6E33" w:rsidRDefault="00165D30" w:rsidP="008C0E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9"/>
      </w:tblGrid>
      <w:tr w:rsidR="00165D30" w:rsidRPr="007D6E33" w:rsidTr="008C0E9F">
        <w:tc>
          <w:tcPr>
            <w:tcW w:w="9289" w:type="dxa"/>
          </w:tcPr>
          <w:p w:rsidR="00165D30" w:rsidRPr="007D6E33" w:rsidRDefault="003D2B1D" w:rsidP="00823A14">
            <w:r w:rsidRPr="007D6E33">
              <w:t xml:space="preserve">Настоящият документ ще бъде разгледан на заседанието на </w:t>
            </w:r>
            <w:r w:rsidRPr="007D6E33">
              <w:rPr>
                <w:b/>
              </w:rPr>
              <w:t xml:space="preserve">Комисията по природни ресурси, </w:t>
            </w:r>
            <w:r w:rsidRPr="007D6E33">
              <w:t xml:space="preserve">което ще се проведе </w:t>
            </w:r>
            <w:r w:rsidRPr="007D6E33">
              <w:rPr>
                <w:b/>
              </w:rPr>
              <w:t>на 2 февруари 2017 г. от 11,00 ч. до 18,30 ч.</w:t>
            </w:r>
            <w:r w:rsidRPr="007D6E33">
              <w:t xml:space="preserve"> </w:t>
            </w:r>
            <w:r w:rsidRPr="007D6E33">
              <w:rPr>
                <w:color w:val="000000"/>
              </w:rPr>
              <w:t xml:space="preserve">Предвид необходимото време за превод, измененията трябва да бъдат изпратени </w:t>
            </w:r>
            <w:r w:rsidRPr="007D6E33">
              <w:t xml:space="preserve">чрез онлайн инструмента за внасяне на изменения (достъпен чрез Портала на членовете: </w:t>
            </w:r>
            <w:hyperlink r:id="rId14">
              <w:r w:rsidRPr="007D6E33">
                <w:rPr>
                  <w:rStyle w:val="Hyperlink"/>
                  <w:rFonts w:eastAsiaTheme="majorEastAsia"/>
                </w:rPr>
                <w:t>https://memportal.cor.europa.eu/</w:t>
              </w:r>
            </w:hyperlink>
            <w:r w:rsidRPr="007D6E33">
              <w:t>) най-късно</w:t>
            </w:r>
            <w:r w:rsidRPr="007D6E33">
              <w:rPr>
                <w:b/>
                <w:color w:val="000000"/>
              </w:rPr>
              <w:t xml:space="preserve"> до 15,00 ч.</w:t>
            </w:r>
            <w:r w:rsidRPr="007D6E33">
              <w:t xml:space="preserve"> </w:t>
            </w:r>
            <w:r w:rsidRPr="007D6E33">
              <w:rPr>
                <w:b/>
              </w:rPr>
              <w:t>(брюкселско време)</w:t>
            </w:r>
            <w:r w:rsidRPr="007D6E33">
              <w:rPr>
                <w:b/>
                <w:color w:val="000000"/>
              </w:rPr>
              <w:t xml:space="preserve"> на 20 януари 2017 г.</w:t>
            </w:r>
            <w:r w:rsidRPr="007D6E33">
              <w:t xml:space="preserve">. Ръководството за потребителя се намира на адрес: https://memportal.cor.europa.eu/. Ръководството за потребителя се намира на адрес: </w:t>
            </w:r>
            <w:hyperlink r:id="rId15">
              <w:r w:rsidRPr="007D6E33">
                <w:rPr>
                  <w:rStyle w:val="Hyperlink"/>
                  <w:rFonts w:eastAsiaTheme="majorEastAsia"/>
                </w:rPr>
                <w:t>https://memportal.cor.europa.eu/</w:t>
              </w:r>
            </w:hyperlink>
            <w:r w:rsidRPr="007D6E33">
              <w:t>.</w:t>
            </w:r>
          </w:p>
        </w:tc>
      </w:tr>
    </w:tbl>
    <w:p w:rsidR="009F0607" w:rsidRPr="007D6E33" w:rsidRDefault="009F0607" w:rsidP="008C0E9F">
      <w:pPr>
        <w:sectPr w:rsidR="009F0607" w:rsidRPr="007D6E33" w:rsidSect="00F3285A">
          <w:footerReference w:type="default" r:id="rId16"/>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00165D30" w:rsidRPr="007D6E33" w:rsidTr="008C0E9F">
        <w:trPr>
          <w:trHeight w:val="12474"/>
        </w:trPr>
        <w:tc>
          <w:tcPr>
            <w:tcW w:w="9289" w:type="dxa"/>
            <w:vAlign w:val="bottom"/>
          </w:tcPr>
          <w:p w:rsidR="00165D30" w:rsidRPr="007D6E33" w:rsidRDefault="00165D30" w:rsidP="008C0E9F">
            <w:pPr>
              <w:rPr>
                <w:u w:val="single"/>
              </w:rPr>
            </w:pPr>
            <w:r w:rsidRPr="007D6E33">
              <w:rPr>
                <w:u w:val="single"/>
              </w:rPr>
              <w:lastRenderedPageBreak/>
              <w:t>Отправен документ</w:t>
            </w:r>
          </w:p>
          <w:p w:rsidR="00121ACB" w:rsidRPr="007D6E33" w:rsidRDefault="00121ACB" w:rsidP="008C0E9F">
            <w:pPr>
              <w:rPr>
                <w:u w:val="single"/>
              </w:rPr>
            </w:pPr>
          </w:p>
          <w:p w:rsidR="00165D30" w:rsidRPr="007D6E33" w:rsidRDefault="00814764" w:rsidP="00F3285A">
            <w:r w:rsidRPr="007D6E33">
              <w:t>Работен документ на службите на Комисията – План за действие относно Рамковата програма от Сендай за намаляване на риска от бедствия за периода 2015 – 2030 г. – Основаващ се на информация относно риска подход към бедствията във всички политики на ЕС, SWD</w:t>
            </w:r>
            <w:r w:rsidR="00F3285A" w:rsidRPr="007D6E33">
              <w:t> </w:t>
            </w:r>
            <w:r w:rsidRPr="007D6E33">
              <w:t>(2016)</w:t>
            </w:r>
            <w:r w:rsidR="00F3285A" w:rsidRPr="007D6E33">
              <w:t> </w:t>
            </w:r>
            <w:r w:rsidRPr="007D6E33">
              <w:t>205</w:t>
            </w:r>
            <w:r w:rsidR="00F3285A" w:rsidRPr="007D6E33">
              <w:t> </w:t>
            </w:r>
            <w:r w:rsidRPr="007D6E33">
              <w:t>final</w:t>
            </w:r>
          </w:p>
        </w:tc>
      </w:tr>
    </w:tbl>
    <w:p w:rsidR="00165D30" w:rsidRPr="007D6E33" w:rsidRDefault="00165D30" w:rsidP="008C0E9F"/>
    <w:p w:rsidR="00165D30" w:rsidRPr="007D6E33" w:rsidRDefault="00165D30" w:rsidP="008C0E9F">
      <w:pPr>
        <w:jc w:val="center"/>
        <w:rPr>
          <w:b/>
        </w:rPr>
      </w:pPr>
      <w:r w:rsidRPr="007D6E33">
        <w:br w:type="page"/>
      </w:r>
      <w:r w:rsidRPr="007D6E33">
        <w:rPr>
          <w:b/>
        </w:rPr>
        <w:lastRenderedPageBreak/>
        <w:t xml:space="preserve">Проектостановище на Комисията по природни ресурси – План за действие относно Рамковата програма от Сендай за намаляване на риска от </w:t>
      </w:r>
      <w:r w:rsidR="00F3285A" w:rsidRPr="007D6E33">
        <w:rPr>
          <w:b/>
        </w:rPr>
        <w:t xml:space="preserve">бедствия за периода 2015 </w:t>
      </w:r>
      <w:r w:rsidR="00F3285A" w:rsidRPr="007D6E33">
        <w:rPr>
          <w:b/>
        </w:rPr>
        <w:noBreakHyphen/>
        <w:t> 2030 </w:t>
      </w:r>
      <w:r w:rsidRPr="007D6E33">
        <w:rPr>
          <w:b/>
        </w:rPr>
        <w:t>г. Основан на информация относно риска подход към бедствията във всички политики на ЕС</w:t>
      </w:r>
    </w:p>
    <w:p w:rsidR="002231E9" w:rsidRPr="007D6E33" w:rsidRDefault="002231E9" w:rsidP="008C0E9F"/>
    <w:p w:rsidR="00822C6C" w:rsidRPr="007D6E33" w:rsidRDefault="00822C6C" w:rsidP="00171ABA">
      <w:pPr>
        <w:numPr>
          <w:ilvl w:val="0"/>
          <w:numId w:val="23"/>
        </w:numPr>
        <w:ind w:left="567" w:hanging="567"/>
        <w:rPr>
          <w:b/>
          <w:bCs/>
        </w:rPr>
      </w:pPr>
      <w:r w:rsidRPr="007D6E33">
        <w:rPr>
          <w:b/>
        </w:rPr>
        <w:t>ПОЛИТИЧЕСКИ ПРЕПОРЪКИ</w:t>
      </w:r>
    </w:p>
    <w:p w:rsidR="00822C6C" w:rsidRPr="007D6E33" w:rsidRDefault="00822C6C" w:rsidP="008C0E9F"/>
    <w:p w:rsidR="00EE064A" w:rsidRPr="007D6E33" w:rsidRDefault="00EE064A" w:rsidP="008C0E9F">
      <w:r w:rsidRPr="007D6E33">
        <w:t>ЕВРОПЕЙСКИЯТ КОМИТЕТ НА РЕГИОНИТЕ</w:t>
      </w:r>
    </w:p>
    <w:p w:rsidR="00EE064A" w:rsidRPr="007D6E33" w:rsidRDefault="00EE064A" w:rsidP="008C0E9F"/>
    <w:p w:rsidR="002231E9" w:rsidRPr="007D6E33" w:rsidRDefault="002231E9" w:rsidP="008C0E9F">
      <w:pPr>
        <w:pStyle w:val="ListParagraph"/>
        <w:numPr>
          <w:ilvl w:val="0"/>
          <w:numId w:val="24"/>
        </w:numPr>
        <w:ind w:left="567" w:hanging="567"/>
      </w:pPr>
      <w:r w:rsidRPr="007D6E33">
        <w:t>приветства работния документ на службите на Комисията относно Плана за действие на Рамковата програма от Сендай за намаляване на риска от бедствия за периода 2015 – 2030 г., тъй като в него изрично се подчертава ролята на местните и регионалните власти в подкрепа на усилията на държавите за намаляване на рисковете от бедствия;</w:t>
      </w:r>
    </w:p>
    <w:p w:rsidR="002231E9" w:rsidRPr="007D6E33" w:rsidRDefault="002231E9" w:rsidP="008C0E9F"/>
    <w:p w:rsidR="002231E9" w:rsidRPr="007D6E33" w:rsidRDefault="002231E9" w:rsidP="008C0E9F">
      <w:pPr>
        <w:pStyle w:val="ListParagraph"/>
        <w:numPr>
          <w:ilvl w:val="0"/>
          <w:numId w:val="24"/>
        </w:numPr>
        <w:ind w:left="567" w:hanging="567"/>
      </w:pPr>
      <w:r w:rsidRPr="007D6E33">
        <w:t>подчертава факта, че устойчивостта спрямо бедствия е един от основните аспекти на устойчивото развитие. Във връзка с това призовава институциите на Европейския съюз да гарантират, че този принцип е един от централните стълбове на бъдещите мерки за устойчиво развитие в Европа и да го вземат предвид в бъдещите фондове и проекти на ЕС;</w:t>
      </w:r>
    </w:p>
    <w:p w:rsidR="008C0E9F" w:rsidRPr="007D6E33" w:rsidRDefault="008C0E9F" w:rsidP="008C0E9F"/>
    <w:p w:rsidR="002231E9" w:rsidRPr="007D6E33" w:rsidRDefault="002231E9" w:rsidP="008C0E9F">
      <w:pPr>
        <w:pStyle w:val="ListParagraph"/>
        <w:numPr>
          <w:ilvl w:val="0"/>
          <w:numId w:val="24"/>
        </w:numPr>
        <w:ind w:left="567" w:hanging="567"/>
      </w:pPr>
      <w:r w:rsidRPr="007D6E33">
        <w:t xml:space="preserve">отбелязва, че интензивността на бедствия се увеличи значително през последното десетилетие. Всяка година десетки хиляди хора по целия свят губят живота си в резултат на природни бедствия и преките разходи за страните от ЕС възлизат на десетки милиарди евро, като се наблюдава тенденцията за по-висок брой смъртни случаи в развиващите се страни и по-големи икономически загуби в развитите икономики; </w:t>
      </w:r>
    </w:p>
    <w:p w:rsidR="002231E9" w:rsidRPr="007D6E33" w:rsidRDefault="002231E9" w:rsidP="008C0E9F"/>
    <w:p w:rsidR="002231E9" w:rsidRPr="007D6E33" w:rsidRDefault="002231E9" w:rsidP="008C0E9F">
      <w:pPr>
        <w:pStyle w:val="ListParagraph"/>
        <w:numPr>
          <w:ilvl w:val="0"/>
          <w:numId w:val="24"/>
        </w:numPr>
        <w:ind w:left="567" w:hanging="567"/>
      </w:pPr>
      <w:r w:rsidRPr="007D6E33">
        <w:t>одобрява подкрепата за националните, регионални и местни стратегии и планове за управление на риска, които целят, наред с другото, въвеждането на цели, целеви показатели и срокове, и подчертава, че е необходимо да се направи оценка на съществуващите стратегии и планове, за да се гарантира съответствието им с Рамковата програма от Сендай;</w:t>
      </w:r>
    </w:p>
    <w:p w:rsidR="002231E9" w:rsidRPr="007D6E33" w:rsidRDefault="002231E9" w:rsidP="008C0E9F"/>
    <w:p w:rsidR="002231E9" w:rsidRPr="007D6E33" w:rsidRDefault="002231E9" w:rsidP="008C0E9F">
      <w:pPr>
        <w:pStyle w:val="ListParagraph"/>
        <w:numPr>
          <w:ilvl w:val="0"/>
          <w:numId w:val="24"/>
        </w:numPr>
        <w:ind w:left="567" w:hanging="567"/>
      </w:pPr>
      <w:r w:rsidRPr="007D6E33">
        <w:t>предлага степента на устойчивост спрямо природни бедствия да бъде вземана под внимание при оценката на възможността за използване на фондовете на ЕС за подпомагане на инвестициите; подчертава, че всички проекти на ЕС, свързани с изграждане на нова инфраструктура (независимо дали се реализират по линия на фондове на регионалната политика или с помощта на Европейския фонд за стратегически инвестиции), трябва да бъдат устойчиви на бедствия; призовава този принцип да бъде упоменат изрично в правилата за използването на фондовете;</w:t>
      </w:r>
    </w:p>
    <w:p w:rsidR="002231E9" w:rsidRPr="007D6E33" w:rsidRDefault="002231E9" w:rsidP="008C0E9F">
      <w:pPr>
        <w:ind w:left="567" w:hanging="567"/>
      </w:pPr>
    </w:p>
    <w:p w:rsidR="002231E9" w:rsidRPr="007D6E33" w:rsidRDefault="002231E9" w:rsidP="008C0E9F">
      <w:pPr>
        <w:numPr>
          <w:ilvl w:val="0"/>
          <w:numId w:val="24"/>
        </w:numPr>
        <w:ind w:left="567" w:hanging="567"/>
      </w:pPr>
      <w:r w:rsidRPr="007D6E33">
        <w:t>привлича вниманието върху необходимостта да се заделят достатъчно финансови средства за намаляване на риска от бедствия на местно и национално равнище. Местните власти се нуждаят от адекватни ресурси и правомощия за вземане на решения;</w:t>
      </w:r>
    </w:p>
    <w:p w:rsidR="002231E9" w:rsidRPr="007D6E33" w:rsidRDefault="002231E9" w:rsidP="008C0E9F">
      <w:pPr>
        <w:ind w:left="567" w:hanging="567"/>
      </w:pPr>
    </w:p>
    <w:p w:rsidR="002231E9" w:rsidRPr="007D6E33" w:rsidRDefault="002231E9" w:rsidP="008C0E9F">
      <w:pPr>
        <w:numPr>
          <w:ilvl w:val="0"/>
          <w:numId w:val="24"/>
        </w:numPr>
        <w:ind w:left="567" w:hanging="567"/>
      </w:pPr>
      <w:r w:rsidRPr="007D6E33">
        <w:t xml:space="preserve">подкрепя категорично предложението на Европейската комисия от 30 ноември 2016 г. (COM(2016) 778), предвиждащо създаването на отделна приоритетна ос, с което ще се </w:t>
      </w:r>
      <w:r w:rsidRPr="007D6E33">
        <w:lastRenderedPageBreak/>
        <w:t xml:space="preserve">премахне изискването за национално съфинансиране на възстановителните работи, подкрепяни от ЕФРР в рамките на оперативна програма в отговор на големи или регионални природни бедствия; </w:t>
      </w:r>
    </w:p>
    <w:p w:rsidR="002231E9" w:rsidRPr="007D6E33" w:rsidRDefault="002231E9" w:rsidP="008C0E9F"/>
    <w:p w:rsidR="002231E9" w:rsidRPr="007D6E33" w:rsidRDefault="002231E9" w:rsidP="008C0E9F">
      <w:pPr>
        <w:numPr>
          <w:ilvl w:val="0"/>
          <w:numId w:val="24"/>
        </w:numPr>
        <w:ind w:left="567" w:hanging="567"/>
      </w:pPr>
      <w:r w:rsidRPr="007D6E33">
        <w:t>подчертава, че местните и регионалните власти имат ключова роля в управлението на риска от бедствия и управлението на бедствия и отбелязва ролята и значението на местните и регионалните платформи за смекчаването на риска от бедствия и легитимната им роля в този процес;</w:t>
      </w:r>
    </w:p>
    <w:p w:rsidR="002231E9" w:rsidRPr="007D6E33" w:rsidRDefault="002231E9" w:rsidP="008C0E9F"/>
    <w:p w:rsidR="002231E9" w:rsidRPr="007D6E33" w:rsidRDefault="002231E9" w:rsidP="008C0E9F">
      <w:pPr>
        <w:numPr>
          <w:ilvl w:val="0"/>
          <w:numId w:val="24"/>
        </w:numPr>
        <w:ind w:left="567" w:hanging="567"/>
      </w:pPr>
      <w:r w:rsidRPr="007D6E33">
        <w:t>отбелязва, че оптимизирането на управлението на рисковете зависи от сътрудничеството между местните власти и заинтересованите страни на национално равнище, от една страна, и заинтересованите страни от частния сектор, включително застрахователните дружества, от друга;</w:t>
      </w:r>
    </w:p>
    <w:p w:rsidR="002231E9" w:rsidRPr="007D6E33" w:rsidRDefault="002231E9" w:rsidP="008C0E9F"/>
    <w:p w:rsidR="002231E9" w:rsidRPr="007D6E33" w:rsidRDefault="002231E9" w:rsidP="008C0E9F">
      <w:pPr>
        <w:numPr>
          <w:ilvl w:val="0"/>
          <w:numId w:val="24"/>
        </w:numPr>
        <w:ind w:left="567" w:hanging="567"/>
      </w:pPr>
      <w:r w:rsidRPr="007D6E33">
        <w:t>отчита факта, че проблемът с природните бедствия е неразделна част от дейностите за справяне с последиците от изменението на климата, и че двете области трябва да бъдат разглеждани заедно;</w:t>
      </w:r>
    </w:p>
    <w:p w:rsidR="002F6BEB" w:rsidRPr="007D6E33" w:rsidRDefault="002F6BEB" w:rsidP="008C0E9F">
      <w:pPr>
        <w:ind w:left="567" w:hanging="567"/>
      </w:pPr>
    </w:p>
    <w:p w:rsidR="002F6BEB" w:rsidRPr="007D6E33" w:rsidRDefault="002F6BEB" w:rsidP="008C0E9F">
      <w:pPr>
        <w:pStyle w:val="ListParagraph"/>
        <w:numPr>
          <w:ilvl w:val="0"/>
          <w:numId w:val="24"/>
        </w:numPr>
        <w:ind w:left="567" w:hanging="567"/>
      </w:pPr>
      <w:r w:rsidRPr="007D6E33">
        <w:t xml:space="preserve">приветства факта, че в публикуваното през ноември 2016 г. съобщение на Комисията COM(2016) 739 се упоменава необходимостта да се вземе предвид намаляването на риска от природни бедствия, но изразява съжаление, че в документа не се изтъква, че устойчивостта спрямо бедствия е един от основополагащите елементи на устойчивото развитие в Европейския съюз; </w:t>
      </w:r>
    </w:p>
    <w:p w:rsidR="002F6BEB" w:rsidRPr="007D6E33" w:rsidRDefault="002F6BEB" w:rsidP="008C0E9F">
      <w:pPr>
        <w:ind w:left="567" w:hanging="567"/>
      </w:pPr>
    </w:p>
    <w:p w:rsidR="002231E9" w:rsidRPr="007D6E33" w:rsidRDefault="002231E9" w:rsidP="008C0E9F">
      <w:pPr>
        <w:keepNext/>
        <w:rPr>
          <w:b/>
        </w:rPr>
      </w:pPr>
      <w:r w:rsidRPr="007D6E33">
        <w:rPr>
          <w:b/>
        </w:rPr>
        <w:t>РАЗБИРАНЕ НА ПРИРОДНИТЕ БЕДСТВИЯ</w:t>
      </w:r>
    </w:p>
    <w:p w:rsidR="002231E9" w:rsidRPr="007D6E33" w:rsidRDefault="002231E9" w:rsidP="008C0E9F">
      <w:pPr>
        <w:keepNext/>
      </w:pPr>
    </w:p>
    <w:p w:rsidR="002231E9" w:rsidRPr="007D6E33" w:rsidRDefault="002231E9" w:rsidP="008C0E9F">
      <w:pPr>
        <w:numPr>
          <w:ilvl w:val="0"/>
          <w:numId w:val="24"/>
        </w:numPr>
        <w:ind w:left="567" w:hanging="567"/>
      </w:pPr>
      <w:r w:rsidRPr="007D6E33">
        <w:t>подчертава моралното задължение да се гарантира, че проектите на ЕС не излагат човешкия живот на риск чрез финансиране на инфраструктурни проекти, които може да не са устойчиви спрямо бедствия; освен това изтъква, че изграждането на устойчива на бедствия инфраструктура е финансово по-ефективно отколкото модернизирането на инфраструктура, която не отговаря на стандартите за безопасност;</w:t>
      </w:r>
    </w:p>
    <w:p w:rsidR="002231E9" w:rsidRPr="007D6E33" w:rsidRDefault="002231E9" w:rsidP="008C0E9F"/>
    <w:p w:rsidR="002231E9" w:rsidRPr="007D6E33" w:rsidRDefault="002231E9" w:rsidP="008C0E9F">
      <w:pPr>
        <w:pStyle w:val="ListParagraph"/>
        <w:numPr>
          <w:ilvl w:val="0"/>
          <w:numId w:val="24"/>
        </w:numPr>
        <w:ind w:left="567" w:hanging="567"/>
      </w:pPr>
      <w:r w:rsidRPr="007D6E33">
        <w:t xml:space="preserve">подкрепя междусекторния подход на плана за действие на ЕК, който дава възможност целите на Рамковата програма от Сендай да бъдат интегрирани в други политики на ЕС, като по този начин се преодолее несъответствието между глобалната Рамкова програма от Сендай и Механизма на ЕС за гражданска защита; </w:t>
      </w:r>
    </w:p>
    <w:p w:rsidR="002231E9" w:rsidRPr="007D6E33" w:rsidRDefault="002231E9" w:rsidP="008C0E9F"/>
    <w:p w:rsidR="002231E9" w:rsidRPr="007D6E33" w:rsidRDefault="002231E9" w:rsidP="008C0E9F">
      <w:pPr>
        <w:pStyle w:val="ListParagraph"/>
        <w:numPr>
          <w:ilvl w:val="0"/>
          <w:numId w:val="24"/>
        </w:numPr>
        <w:ind w:left="567" w:hanging="567"/>
      </w:pPr>
      <w:r w:rsidRPr="007D6E33">
        <w:t>отбелязва, че планът за действие на ЕК отчита приноса не само на политиката в областта на гражданската защита, а на всички политики и практики на ЕС за изпълнение на приоритетите, договорени на Третата световна конференция на ООН за намаляване на риска от бедствия;</w:t>
      </w:r>
    </w:p>
    <w:p w:rsidR="002231E9" w:rsidRPr="007D6E33" w:rsidRDefault="002231E9" w:rsidP="008C0E9F"/>
    <w:p w:rsidR="002231E9" w:rsidRPr="007D6E33" w:rsidRDefault="002231E9" w:rsidP="008C0E9F">
      <w:pPr>
        <w:pStyle w:val="ListParagraph"/>
        <w:numPr>
          <w:ilvl w:val="0"/>
          <w:numId w:val="24"/>
        </w:numPr>
        <w:ind w:left="567" w:hanging="567"/>
      </w:pPr>
      <w:r w:rsidRPr="007D6E33">
        <w:t xml:space="preserve">признава, че в основата на проактивен, вместо реактивен подход за изготвяне на политики, основан на информация за риска от бедствия, е създаването на петгодишни планове за действие, които следва да бъдат насочени към мобилизране на цялото общество и към насърчаване и подобряване на познаването на рисковете, свързаните с </w:t>
      </w:r>
      <w:r w:rsidRPr="007D6E33">
        <w:lastRenderedPageBreak/>
        <w:t xml:space="preserve">тях инвестиции, на готовността за справяне с бедствия и на устойчивостта спрямо тях, както и към укрепване на приоритетите на ЕС в областта на конкурентоспособността, научните изследвания и иновациите и подпомагане на устойчиво развитие, устояващо на бедствия; </w:t>
      </w:r>
    </w:p>
    <w:p w:rsidR="002231E9" w:rsidRPr="007D6E33" w:rsidRDefault="002231E9" w:rsidP="008C0E9F"/>
    <w:p w:rsidR="002231E9" w:rsidRPr="007D6E33" w:rsidRDefault="002231E9" w:rsidP="008C0E9F">
      <w:pPr>
        <w:pStyle w:val="ListParagraph"/>
        <w:numPr>
          <w:ilvl w:val="0"/>
          <w:numId w:val="24"/>
        </w:numPr>
        <w:ind w:left="567" w:hanging="567"/>
      </w:pPr>
      <w:r w:rsidRPr="007D6E33">
        <w:t>отбелязва, че проектите, подкрепяни и изпълнявани в рамките на плана, могат да спомогнат за създаването на полезни взаимодействия между намаляването на риска от бедствия и стратегиите за борба с изменението на климата и да допринесат за укрепването на капацитета на градовете да се справят с рисковете от бедствия;</w:t>
      </w:r>
    </w:p>
    <w:p w:rsidR="00124F57" w:rsidRPr="007D6E33" w:rsidRDefault="00124F57" w:rsidP="00124F57"/>
    <w:p w:rsidR="002231E9" w:rsidRPr="007D6E33" w:rsidRDefault="002231E9" w:rsidP="008C0E9F">
      <w:pPr>
        <w:pStyle w:val="ListParagraph"/>
        <w:numPr>
          <w:ilvl w:val="0"/>
          <w:numId w:val="24"/>
        </w:numPr>
        <w:ind w:left="567" w:hanging="567"/>
      </w:pPr>
      <w:r w:rsidRPr="007D6E33">
        <w:t>препоръчва да се изготвят планове за действие в съответствие с други международни споразумения и процеси, сключени или изпълнявани през 2015 г. и 2016 г., включително Програмата до 2030 г. за устойчиво развитие, Програмата за действие от Адис Абеба за финансиране на развитието, Парижкото споразумение относно изменението на климата (COP21), Световната среща на върха по хуманитарните въпроси и новата програма за градовете, която ще бъде приета</w:t>
      </w:r>
      <w:r w:rsidR="00BE5238" w:rsidRPr="007D6E33">
        <w:t xml:space="preserve"> на конференцията „Хабитат III“;</w:t>
      </w:r>
    </w:p>
    <w:p w:rsidR="002231E9" w:rsidRPr="007D6E33" w:rsidRDefault="002231E9" w:rsidP="008C0E9F"/>
    <w:p w:rsidR="002231E9" w:rsidRPr="007D6E33" w:rsidRDefault="002231E9" w:rsidP="008C0E9F">
      <w:pPr>
        <w:pStyle w:val="ListParagraph"/>
        <w:numPr>
          <w:ilvl w:val="0"/>
          <w:numId w:val="24"/>
        </w:numPr>
        <w:ind w:left="567" w:hanging="567"/>
      </w:pPr>
      <w:r w:rsidRPr="007D6E33">
        <w:t>подчертава важната роля на сътрудничеството с частния сектор по отношение на събирането и обмена на данни за загубите и щетите, както и на укрепването на връзките между стратегиите за управление на риска от бедствия, адаптирането към изменението на климата и биологичното разнообразие;</w:t>
      </w:r>
    </w:p>
    <w:p w:rsidR="002231E9" w:rsidRPr="007D6E33" w:rsidRDefault="002231E9" w:rsidP="008C0E9F"/>
    <w:p w:rsidR="002231E9" w:rsidRPr="007D6E33" w:rsidRDefault="002231E9" w:rsidP="008C0E9F">
      <w:pPr>
        <w:pStyle w:val="ListParagraph"/>
        <w:numPr>
          <w:ilvl w:val="0"/>
          <w:numId w:val="24"/>
        </w:numPr>
        <w:ind w:left="567" w:hanging="567"/>
      </w:pPr>
      <w:r w:rsidRPr="007D6E33">
        <w:t>изтъква, че е важно да се гарантира, че всички финансови инструменти на ЕС насърчават инвестициите, основаващи се на устойчивост спрямо риска, и подчертава подкрепата си за системите за ранно предупреждение и за подхода за „по-добро повторно изграждане“ при възстановителни работи след бедствия;</w:t>
      </w:r>
    </w:p>
    <w:p w:rsidR="002231E9" w:rsidRPr="007D6E33" w:rsidRDefault="002231E9" w:rsidP="008C0E9F"/>
    <w:p w:rsidR="002231E9" w:rsidRPr="007D6E33" w:rsidRDefault="002231E9" w:rsidP="008C0E9F">
      <w:pPr>
        <w:rPr>
          <w:b/>
        </w:rPr>
      </w:pPr>
      <w:r w:rsidRPr="007D6E33">
        <w:rPr>
          <w:b/>
        </w:rPr>
        <w:t>МЕСТНИТЕ И РЕГИОНАЛНИТЕ ВЛАСТИ КАТО КЛЮЧОВИ ПАРТНЬОРИ ЗА СМЕКЧАВАНЕТО НА БЕДСТВИЯТА</w:t>
      </w:r>
    </w:p>
    <w:p w:rsidR="002231E9" w:rsidRPr="007D6E33" w:rsidRDefault="002231E9" w:rsidP="008C0E9F"/>
    <w:p w:rsidR="002231E9" w:rsidRPr="007D6E33" w:rsidRDefault="002231E9" w:rsidP="008C0E9F">
      <w:pPr>
        <w:pStyle w:val="ListParagraph"/>
        <w:numPr>
          <w:ilvl w:val="0"/>
          <w:numId w:val="24"/>
        </w:numPr>
        <w:ind w:left="567" w:hanging="567"/>
      </w:pPr>
      <w:r w:rsidRPr="007D6E33">
        <w:t>подчертава, че местните и регионалните власти носят институционална и политическа отговорност за защитата на населението и са на първа линия, що се отнася до реакцията при кризисни ситуации, за осигуряване на основни услуги и надзор и управление на възникващи бедствия. Те са отговорни за превенцията, организирането на незабавни операции за реагиране и спасяване и – най-вече – те познават в подробности местния район и общност;</w:t>
      </w:r>
    </w:p>
    <w:p w:rsidR="002231E9" w:rsidRPr="007D6E33" w:rsidRDefault="002231E9" w:rsidP="008C0E9F"/>
    <w:p w:rsidR="002231E9" w:rsidRPr="007D6E33" w:rsidRDefault="002231E9" w:rsidP="008C0E9F">
      <w:pPr>
        <w:pStyle w:val="ListParagraph"/>
        <w:numPr>
          <w:ilvl w:val="0"/>
          <w:numId w:val="24"/>
        </w:numPr>
        <w:ind w:left="567" w:hanging="567"/>
      </w:pPr>
      <w:r w:rsidRPr="007D6E33">
        <w:t>посочва, че местните и регионалните власти често са демонстрирали огромна ангажираност за намаляване на рисковете от бедствия, например допринасяйки за изготвянето на оценки на риска и на планове за управление на риска, както се посочва в становището на КР относно Механизма на ЕС за гражданска защита;</w:t>
      </w:r>
    </w:p>
    <w:p w:rsidR="002231E9" w:rsidRPr="007D6E33" w:rsidRDefault="002231E9" w:rsidP="008C0E9F"/>
    <w:p w:rsidR="002231E9" w:rsidRPr="007D6E33" w:rsidRDefault="002231E9" w:rsidP="008C0E9F">
      <w:pPr>
        <w:pStyle w:val="ListParagraph"/>
        <w:numPr>
          <w:ilvl w:val="0"/>
          <w:numId w:val="24"/>
        </w:numPr>
        <w:ind w:left="567" w:hanging="567"/>
      </w:pPr>
      <w:r w:rsidRPr="007D6E33">
        <w:t xml:space="preserve">отбелязва, че желателната платформа за сътрудничество в тази област включва и развитието на публично-частно партньорство за намаляване на риска от бедствия и приемането на мерки за насърчаване на разбирането на местните рискове от страна на частния сектор, така че той да се превърне в участник в бъдещите политики за </w:t>
      </w:r>
      <w:r w:rsidRPr="007D6E33">
        <w:lastRenderedPageBreak/>
        <w:t>намаляване на риска от бедствия, например чрез разширяване на предоставянето на застраховане;</w:t>
      </w:r>
    </w:p>
    <w:p w:rsidR="002231E9" w:rsidRPr="007D6E33" w:rsidRDefault="002231E9" w:rsidP="008C0E9F"/>
    <w:p w:rsidR="002231E9" w:rsidRPr="007D6E33" w:rsidRDefault="002231E9" w:rsidP="008C0E9F">
      <w:pPr>
        <w:pStyle w:val="ListParagraph"/>
        <w:numPr>
          <w:ilvl w:val="0"/>
          <w:numId w:val="24"/>
        </w:numPr>
        <w:ind w:left="567" w:hanging="567"/>
      </w:pPr>
      <w:r w:rsidRPr="007D6E33">
        <w:t>счита за легитимни усилията за пълноценното използване на нарастващата роля на мобилните технологии, интернет и социалните медии за предаването на информация, свързана с бедствия;</w:t>
      </w:r>
    </w:p>
    <w:p w:rsidR="002231E9" w:rsidRPr="007D6E33" w:rsidRDefault="002231E9" w:rsidP="008C0E9F"/>
    <w:p w:rsidR="002231E9" w:rsidRPr="007D6E33" w:rsidRDefault="002231E9" w:rsidP="008C0E9F">
      <w:pPr>
        <w:pStyle w:val="ListParagraph"/>
        <w:numPr>
          <w:ilvl w:val="0"/>
          <w:numId w:val="24"/>
        </w:numPr>
        <w:ind w:left="567" w:hanging="567"/>
      </w:pPr>
      <w:r w:rsidRPr="007D6E33">
        <w:t>подчертава, че местните и регионалните власти се нуждаят от знания, инструменти, капацитет и ресурси, за да изпълняват своите задължения, както се посочва в становището на КР относно Рамковата програма за действие от Хього в периода след 2015 г. Същевременно посочва, че въпреки че местните власти носят отговорност за широка гама от критична инфраструктура, инвестициите, необходими за превръщането ѝ в по-устойчива спрямо риска от бедствия, не са много видими и често се пренебрегват или се възпрепятства тяхното реализиране;</w:t>
      </w:r>
    </w:p>
    <w:p w:rsidR="008C0E9F" w:rsidRPr="007D6E33" w:rsidRDefault="008C0E9F" w:rsidP="008C0E9F"/>
    <w:p w:rsidR="002231E9" w:rsidRPr="007D6E33" w:rsidRDefault="002231E9" w:rsidP="008C0E9F">
      <w:pPr>
        <w:pStyle w:val="ListParagraph"/>
        <w:numPr>
          <w:ilvl w:val="0"/>
          <w:numId w:val="24"/>
        </w:numPr>
        <w:ind w:left="567" w:hanging="567"/>
      </w:pPr>
      <w:r w:rsidRPr="007D6E33">
        <w:t>призовава да се предприемат стъпки за повишаване на обществената осведоменост, наред с другото, чрез провеждане на проучвания в областта на управлението на риска от бедствия. В момента е налице недостатъчно разбиране за това как рисковете могат да ескалират;</w:t>
      </w:r>
    </w:p>
    <w:p w:rsidR="002231E9" w:rsidRPr="007D6E33" w:rsidRDefault="002231E9" w:rsidP="008C0E9F"/>
    <w:p w:rsidR="002231E9" w:rsidRPr="007D6E33" w:rsidRDefault="002231E9" w:rsidP="00171ABA">
      <w:pPr>
        <w:keepNext/>
        <w:rPr>
          <w:b/>
        </w:rPr>
      </w:pPr>
      <w:r w:rsidRPr="007D6E33">
        <w:rPr>
          <w:b/>
        </w:rPr>
        <w:t>НОВАТА ПРИОРИТЕТНА ОС КАТО НАДЕЖДНА РЕАКЦИЯ НА ЕС В ОТГОВОР НА УВЕЛИЧАВАЩАТА СЕ ЧЕСТОТА НА БЕДСТВИЯТА</w:t>
      </w:r>
    </w:p>
    <w:p w:rsidR="002231E9" w:rsidRPr="007D6E33" w:rsidRDefault="002231E9" w:rsidP="00171ABA">
      <w:pPr>
        <w:keepNext/>
      </w:pPr>
    </w:p>
    <w:p w:rsidR="002231E9" w:rsidRPr="007D6E33" w:rsidRDefault="002231E9" w:rsidP="008C0E9F">
      <w:pPr>
        <w:pStyle w:val="ListParagraph"/>
        <w:numPr>
          <w:ilvl w:val="0"/>
          <w:numId w:val="24"/>
        </w:numPr>
        <w:ind w:left="567" w:hanging="567"/>
      </w:pPr>
      <w:r w:rsidRPr="007D6E33">
        <w:t xml:space="preserve">подкрепя категорично предложението на Европейската комисия (COM(2016) 778 final) за създаване на нова приоритетна ос със ставка на финансиране, достигаща до 100 %, за подкрепа, в рамките на инвестиционните приоритети на ЕФРР, на мерки в отговор на големи или регионални природни бедствия; </w:t>
      </w:r>
    </w:p>
    <w:p w:rsidR="002231E9" w:rsidRPr="007D6E33" w:rsidRDefault="002231E9" w:rsidP="008C0E9F"/>
    <w:p w:rsidR="002231E9" w:rsidRPr="007D6E33" w:rsidRDefault="002231E9" w:rsidP="008C0E9F">
      <w:pPr>
        <w:pStyle w:val="ListParagraph"/>
        <w:numPr>
          <w:ilvl w:val="0"/>
          <w:numId w:val="24"/>
        </w:numPr>
        <w:ind w:left="567" w:hanging="567"/>
      </w:pPr>
      <w:r w:rsidRPr="007D6E33">
        <w:t xml:space="preserve">приветства упоменаването в предложението на Комисията на определенията, съдържащи се в Регламента на Съвета за създаване на фонд „Солидарност“ на Европейския съюз; </w:t>
      </w:r>
    </w:p>
    <w:p w:rsidR="002231E9" w:rsidRPr="007D6E33" w:rsidRDefault="002231E9" w:rsidP="008C0E9F"/>
    <w:p w:rsidR="002231E9" w:rsidRPr="007D6E33" w:rsidRDefault="002231E9" w:rsidP="008C0E9F">
      <w:pPr>
        <w:pStyle w:val="ListParagraph"/>
        <w:numPr>
          <w:ilvl w:val="0"/>
          <w:numId w:val="24"/>
        </w:numPr>
        <w:ind w:left="567" w:hanging="567"/>
      </w:pPr>
      <w:r w:rsidRPr="007D6E33">
        <w:t>подкрепя предложенията разходите за тази цел да бъдат допустими за финансиране от момента на настъпването на бедствие, дори и преди влизането в сила на регламента.</w:t>
      </w:r>
    </w:p>
    <w:p w:rsidR="003767B6" w:rsidRPr="007D6E33" w:rsidRDefault="003767B6" w:rsidP="003767B6"/>
    <w:p w:rsidR="003767B6" w:rsidRPr="007D6E33" w:rsidRDefault="003767B6" w:rsidP="003767B6">
      <w:r w:rsidRPr="007D6E33">
        <w:t>Брюксел,</w:t>
      </w:r>
    </w:p>
    <w:p w:rsidR="003767B6" w:rsidRPr="007D6E33" w:rsidRDefault="003767B6" w:rsidP="003767B6"/>
    <w:p w:rsidR="008C0E9F" w:rsidRPr="007D6E33" w:rsidRDefault="008C0E9F">
      <w:pPr>
        <w:spacing w:line="240" w:lineRule="auto"/>
        <w:jc w:val="left"/>
      </w:pPr>
      <w:r w:rsidRPr="007D6E33">
        <w:br w:type="page"/>
      </w:r>
    </w:p>
    <w:p w:rsidR="00165D30" w:rsidRPr="007D6E33" w:rsidRDefault="00165D30" w:rsidP="008C0E9F">
      <w:pPr>
        <w:numPr>
          <w:ilvl w:val="0"/>
          <w:numId w:val="23"/>
        </w:numPr>
        <w:ind w:left="567" w:hanging="567"/>
      </w:pPr>
      <w:r w:rsidRPr="007D6E33">
        <w:rPr>
          <w:b/>
        </w:rPr>
        <w:lastRenderedPageBreak/>
        <w:t>ПРОЦЕДУРА</w:t>
      </w:r>
    </w:p>
    <w:p w:rsidR="003D2B1D" w:rsidRPr="007D6E33" w:rsidRDefault="003D2B1D" w:rsidP="008C0E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495"/>
      </w:tblGrid>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Заглавие</w:t>
            </w:r>
          </w:p>
          <w:p w:rsidR="003D2B1D" w:rsidRPr="007D6E33" w:rsidRDefault="003D2B1D" w:rsidP="00823A14">
            <w:pPr>
              <w:jc w:val="left"/>
              <w:rPr>
                <w:b/>
              </w:rPr>
            </w:pP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r w:rsidRPr="007D6E33">
              <w:t>Работен документ на службите на Комисията – План за действие относно Рамковата програма от Сендай за намаляване на риска от бедствия за периода 2015—2030 г. – Основаващ се на информация относно риска подход към бедствията във всички политики на ЕС</w:t>
            </w:r>
          </w:p>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Отправен документ</w:t>
            </w:r>
            <w:r w:rsidR="00F3285A" w:rsidRPr="007D6E33">
              <w:rPr>
                <w:b/>
              </w:rPr>
              <w:t xml:space="preserve"> </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r w:rsidRPr="007D6E33">
              <w:t>SWD(2016) 205 final</w:t>
            </w:r>
          </w:p>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Правно основание</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r w:rsidRPr="007D6E33">
              <w:t>член 307, параграф 1</w:t>
            </w:r>
          </w:p>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Процедурно основание</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r w:rsidRPr="007D6E33">
              <w:t>становище по собствена инициатива</w:t>
            </w:r>
          </w:p>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Дата на сезирането от Съвета/ЕП/ Дата на писмото от Комисията</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r w:rsidRPr="007D6E33">
              <w:t>SWD(2016) 205 final, 17.6.2016 г.</w:t>
            </w:r>
          </w:p>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Дата на решението на Бюрото/председателя</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r w:rsidRPr="007D6E33">
              <w:t>4 юли 2016 г.</w:t>
            </w:r>
          </w:p>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Компетентна комисия</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r w:rsidRPr="007D6E33">
              <w:t>Комисия по природни ресурси</w:t>
            </w:r>
          </w:p>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Докладчик</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r w:rsidRPr="007D6E33">
              <w:t>Adam Banaszak (PL/EКР)</w:t>
            </w:r>
          </w:p>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Обяснителна бележка</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r w:rsidRPr="007D6E33">
              <w:t>септември 2016 г.</w:t>
            </w:r>
          </w:p>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 xml:space="preserve">Разглеждане в комисия </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r w:rsidRPr="007D6E33">
              <w:t>28 ноември 2016 г.</w:t>
            </w:r>
          </w:p>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 xml:space="preserve">Дата на приемането в комисия </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r w:rsidRPr="007D6E33">
              <w:t>насрочено за 2 февруари 2017 г.</w:t>
            </w:r>
          </w:p>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Резултат от гласуването в комисия</w:t>
            </w:r>
          </w:p>
          <w:p w:rsidR="003D2B1D" w:rsidRPr="007D6E33" w:rsidRDefault="003D2B1D" w:rsidP="00823A14">
            <w:pPr>
              <w:jc w:val="left"/>
              <w:rPr>
                <w:b/>
              </w:rPr>
            </w:pPr>
            <w:r w:rsidRPr="007D6E33">
              <w:rPr>
                <w:b/>
              </w:rPr>
              <w:t>(мнозинство, единодушие)</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 xml:space="preserve">Дата на приемането на пленарна сесия </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r w:rsidRPr="007D6E33">
              <w:t>насрочено за 22-23 февруари 2017 г.</w:t>
            </w:r>
          </w:p>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 xml:space="preserve">Предходно/и становище/а на Комитета </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tc>
      </w:tr>
      <w:tr w:rsidR="003D2B1D" w:rsidRPr="007D6E33" w:rsidTr="008C0E9F">
        <w:tc>
          <w:tcPr>
            <w:tcW w:w="3794" w:type="dxa"/>
            <w:tcBorders>
              <w:top w:val="single" w:sz="4" w:space="0" w:color="auto"/>
              <w:left w:val="single" w:sz="4" w:space="0" w:color="auto"/>
              <w:bottom w:val="single" w:sz="4" w:space="0" w:color="auto"/>
              <w:right w:val="single" w:sz="4" w:space="0" w:color="auto"/>
            </w:tcBorders>
            <w:noWrap/>
          </w:tcPr>
          <w:p w:rsidR="003D2B1D" w:rsidRPr="007D6E33" w:rsidRDefault="003D2B1D" w:rsidP="00823A14">
            <w:pPr>
              <w:jc w:val="left"/>
              <w:rPr>
                <w:b/>
              </w:rPr>
            </w:pPr>
            <w:r w:rsidRPr="007D6E33">
              <w:rPr>
                <w:b/>
              </w:rPr>
              <w:t>Дата на консултацията с Мрежата за наблюдение на субсидиарността</w:t>
            </w:r>
          </w:p>
        </w:tc>
        <w:tc>
          <w:tcPr>
            <w:tcW w:w="5495" w:type="dxa"/>
            <w:tcBorders>
              <w:top w:val="single" w:sz="4" w:space="0" w:color="auto"/>
              <w:left w:val="single" w:sz="4" w:space="0" w:color="auto"/>
              <w:bottom w:val="single" w:sz="4" w:space="0" w:color="auto"/>
              <w:right w:val="single" w:sz="4" w:space="0" w:color="auto"/>
            </w:tcBorders>
            <w:noWrap/>
          </w:tcPr>
          <w:p w:rsidR="003D2B1D" w:rsidRPr="007D6E33" w:rsidRDefault="003D2B1D" w:rsidP="008C0E9F"/>
        </w:tc>
      </w:tr>
    </w:tbl>
    <w:p w:rsidR="00165D30" w:rsidRPr="007D6E33" w:rsidRDefault="00165D30" w:rsidP="008C0E9F">
      <w:pPr>
        <w:rPr>
          <w:sz w:val="24"/>
          <w:szCs w:val="24"/>
        </w:rPr>
      </w:pPr>
    </w:p>
    <w:p w:rsidR="00165D30" w:rsidRPr="007D6E33" w:rsidRDefault="00165D30" w:rsidP="008C0E9F">
      <w:pPr>
        <w:jc w:val="center"/>
        <w:rPr>
          <w:sz w:val="24"/>
          <w:szCs w:val="24"/>
        </w:rPr>
      </w:pPr>
      <w:r w:rsidRPr="007D6E33">
        <w:t>_____________</w:t>
      </w:r>
    </w:p>
    <w:sectPr w:rsidR="00165D30" w:rsidRPr="007D6E33" w:rsidSect="00F3285A">
      <w:headerReference w:type="even" r:id="rId17"/>
      <w:headerReference w:type="default" r:id="rId18"/>
      <w:footerReference w:type="even" r:id="rId19"/>
      <w:footerReference w:type="default" r:id="rId20"/>
      <w:headerReference w:type="first" r:id="rId21"/>
      <w:footerReference w:type="first" r:id="rId22"/>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85" w:rsidRDefault="00A02785">
      <w:r>
        <w:separator/>
      </w:r>
    </w:p>
  </w:endnote>
  <w:endnote w:type="continuationSeparator" w:id="0">
    <w:p w:rsidR="00A02785" w:rsidRDefault="00A0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E6" w:rsidRPr="00F3285A" w:rsidRDefault="00F3285A" w:rsidP="00F3285A">
    <w:pPr>
      <w:pStyle w:val="Footer"/>
    </w:pPr>
    <w:r>
      <w:t xml:space="preserve">COR-2016-05035-00-02-PA-TRA (PL) </w:t>
    </w:r>
    <w:r>
      <w:fldChar w:fldCharType="begin"/>
    </w:r>
    <w:r>
      <w:instrText xml:space="preserve"> PAGE  \* Arabic  \* MERGEFORMAT </w:instrText>
    </w:r>
    <w:r>
      <w:fldChar w:fldCharType="separate"/>
    </w:r>
    <w:r w:rsidR="0093692D">
      <w:rPr>
        <w:noProof/>
      </w:rPr>
      <w:t>1</w:t>
    </w:r>
    <w:r>
      <w:fldChar w:fldCharType="end"/>
    </w:r>
    <w:r>
      <w:t>/</w:t>
    </w:r>
    <w:r>
      <w:fldChar w:fldCharType="begin"/>
    </w:r>
    <w:r>
      <w:instrText xml:space="preserve"> = </w:instrText>
    </w:r>
    <w:fldSimple w:instr=" NUMPAGES ">
      <w:r w:rsidR="0093692D">
        <w:rPr>
          <w:noProof/>
        </w:rPr>
        <w:instrText>7</w:instrText>
      </w:r>
    </w:fldSimple>
    <w:r>
      <w:instrText xml:space="preserve"> -0 </w:instrText>
    </w:r>
    <w:r>
      <w:fldChar w:fldCharType="separate"/>
    </w:r>
    <w:r w:rsidR="0093692D">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9F" w:rsidRPr="00F3285A" w:rsidRDefault="008C0E9F" w:rsidP="00F328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9F" w:rsidRPr="00F3285A" w:rsidRDefault="00F3285A" w:rsidP="00F3285A">
    <w:pPr>
      <w:pStyle w:val="Footer"/>
    </w:pPr>
    <w:r>
      <w:t xml:space="preserve">COR-2016-05035-00-02-PA-TRA (PL) </w:t>
    </w:r>
    <w:r>
      <w:fldChar w:fldCharType="begin"/>
    </w:r>
    <w:r>
      <w:instrText xml:space="preserve"> PAGE  \* Arabic  \* MERGEFORMAT </w:instrText>
    </w:r>
    <w:r>
      <w:fldChar w:fldCharType="separate"/>
    </w:r>
    <w:r w:rsidR="0093692D">
      <w:rPr>
        <w:noProof/>
      </w:rPr>
      <w:t>7</w:t>
    </w:r>
    <w:r>
      <w:fldChar w:fldCharType="end"/>
    </w:r>
    <w:r>
      <w:t>/</w:t>
    </w:r>
    <w:r>
      <w:fldChar w:fldCharType="begin"/>
    </w:r>
    <w:r>
      <w:instrText xml:space="preserve"> = </w:instrText>
    </w:r>
    <w:fldSimple w:instr=" NUMPAGES ">
      <w:r w:rsidR="0093692D">
        <w:rPr>
          <w:noProof/>
        </w:rPr>
        <w:instrText>7</w:instrText>
      </w:r>
    </w:fldSimple>
    <w:r>
      <w:instrText xml:space="preserve"> -0 </w:instrText>
    </w:r>
    <w:r>
      <w:fldChar w:fldCharType="separate"/>
    </w:r>
    <w:r w:rsidR="0093692D">
      <w:rPr>
        <w:noProof/>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9F" w:rsidRPr="00F3285A" w:rsidRDefault="008C0E9F" w:rsidP="00F32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85" w:rsidRDefault="00A02785">
      <w:r>
        <w:separator/>
      </w:r>
    </w:p>
  </w:footnote>
  <w:footnote w:type="continuationSeparator" w:id="0">
    <w:p w:rsidR="00A02785" w:rsidRDefault="00A02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9F" w:rsidRPr="00F3285A" w:rsidRDefault="008C0E9F" w:rsidP="00F328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9F" w:rsidRPr="00F3285A" w:rsidRDefault="008C0E9F" w:rsidP="00F328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E9F" w:rsidRPr="00F3285A" w:rsidRDefault="008C0E9F" w:rsidP="00F32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B410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16A58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221E9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032F5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264F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C6DB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6F5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40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909F0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06ED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15:restartNumberingAfterBreak="0">
    <w:nsid w:val="0C54147D"/>
    <w:multiLevelType w:val="hybridMultilevel"/>
    <w:tmpl w:val="87AA0A7A"/>
    <w:lvl w:ilvl="0" w:tplc="83447096">
      <w:start w:val="1"/>
      <w:numFmt w:val="upperRoman"/>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30EA5"/>
    <w:multiLevelType w:val="hybridMultilevel"/>
    <w:tmpl w:val="DD6887FA"/>
    <w:lvl w:ilvl="0" w:tplc="32CE73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54697D"/>
    <w:multiLevelType w:val="hybridMultilevel"/>
    <w:tmpl w:val="7576BDE0"/>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2960A7F"/>
    <w:multiLevelType w:val="hybridMultilevel"/>
    <w:tmpl w:val="B9D25A84"/>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97B0160"/>
    <w:multiLevelType w:val="hybridMultilevel"/>
    <w:tmpl w:val="E9C829AE"/>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AC56566"/>
    <w:multiLevelType w:val="hybridMultilevel"/>
    <w:tmpl w:val="A50C394E"/>
    <w:lvl w:ilvl="0" w:tplc="87125F4E">
      <w:start w:val="1"/>
      <w:numFmt w:val="bullet"/>
      <w:lvlText w:val=""/>
      <w:lvlJc w:val="left"/>
      <w:pPr>
        <w:tabs>
          <w:tab w:val="num" w:pos="720"/>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17" w15:restartNumberingAfterBreak="0">
    <w:nsid w:val="3E7D78EF"/>
    <w:multiLevelType w:val="hybridMultilevel"/>
    <w:tmpl w:val="51AA6D0A"/>
    <w:lvl w:ilvl="0" w:tplc="23969108">
      <w:start w:val="1"/>
      <w:numFmt w:val="bullet"/>
      <w:lvlText w:val="-"/>
      <w:lvlJc w:val="left"/>
      <w:pPr>
        <w:tabs>
          <w:tab w:val="num" w:pos="0"/>
        </w:tabs>
        <w:ind w:left="369" w:hanging="369"/>
      </w:pPr>
      <w:rPr>
        <w:rFonts w:ascii="Times New Roman" w:hAnsi="Times New Roman" w:hint="default"/>
        <w:b w:val="0"/>
        <w:i w:val="0"/>
        <w:sz w:val="22"/>
      </w:rPr>
    </w:lvl>
    <w:lvl w:ilvl="1" w:tplc="9BDE0DC2">
      <w:start w:val="1"/>
      <w:numFmt w:val="bullet"/>
      <w:lvlText w:val=""/>
      <w:lvlJc w:val="left"/>
      <w:pPr>
        <w:tabs>
          <w:tab w:val="num" w:pos="1080"/>
        </w:tabs>
        <w:ind w:left="1449" w:hanging="369"/>
      </w:pPr>
      <w:rPr>
        <w:rFonts w:ascii="Times New Roman" w:hAnsi="Times New Roman" w:hint="default"/>
        <w:b w:val="0"/>
        <w:i w:val="0"/>
        <w:sz w:val="22"/>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F6D6FF8"/>
    <w:multiLevelType w:val="hybridMultilevel"/>
    <w:tmpl w:val="ABC66076"/>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0357B7A"/>
    <w:multiLevelType w:val="hybridMultilevel"/>
    <w:tmpl w:val="51AA6D0A"/>
    <w:lvl w:ilvl="0" w:tplc="8BFAA160">
      <w:start w:val="1"/>
      <w:numFmt w:val="bullet"/>
      <w:lvlText w:val="-"/>
      <w:lvlJc w:val="left"/>
      <w:pPr>
        <w:tabs>
          <w:tab w:val="num" w:pos="0"/>
        </w:tabs>
        <w:ind w:left="369" w:hanging="369"/>
      </w:pPr>
      <w:rPr>
        <w:rFonts w:ascii="Times New Roman" w:hAnsi="Times New Roman" w:hint="default"/>
        <w:b w:val="0"/>
        <w:i w:val="0"/>
        <w:sz w:val="22"/>
      </w:rPr>
    </w:lvl>
    <w:lvl w:ilvl="1" w:tplc="9BDE0DC2">
      <w:start w:val="1"/>
      <w:numFmt w:val="bullet"/>
      <w:lvlText w:val=""/>
      <w:lvlJc w:val="left"/>
      <w:pPr>
        <w:tabs>
          <w:tab w:val="num" w:pos="1080"/>
        </w:tabs>
        <w:ind w:left="1449" w:hanging="369"/>
      </w:pPr>
      <w:rPr>
        <w:rFonts w:ascii="Times New Roman" w:hAnsi="Times New Roman" w:hint="default"/>
        <w:b w:val="0"/>
        <w:i w:val="0"/>
        <w:sz w:val="22"/>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C227B42"/>
    <w:multiLevelType w:val="hybridMultilevel"/>
    <w:tmpl w:val="D7C6597E"/>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C65A12"/>
    <w:multiLevelType w:val="hybridMultilevel"/>
    <w:tmpl w:val="36164AD6"/>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5D91568"/>
    <w:multiLevelType w:val="hybridMultilevel"/>
    <w:tmpl w:val="F4DE7EBC"/>
    <w:lvl w:ilvl="0" w:tplc="9BDE0DC2">
      <w:start w:val="1"/>
      <w:numFmt w:val="bullet"/>
      <w:lvlText w:val=""/>
      <w:lvlJc w:val="left"/>
      <w:pPr>
        <w:tabs>
          <w:tab w:val="num" w:pos="0"/>
        </w:tabs>
        <w:ind w:left="369" w:hanging="369"/>
      </w:pPr>
      <w:rPr>
        <w:rFonts w:ascii="Times New Roman" w:hAnsi="Times New Roman"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063133"/>
    <w:multiLevelType w:val="hybridMultilevel"/>
    <w:tmpl w:val="37BA42EA"/>
    <w:lvl w:ilvl="0" w:tplc="61429412">
      <w:start w:val="1"/>
      <w:numFmt w:val="bullet"/>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Times New Roman" w:hAnsi="Times New Roman" w:hint="default"/>
      </w:rPr>
    </w:lvl>
    <w:lvl w:ilvl="3" w:tplc="04090001">
      <w:start w:val="1"/>
      <w:numFmt w:val="bullet"/>
      <w:lvlText w:val=""/>
      <w:lvlJc w:val="left"/>
      <w:pPr>
        <w:tabs>
          <w:tab w:val="num" w:pos="3600"/>
        </w:tabs>
        <w:ind w:left="3600" w:hanging="360"/>
      </w:pPr>
      <w:rPr>
        <w:rFonts w:ascii="Times New Roman" w:hAnsi="Times New Roman"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Times New Roman" w:hAnsi="Times New Roman" w:hint="default"/>
      </w:rPr>
    </w:lvl>
    <w:lvl w:ilvl="6" w:tplc="04090001">
      <w:start w:val="1"/>
      <w:numFmt w:val="bullet"/>
      <w:lvlText w:val=""/>
      <w:lvlJc w:val="left"/>
      <w:pPr>
        <w:tabs>
          <w:tab w:val="num" w:pos="5760"/>
        </w:tabs>
        <w:ind w:left="5760" w:hanging="360"/>
      </w:pPr>
      <w:rPr>
        <w:rFonts w:ascii="Times New Roman" w:hAnsi="Times New Roman"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Times New Roman" w:hAnsi="Times New Roman" w:hint="default"/>
      </w:rPr>
    </w:lvl>
  </w:abstractNum>
  <w:abstractNum w:abstractNumId="24" w15:restartNumberingAfterBreak="0">
    <w:nsid w:val="744C4A09"/>
    <w:multiLevelType w:val="hybridMultilevel"/>
    <w:tmpl w:val="8EDAB25C"/>
    <w:lvl w:ilvl="0" w:tplc="22F4363C">
      <w:start w:val="1"/>
      <w:numFmt w:val="decimal"/>
      <w:lvlText w:val="%1."/>
      <w:lvlJc w:val="left"/>
      <w:pPr>
        <w:ind w:left="360" w:hanging="360"/>
      </w:pPr>
      <w:rPr>
        <w:rFonts w:ascii="Times New Roman" w:eastAsia="Times New Roman"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23"/>
  </w:num>
  <w:num w:numId="4">
    <w:abstractNumId w:val="17"/>
  </w:num>
  <w:num w:numId="5">
    <w:abstractNumId w:val="19"/>
  </w:num>
  <w:num w:numId="6">
    <w:abstractNumId w:val="15"/>
  </w:num>
  <w:num w:numId="7">
    <w:abstractNumId w:val="13"/>
  </w:num>
  <w:num w:numId="8">
    <w:abstractNumId w:val="22"/>
  </w:num>
  <w:num w:numId="9">
    <w:abstractNumId w:val="20"/>
  </w:num>
  <w:num w:numId="10">
    <w:abstractNumId w:val="21"/>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4"/>
    <w:rsid w:val="00007070"/>
    <w:rsid w:val="000204C4"/>
    <w:rsid w:val="00023192"/>
    <w:rsid w:val="000314A9"/>
    <w:rsid w:val="0003325E"/>
    <w:rsid w:val="00056A83"/>
    <w:rsid w:val="000615B3"/>
    <w:rsid w:val="00092B0C"/>
    <w:rsid w:val="000E616D"/>
    <w:rsid w:val="00110CE6"/>
    <w:rsid w:val="001114C7"/>
    <w:rsid w:val="00121ACB"/>
    <w:rsid w:val="00124F57"/>
    <w:rsid w:val="0013216E"/>
    <w:rsid w:val="00147CA9"/>
    <w:rsid w:val="00165D30"/>
    <w:rsid w:val="00170091"/>
    <w:rsid w:val="00171ABA"/>
    <w:rsid w:val="00173488"/>
    <w:rsid w:val="00173D8E"/>
    <w:rsid w:val="001C0E30"/>
    <w:rsid w:val="001C18C7"/>
    <w:rsid w:val="001F3849"/>
    <w:rsid w:val="0020226D"/>
    <w:rsid w:val="00204859"/>
    <w:rsid w:val="00221A26"/>
    <w:rsid w:val="002231E9"/>
    <w:rsid w:val="00240AB0"/>
    <w:rsid w:val="002448A2"/>
    <w:rsid w:val="00253F0E"/>
    <w:rsid w:val="00254B94"/>
    <w:rsid w:val="002659CC"/>
    <w:rsid w:val="00297E32"/>
    <w:rsid w:val="002A74F8"/>
    <w:rsid w:val="002E3AE5"/>
    <w:rsid w:val="002F03D6"/>
    <w:rsid w:val="002F6BEB"/>
    <w:rsid w:val="00313D38"/>
    <w:rsid w:val="00324082"/>
    <w:rsid w:val="00343A83"/>
    <w:rsid w:val="00345F27"/>
    <w:rsid w:val="0036758B"/>
    <w:rsid w:val="003767B6"/>
    <w:rsid w:val="003769C5"/>
    <w:rsid w:val="003826F1"/>
    <w:rsid w:val="00391DED"/>
    <w:rsid w:val="003D2AC3"/>
    <w:rsid w:val="003D2B1D"/>
    <w:rsid w:val="004064CA"/>
    <w:rsid w:val="00414393"/>
    <w:rsid w:val="00471C8C"/>
    <w:rsid w:val="004E1CD6"/>
    <w:rsid w:val="00502B01"/>
    <w:rsid w:val="00526D25"/>
    <w:rsid w:val="00530C2E"/>
    <w:rsid w:val="005712C8"/>
    <w:rsid w:val="00590CCE"/>
    <w:rsid w:val="00592639"/>
    <w:rsid w:val="00595E60"/>
    <w:rsid w:val="00597F35"/>
    <w:rsid w:val="005A3772"/>
    <w:rsid w:val="005B12FD"/>
    <w:rsid w:val="005C2270"/>
    <w:rsid w:val="005C4F1C"/>
    <w:rsid w:val="005D31A6"/>
    <w:rsid w:val="005D4D4A"/>
    <w:rsid w:val="00623B28"/>
    <w:rsid w:val="006356F2"/>
    <w:rsid w:val="00674B01"/>
    <w:rsid w:val="006919C5"/>
    <w:rsid w:val="00695A06"/>
    <w:rsid w:val="006C4781"/>
    <w:rsid w:val="006E6611"/>
    <w:rsid w:val="006F3B03"/>
    <w:rsid w:val="00703338"/>
    <w:rsid w:val="00755CF5"/>
    <w:rsid w:val="007851B1"/>
    <w:rsid w:val="00790F7B"/>
    <w:rsid w:val="007A4CC9"/>
    <w:rsid w:val="007D40C0"/>
    <w:rsid w:val="007D6E33"/>
    <w:rsid w:val="007E3F01"/>
    <w:rsid w:val="00814764"/>
    <w:rsid w:val="00816978"/>
    <w:rsid w:val="00822C6C"/>
    <w:rsid w:val="008232B1"/>
    <w:rsid w:val="00823A14"/>
    <w:rsid w:val="008255CB"/>
    <w:rsid w:val="00837501"/>
    <w:rsid w:val="00837FA5"/>
    <w:rsid w:val="0084449C"/>
    <w:rsid w:val="00857B27"/>
    <w:rsid w:val="0086069A"/>
    <w:rsid w:val="0086476A"/>
    <w:rsid w:val="00870DC8"/>
    <w:rsid w:val="00880573"/>
    <w:rsid w:val="00886646"/>
    <w:rsid w:val="008964BC"/>
    <w:rsid w:val="008C05A5"/>
    <w:rsid w:val="008C0E9F"/>
    <w:rsid w:val="008C49E6"/>
    <w:rsid w:val="008C7048"/>
    <w:rsid w:val="008D296A"/>
    <w:rsid w:val="008F62DC"/>
    <w:rsid w:val="009021F3"/>
    <w:rsid w:val="0090269E"/>
    <w:rsid w:val="00922F2E"/>
    <w:rsid w:val="00933A7D"/>
    <w:rsid w:val="00936473"/>
    <w:rsid w:val="0093692D"/>
    <w:rsid w:val="009761D3"/>
    <w:rsid w:val="00986738"/>
    <w:rsid w:val="00987DB7"/>
    <w:rsid w:val="009949F1"/>
    <w:rsid w:val="009A09D4"/>
    <w:rsid w:val="009A5D8F"/>
    <w:rsid w:val="009E3738"/>
    <w:rsid w:val="009E5E8F"/>
    <w:rsid w:val="009F0607"/>
    <w:rsid w:val="00A012E5"/>
    <w:rsid w:val="00A02785"/>
    <w:rsid w:val="00A1124D"/>
    <w:rsid w:val="00A17022"/>
    <w:rsid w:val="00A60005"/>
    <w:rsid w:val="00A63307"/>
    <w:rsid w:val="00A64CBF"/>
    <w:rsid w:val="00A70E61"/>
    <w:rsid w:val="00AA402F"/>
    <w:rsid w:val="00AC6E01"/>
    <w:rsid w:val="00B36C14"/>
    <w:rsid w:val="00B43F4F"/>
    <w:rsid w:val="00B63A3C"/>
    <w:rsid w:val="00B70113"/>
    <w:rsid w:val="00B70E14"/>
    <w:rsid w:val="00B92239"/>
    <w:rsid w:val="00B9460D"/>
    <w:rsid w:val="00B95367"/>
    <w:rsid w:val="00B9743D"/>
    <w:rsid w:val="00BC5A4F"/>
    <w:rsid w:val="00BD5107"/>
    <w:rsid w:val="00BD704B"/>
    <w:rsid w:val="00BE5238"/>
    <w:rsid w:val="00BF7AE7"/>
    <w:rsid w:val="00C11614"/>
    <w:rsid w:val="00C231B9"/>
    <w:rsid w:val="00C30A3E"/>
    <w:rsid w:val="00C463DA"/>
    <w:rsid w:val="00C55BA7"/>
    <w:rsid w:val="00C639CA"/>
    <w:rsid w:val="00C643EE"/>
    <w:rsid w:val="00C668EF"/>
    <w:rsid w:val="00C90E21"/>
    <w:rsid w:val="00CB7A24"/>
    <w:rsid w:val="00CE73FB"/>
    <w:rsid w:val="00CF2599"/>
    <w:rsid w:val="00D557E5"/>
    <w:rsid w:val="00D66B98"/>
    <w:rsid w:val="00D751CE"/>
    <w:rsid w:val="00DB7F6A"/>
    <w:rsid w:val="00DC07B2"/>
    <w:rsid w:val="00DC4478"/>
    <w:rsid w:val="00DC60D2"/>
    <w:rsid w:val="00E04E04"/>
    <w:rsid w:val="00E1546A"/>
    <w:rsid w:val="00E47AFE"/>
    <w:rsid w:val="00E50012"/>
    <w:rsid w:val="00E64533"/>
    <w:rsid w:val="00EB3B52"/>
    <w:rsid w:val="00EE064A"/>
    <w:rsid w:val="00EE5845"/>
    <w:rsid w:val="00F0624D"/>
    <w:rsid w:val="00F266DB"/>
    <w:rsid w:val="00F3285A"/>
    <w:rsid w:val="00F43140"/>
    <w:rsid w:val="00F45402"/>
    <w:rsid w:val="00F72F25"/>
    <w:rsid w:val="00FA0899"/>
    <w:rsid w:val="00FC1F34"/>
    <w:rsid w:val="00FF61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358B83-226B-4EE2-9032-35166227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E9F"/>
    <w:pPr>
      <w:spacing w:line="288" w:lineRule="auto"/>
      <w:jc w:val="both"/>
    </w:pPr>
    <w:rPr>
      <w:rFonts w:eastAsia="Times New Roman"/>
      <w:sz w:val="22"/>
      <w:szCs w:val="22"/>
    </w:rPr>
  </w:style>
  <w:style w:type="paragraph" w:styleId="Heading1">
    <w:name w:val="heading 1"/>
    <w:basedOn w:val="Normal"/>
    <w:next w:val="Normal"/>
    <w:link w:val="Heading1Char"/>
    <w:qFormat/>
    <w:rsid w:val="008C0E9F"/>
    <w:pPr>
      <w:numPr>
        <w:numId w:val="1"/>
      </w:numPr>
      <w:ind w:left="567" w:hanging="567"/>
      <w:outlineLvl w:val="0"/>
    </w:pPr>
    <w:rPr>
      <w:kern w:val="28"/>
    </w:rPr>
  </w:style>
  <w:style w:type="paragraph" w:styleId="Heading2">
    <w:name w:val="heading 2"/>
    <w:basedOn w:val="Normal"/>
    <w:next w:val="Normal"/>
    <w:link w:val="Heading2Char"/>
    <w:qFormat/>
    <w:rsid w:val="008C0E9F"/>
    <w:pPr>
      <w:numPr>
        <w:ilvl w:val="1"/>
        <w:numId w:val="1"/>
      </w:numPr>
      <w:ind w:left="567" w:hanging="567"/>
      <w:outlineLvl w:val="1"/>
    </w:pPr>
  </w:style>
  <w:style w:type="paragraph" w:styleId="Heading3">
    <w:name w:val="heading 3"/>
    <w:basedOn w:val="Normal"/>
    <w:next w:val="Normal"/>
    <w:link w:val="Heading3Char"/>
    <w:qFormat/>
    <w:rsid w:val="008C0E9F"/>
    <w:pPr>
      <w:numPr>
        <w:ilvl w:val="2"/>
        <w:numId w:val="1"/>
      </w:numPr>
      <w:ind w:left="567" w:hanging="567"/>
      <w:outlineLvl w:val="2"/>
    </w:pPr>
  </w:style>
  <w:style w:type="paragraph" w:styleId="Heading4">
    <w:name w:val="heading 4"/>
    <w:basedOn w:val="Normal"/>
    <w:next w:val="Normal"/>
    <w:link w:val="Heading4Char"/>
    <w:qFormat/>
    <w:rsid w:val="008C0E9F"/>
    <w:pPr>
      <w:numPr>
        <w:ilvl w:val="3"/>
        <w:numId w:val="1"/>
      </w:numPr>
      <w:ind w:left="567" w:hanging="567"/>
      <w:outlineLvl w:val="3"/>
    </w:pPr>
  </w:style>
  <w:style w:type="paragraph" w:styleId="Heading5">
    <w:name w:val="heading 5"/>
    <w:basedOn w:val="Normal"/>
    <w:next w:val="Normal"/>
    <w:link w:val="Heading5Char"/>
    <w:qFormat/>
    <w:rsid w:val="008C0E9F"/>
    <w:pPr>
      <w:numPr>
        <w:ilvl w:val="4"/>
        <w:numId w:val="1"/>
      </w:numPr>
      <w:ind w:left="567" w:hanging="567"/>
      <w:outlineLvl w:val="4"/>
    </w:pPr>
  </w:style>
  <w:style w:type="paragraph" w:styleId="Heading6">
    <w:name w:val="heading 6"/>
    <w:basedOn w:val="Normal"/>
    <w:next w:val="Normal"/>
    <w:link w:val="Heading6Char"/>
    <w:qFormat/>
    <w:rsid w:val="008C0E9F"/>
    <w:pPr>
      <w:numPr>
        <w:ilvl w:val="5"/>
        <w:numId w:val="1"/>
      </w:numPr>
      <w:ind w:left="567" w:hanging="567"/>
      <w:outlineLvl w:val="5"/>
    </w:pPr>
  </w:style>
  <w:style w:type="paragraph" w:styleId="Heading7">
    <w:name w:val="heading 7"/>
    <w:basedOn w:val="Normal"/>
    <w:next w:val="Normal"/>
    <w:link w:val="Heading7Char"/>
    <w:qFormat/>
    <w:rsid w:val="008C0E9F"/>
    <w:pPr>
      <w:numPr>
        <w:ilvl w:val="6"/>
        <w:numId w:val="1"/>
      </w:numPr>
      <w:ind w:left="567" w:hanging="567"/>
      <w:outlineLvl w:val="6"/>
    </w:pPr>
  </w:style>
  <w:style w:type="paragraph" w:styleId="Heading8">
    <w:name w:val="heading 8"/>
    <w:basedOn w:val="Normal"/>
    <w:next w:val="Normal"/>
    <w:link w:val="Heading8Char"/>
    <w:qFormat/>
    <w:rsid w:val="008C0E9F"/>
    <w:pPr>
      <w:numPr>
        <w:ilvl w:val="7"/>
        <w:numId w:val="1"/>
      </w:numPr>
      <w:ind w:left="567" w:hanging="567"/>
      <w:outlineLvl w:val="7"/>
    </w:pPr>
  </w:style>
  <w:style w:type="paragraph" w:styleId="Heading9">
    <w:name w:val="heading 9"/>
    <w:basedOn w:val="Normal"/>
    <w:next w:val="Normal"/>
    <w:link w:val="Heading9Char"/>
    <w:qFormat/>
    <w:rsid w:val="008C0E9F"/>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225"/>
    <w:rPr>
      <w:rFonts w:eastAsia="Times New Roman"/>
      <w:kern w:val="28"/>
      <w:sz w:val="22"/>
      <w:szCs w:val="22"/>
      <w:lang w:val="bg-BG" w:eastAsia="bg-BG" w:bidi="bg-BG"/>
    </w:rPr>
  </w:style>
  <w:style w:type="character" w:customStyle="1" w:styleId="Heading2Char">
    <w:name w:val="Heading 2 Char"/>
    <w:basedOn w:val="DefaultParagraphFont"/>
    <w:link w:val="Heading2"/>
    <w:rsid w:val="005F5225"/>
    <w:rPr>
      <w:rFonts w:eastAsia="Times New Roman"/>
      <w:sz w:val="22"/>
      <w:szCs w:val="22"/>
      <w:lang w:val="bg-BG" w:eastAsia="bg-BG" w:bidi="bg-BG"/>
    </w:rPr>
  </w:style>
  <w:style w:type="character" w:customStyle="1" w:styleId="Heading3Char">
    <w:name w:val="Heading 3 Char"/>
    <w:basedOn w:val="DefaultParagraphFont"/>
    <w:link w:val="Heading3"/>
    <w:rsid w:val="005F5225"/>
    <w:rPr>
      <w:rFonts w:eastAsia="Times New Roman"/>
      <w:sz w:val="22"/>
      <w:szCs w:val="22"/>
      <w:lang w:val="bg-BG" w:eastAsia="bg-BG" w:bidi="bg-BG"/>
    </w:rPr>
  </w:style>
  <w:style w:type="character" w:customStyle="1" w:styleId="Heading4Char">
    <w:name w:val="Heading 4 Char"/>
    <w:basedOn w:val="DefaultParagraphFont"/>
    <w:link w:val="Heading4"/>
    <w:rsid w:val="005F5225"/>
    <w:rPr>
      <w:rFonts w:eastAsia="Times New Roman"/>
      <w:sz w:val="22"/>
      <w:szCs w:val="22"/>
      <w:lang w:val="bg-BG" w:eastAsia="bg-BG" w:bidi="bg-BG"/>
    </w:rPr>
  </w:style>
  <w:style w:type="character" w:customStyle="1" w:styleId="Heading5Char">
    <w:name w:val="Heading 5 Char"/>
    <w:basedOn w:val="DefaultParagraphFont"/>
    <w:link w:val="Heading5"/>
    <w:rsid w:val="005F5225"/>
    <w:rPr>
      <w:rFonts w:eastAsia="Times New Roman"/>
      <w:sz w:val="22"/>
      <w:szCs w:val="22"/>
      <w:lang w:val="bg-BG" w:eastAsia="bg-BG" w:bidi="bg-BG"/>
    </w:rPr>
  </w:style>
  <w:style w:type="character" w:customStyle="1" w:styleId="Heading6Char">
    <w:name w:val="Heading 6 Char"/>
    <w:basedOn w:val="DefaultParagraphFont"/>
    <w:link w:val="Heading6"/>
    <w:rsid w:val="005F5225"/>
    <w:rPr>
      <w:rFonts w:eastAsia="Times New Roman"/>
      <w:sz w:val="22"/>
      <w:szCs w:val="22"/>
      <w:lang w:val="bg-BG" w:eastAsia="bg-BG" w:bidi="bg-BG"/>
    </w:rPr>
  </w:style>
  <w:style w:type="character" w:customStyle="1" w:styleId="Heading7Char">
    <w:name w:val="Heading 7 Char"/>
    <w:basedOn w:val="DefaultParagraphFont"/>
    <w:link w:val="Heading7"/>
    <w:rsid w:val="005F5225"/>
    <w:rPr>
      <w:rFonts w:eastAsia="Times New Roman"/>
      <w:sz w:val="22"/>
      <w:szCs w:val="22"/>
      <w:lang w:val="bg-BG" w:eastAsia="bg-BG" w:bidi="bg-BG"/>
    </w:rPr>
  </w:style>
  <w:style w:type="character" w:customStyle="1" w:styleId="Heading8Char">
    <w:name w:val="Heading 8 Char"/>
    <w:basedOn w:val="DefaultParagraphFont"/>
    <w:link w:val="Heading8"/>
    <w:rsid w:val="005F5225"/>
    <w:rPr>
      <w:rFonts w:eastAsia="Times New Roman"/>
      <w:sz w:val="22"/>
      <w:szCs w:val="22"/>
      <w:lang w:val="bg-BG" w:eastAsia="bg-BG" w:bidi="bg-BG"/>
    </w:rPr>
  </w:style>
  <w:style w:type="character" w:customStyle="1" w:styleId="Heading9Char">
    <w:name w:val="Heading 9 Char"/>
    <w:basedOn w:val="DefaultParagraphFont"/>
    <w:link w:val="Heading9"/>
    <w:rsid w:val="005F5225"/>
    <w:rPr>
      <w:rFonts w:eastAsia="Times New Roman"/>
      <w:sz w:val="22"/>
      <w:szCs w:val="22"/>
      <w:lang w:val="bg-BG" w:eastAsia="bg-BG" w:bidi="bg-BG"/>
    </w:rPr>
  </w:style>
  <w:style w:type="paragraph" w:styleId="Footer">
    <w:name w:val="footer"/>
    <w:basedOn w:val="Normal"/>
    <w:link w:val="FooterChar"/>
    <w:qFormat/>
    <w:rsid w:val="008C0E9F"/>
  </w:style>
  <w:style w:type="character" w:customStyle="1" w:styleId="FooterChar">
    <w:name w:val="Footer Char"/>
    <w:basedOn w:val="DefaultParagraphFont"/>
    <w:link w:val="Footer"/>
    <w:rsid w:val="005F5225"/>
    <w:rPr>
      <w:rFonts w:eastAsia="Times New Roman"/>
      <w:sz w:val="22"/>
      <w:szCs w:val="22"/>
      <w:lang w:eastAsia="bg-BG" w:bidi="bg-BG"/>
    </w:rPr>
  </w:style>
  <w:style w:type="paragraph" w:styleId="FootnoteText">
    <w:name w:val="footnote text"/>
    <w:basedOn w:val="Normal"/>
    <w:link w:val="FootnoteTextChar"/>
    <w:qFormat/>
    <w:rsid w:val="008C0E9F"/>
    <w:pPr>
      <w:keepLines/>
      <w:spacing w:after="60" w:line="240" w:lineRule="auto"/>
      <w:ind w:left="567" w:hanging="567"/>
    </w:pPr>
    <w:rPr>
      <w:sz w:val="16"/>
    </w:rPr>
  </w:style>
  <w:style w:type="character" w:customStyle="1" w:styleId="FootnoteTextChar">
    <w:name w:val="Footnote Text Char"/>
    <w:basedOn w:val="DefaultParagraphFont"/>
    <w:link w:val="FootnoteText"/>
    <w:rsid w:val="005F5225"/>
    <w:rPr>
      <w:rFonts w:eastAsia="Times New Roman"/>
      <w:sz w:val="16"/>
      <w:szCs w:val="22"/>
      <w:lang w:val="bg-BG" w:eastAsia="bg-BG" w:bidi="bg-BG"/>
    </w:rPr>
  </w:style>
  <w:style w:type="paragraph" w:styleId="Header">
    <w:name w:val="header"/>
    <w:basedOn w:val="Normal"/>
    <w:link w:val="HeaderChar"/>
    <w:qFormat/>
    <w:rsid w:val="008C0E9F"/>
  </w:style>
  <w:style w:type="character" w:customStyle="1" w:styleId="HeaderChar">
    <w:name w:val="Header Char"/>
    <w:basedOn w:val="DefaultParagraphFont"/>
    <w:link w:val="Header"/>
    <w:rsid w:val="005F5225"/>
    <w:rPr>
      <w:rFonts w:eastAsia="Times New Roman"/>
      <w:sz w:val="22"/>
      <w:szCs w:val="22"/>
      <w:lang w:eastAsia="bg-BG" w:bidi="bg-BG"/>
    </w:rPr>
  </w:style>
  <w:style w:type="paragraph" w:customStyle="1" w:styleId="quotes">
    <w:name w:val="quotes"/>
    <w:basedOn w:val="Normal"/>
    <w:next w:val="Normal"/>
    <w:rsid w:val="008C0E9F"/>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nhideWhenUsed/>
    <w:qFormat/>
    <w:rsid w:val="008C0E9F"/>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cs="Arial"/>
      <w:b/>
      <w:bCs/>
      <w:i/>
      <w:iCs/>
      <w:sz w:val="20"/>
    </w:rPr>
  </w:style>
  <w:style w:type="paragraph" w:styleId="BalloonText">
    <w:name w:val="Balloon Text"/>
    <w:basedOn w:val="Normal"/>
    <w:link w:val="BalloonTextChar"/>
    <w:rsid w:val="008C0E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C0E9F"/>
    <w:rPr>
      <w:rFonts w:ascii="Tahoma" w:eastAsia="Times New Roman" w:hAnsi="Tahoma" w:cs="Tahoma"/>
      <w:sz w:val="16"/>
      <w:szCs w:val="16"/>
      <w:lang w:val="bg-BG" w:eastAsia="bg-BG" w:bidi="bg-BG"/>
    </w:rPr>
  </w:style>
  <w:style w:type="paragraph" w:styleId="ListParagraph">
    <w:name w:val="List Paragraph"/>
    <w:basedOn w:val="Normal"/>
    <w:uiPriority w:val="34"/>
    <w:qFormat/>
    <w:rsid w:val="0041439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mportal.cor.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portal.cor.europa.e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A8250F70902C3D468C6C1B0E2A362630" ma:contentTypeVersion="7" ma:contentTypeDescription="Defines the documents for Document Manager V2" ma:contentTypeScope="" ma:versionID="c42fe5504ab6b3039681a82f51eb62a9">
  <xsd:schema xmlns:xsd="http://www.w3.org/2001/XMLSchema" xmlns:xs="http://www.w3.org/2001/XMLSchema" xmlns:p="http://schemas.microsoft.com/office/2006/metadata/properties" xmlns:ns2="57ac29de-03e1-4faa-aad6-90f7f21c01ea" xmlns:ns3="http://schemas.microsoft.com/sharepoint/v3/fields" xmlns:ns4="afca9e47-9f79-40f1-829d-4d49788cb1a7" targetNamespace="http://schemas.microsoft.com/office/2006/metadata/properties" ma:root="true" ma:fieldsID="42319e13262ffe8f4ea02df61ae0ed9a" ns2:_="" ns3:_="" ns4:_="">
    <xsd:import namespace="57ac29de-03e1-4faa-aad6-90f7f21c01ea"/>
    <xsd:import namespace="http://schemas.microsoft.com/sharepoint/v3/fields"/>
    <xsd:import namespace="afca9e47-9f79-40f1-829d-4d49788cb1a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c29de-03e1-4faa-aad6-90f7f21c01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e09325fe-f20c-49bb-9d8c-490f31d50c44}" ma:internalName="TaxCatchAll" ma:showField="CatchAllData" ma:web="57ac29de-03e1-4faa-aad6-90f7f21c01ea">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09325fe-f20c-49bb-9d8c-490f31d50c44}" ma:internalName="TaxCatchAllLabel" ma:readOnly="true" ma:showField="CatchAllDataLabel" ma:web="57ac29de-03e1-4faa-aad6-90f7f21c01ea">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ca9e47-9f79-40f1-829d-4d49788cb1a7"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7ac29de-03e1-4faa-aad6-90f7f21c01ea">CYVHNYQC35UN-8-3979</_dlc_DocId>
    <_dlc_DocIdUrl xmlns="57ac29de-03e1-4faa-aad6-90f7f21c01ea">
      <Url>http://dm2016/cor/2016/_layouts/DocIdRedir.aspx?ID=CYVHNYQC35UN-8-3979</Url>
      <Description>CYVHNYQC35UN-8-3979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PA</TermName>
          <TermId xmlns="http://schemas.microsoft.com/office/infopath/2007/PartnerControls">ef6fd07e-7d84-45ad-8a75-9a9414a8759c</TermId>
        </TermInfo>
      </Terms>
    </DocumentType_0>
    <Procedure xmlns="57ac29de-03e1-4faa-aad6-90f7f21c01ea"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NAT-VI</TermName>
          <TermId xmlns="http://schemas.microsoft.com/office/infopath/2007/PartnerControls">e54bcc5f-9c36-435f-9089-634f42a88ebb</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57ac29de-03e1-4faa-aad6-90f7f21c01ea">2017-01-16T12:00:00+00:00</ProductionDate>
    <FicheYear xmlns="57ac29de-03e1-4faa-aad6-90f7f21c01ea">2017</FicheYear>
    <DocumentNumber xmlns="afca9e47-9f79-40f1-829d-4d49788cb1a7">5035</DocumentNumber>
    <DocumentVersion xmlns="57ac29de-03e1-4faa-aad6-90f7f21c01ea">2</DocumentVersion>
    <DossierNumber xmlns="57ac29de-03e1-4faa-aad6-90f7f21c01ea">15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7ac29de-03e1-4faa-aad6-90f7f21c01ea">2017-02-02T12:00:00+00:00</MeetingDate>
    <TaxCatchAll xmlns="57ac29de-03e1-4faa-aad6-90f7f21c01ea">
      <Value>91</Value>
      <Value>38</Value>
      <Value>37</Value>
      <Value>36</Value>
      <Value>35</Value>
      <Value>34</Value>
      <Value>33</Value>
      <Value>32</Value>
      <Value>31</Value>
      <Value>29</Value>
      <Value>28</Value>
      <Value>27</Value>
      <Value>25</Value>
      <Value>24</Value>
      <Value>23</Value>
      <Value>22</Value>
      <Value>21</Value>
      <Value>20</Value>
      <Value>19</Value>
      <Value>18</Value>
      <Value>17</Value>
      <Value>11</Value>
      <Value>58</Value>
      <Value>9</Value>
      <Value>55</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s>
    </DocumentLanguage_0>
    <Rapporteur xmlns="57ac29de-03e1-4faa-aad6-90f7f21c01ea">BANASZAK</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57ac29de-03e1-4faa-aad6-90f7f21c01ea">432</FicheNumber>
    <DocumentYear xmlns="57ac29de-03e1-4faa-aad6-90f7f21c01ea">2016</DocumentYear>
    <DocumentPart xmlns="57ac29de-03e1-4faa-aad6-90f7f21c01ea">0</DocumentPart>
    <AdoptionDate xmlns="57ac29de-03e1-4faa-aad6-90f7f21c01ea" xsi:nil="true"/>
    <RequestingService xmlns="57ac29de-03e1-4faa-aad6-90f7f21c01ea">Commission NAT</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NAT-VI</TermName>
          <TermId xmlns="http://schemas.microsoft.com/office/infopath/2007/PartnerControls">ac8c3215-1358-4c9c-9473-7519491f4252</TermId>
        </TermInfo>
      </Term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s>
    </AvailableTranslations_0>
    <MeetingNumber xmlns="afca9e47-9f79-40f1-829d-4d49788cb1a7" xsi:nil="true"/>
    <OriginalSender xmlns="57ac29de-03e1-4faa-aad6-90f7f21c01ea">
      <UserInfo>
        <DisplayName/>
        <AccountId xsi:nil="true"/>
        <AccountType/>
      </UserInfo>
    </OriginalSen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B04D4-058E-46B7-AB6A-CC44197EA565}">
  <ds:schemaRefs>
    <ds:schemaRef ds:uri="http://schemas.microsoft.com/sharepoint/v3/contenttype/forms"/>
  </ds:schemaRefs>
</ds:datastoreItem>
</file>

<file path=customXml/itemProps2.xml><?xml version="1.0" encoding="utf-8"?>
<ds:datastoreItem xmlns:ds="http://schemas.openxmlformats.org/officeDocument/2006/customXml" ds:itemID="{12D32EB0-DB62-4348-8819-7934932964FE}">
  <ds:schemaRefs>
    <ds:schemaRef ds:uri="http://schemas.microsoft.com/sharepoint/events"/>
  </ds:schemaRefs>
</ds:datastoreItem>
</file>

<file path=customXml/itemProps3.xml><?xml version="1.0" encoding="utf-8"?>
<ds:datastoreItem xmlns:ds="http://schemas.openxmlformats.org/officeDocument/2006/customXml" ds:itemID="{D35C70AE-55C8-405A-ABD8-B7A6718E7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c29de-03e1-4faa-aad6-90f7f21c01ea"/>
    <ds:schemaRef ds:uri="http://schemas.microsoft.com/sharepoint/v3/fields"/>
    <ds:schemaRef ds:uri="afca9e47-9f79-40f1-829d-4d49788cb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A67EF-9DC6-4B07-BF19-1B2B0ABEB39B}">
  <ds:schemaRefs>
    <ds:schemaRef ds:uri="http://schemas.microsoft.com/office/2006/metadata/properties"/>
    <ds:schemaRef ds:uri="http://schemas.microsoft.com/office/infopath/2007/PartnerControls"/>
    <ds:schemaRef ds:uri="57ac29de-03e1-4faa-aad6-90f7f21c01ea"/>
    <ds:schemaRef ds:uri="http://schemas.microsoft.com/sharepoint/v3/fields"/>
    <ds:schemaRef ds:uri="afca9e47-9f79-40f1-829d-4d49788cb1a7"/>
  </ds:schemaRefs>
</ds:datastoreItem>
</file>

<file path=customXml/itemProps5.xml><?xml version="1.0" encoding="utf-8"?>
<ds:datastoreItem xmlns:ds="http://schemas.openxmlformats.org/officeDocument/2006/customXml" ds:itemID="{A06C2F85-FCC1-471E-A73E-8E734435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План за действие относно Рамковата програма от Сендай за намаляване на риска от бедствия за периода 2015 – 2030 г.</vt:lpstr>
    </vt:vector>
  </TitlesOfParts>
  <Company>CESE-CdR</Company>
  <LinksUpToDate>false</LinksUpToDate>
  <CharactersWithSpaces>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за действие относно Рамковата програма от Сендай за намаляване на риска от бедствия за периода 2015 – 2030 г.</dc:title>
  <dc:subject>Проектостановище</dc:subject>
  <dc:creator>EliteBook</dc:creator>
  <cp:keywords>COR-2016-05035-00-02-PA-TRA-BG</cp:keywords>
  <dc:description>Rapporteur: BANASZAK_x000d_
Original language: PL_x000d_
Date of document: 16/01/2017_x000d_
Date of meeting: 02/02/2017_x000d_
External documents: SWD(2016)205-final_x000d_
Administrator responsible: Stoyanov Dimo, telephone: + 2 282 2296_x000d_
_x000d_
Abstract:</dc:description>
  <cp:lastModifiedBy>EliteBook</cp:lastModifiedBy>
  <cp:revision>2</cp:revision>
  <cp:lastPrinted>2006-06-27T15:17:00Z</cp:lastPrinted>
  <dcterms:created xsi:type="dcterms:W3CDTF">2021-07-10T06:27:00Z</dcterms:created>
  <dcterms:modified xsi:type="dcterms:W3CDTF">2021-07-10T06:27:00Z</dcterms:modified>
  <cp:category>NAT-VI/015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 date">
    <vt:lpwstr/>
  </property>
  <property fmtid="{D5CDD505-2E9C-101B-9397-08002B2CF9AE}" pid="3" name="Year">
    <vt:lpwstr/>
  </property>
  <property fmtid="{D5CDD505-2E9C-101B-9397-08002B2CF9AE}" pid="4" name="Domain New">
    <vt:lpwstr>IT tools related documents</vt:lpwstr>
  </property>
  <property fmtid="{D5CDD505-2E9C-101B-9397-08002B2CF9AE}" pid="5" name="Subdomain New">
    <vt:lpwstr>Ariane</vt:lpwstr>
  </property>
  <property fmtid="{D5CDD505-2E9C-101B-9397-08002B2CF9AE}" pid="6" name="ContentTypeId">
    <vt:lpwstr>0x010100EA97B91038054C99906057A708A1480A00A8250F70902C3D468C6C1B0E2A362630</vt:lpwstr>
  </property>
  <property fmtid="{D5CDD505-2E9C-101B-9397-08002B2CF9AE}" pid="7" name="Pref_formatted">
    <vt:bool>true</vt:bool>
  </property>
  <property fmtid="{D5CDD505-2E9C-101B-9397-08002B2CF9AE}" pid="8" name="Pref_Date">
    <vt:lpwstr>13/01/2017, 13/01/2017, 10/01/2017</vt:lpwstr>
  </property>
  <property fmtid="{D5CDD505-2E9C-101B-9397-08002B2CF9AE}" pid="9" name="Pref_Time">
    <vt:lpwstr>16:24:18, 12:01:13, 17:11:16</vt:lpwstr>
  </property>
  <property fmtid="{D5CDD505-2E9C-101B-9397-08002B2CF9AE}" pid="10" name="Pref_User">
    <vt:lpwstr>enied, mreg, jhvi</vt:lpwstr>
  </property>
  <property fmtid="{D5CDD505-2E9C-101B-9397-08002B2CF9AE}" pid="11" name="Pref_FileName">
    <vt:lpwstr>COR-2016-05035-00-02-PA-TRA-PL-CRR.docx, COR-2016-05035-00-01-PA-ORI.docx, COR-2016-05035-00-00-PA-TRA-PL-CRR.docx</vt:lpwstr>
  </property>
  <property fmtid="{D5CDD505-2E9C-101B-9397-08002B2CF9AE}" pid="12" name="_dlc_DocIdItemGuid">
    <vt:lpwstr>897bbba6-e6f5-47eb-a471-f78c9e2b7813</vt:lpwstr>
  </property>
  <property fmtid="{D5CDD505-2E9C-101B-9397-08002B2CF9AE}" pid="13" name="DocumentType_0">
    <vt:lpwstr>PA|ef6fd07e-7d84-45ad-8a75-9a9414a8759c</vt:lpwstr>
  </property>
  <property fmtid="{D5CDD505-2E9C-101B-9397-08002B2CF9AE}" pid="14" name="AvailableTranslations">
    <vt:lpwstr>18;#NL|55c6556c-b4f4-441d-9acf-c498d4f838bd;#19;#EL|6d4f4d51-af9b-4650-94b4-4276bee85c91;#38;#PT|50ccc04a-eadd-42ae-a0cb-acaf45f812ba;#27;#DA|5d49c027-8956-412b-aa16-e85a0f96ad0e;#32;#SV|c2ed69e7-a339-43d7-8f22-d93680a92aa0;#25;#SL|98a412ae-eb01-49e9-ae3d</vt:lpwstr>
  </property>
  <property fmtid="{D5CDD505-2E9C-101B-9397-08002B2CF9AE}" pid="15" name="DossierName_0">
    <vt:lpwstr>NAT-VI|e54bcc5f-9c36-435f-9089-634f42a88ebb</vt:lpwstr>
  </property>
  <property fmtid="{D5CDD505-2E9C-101B-9397-08002B2CF9AE}" pid="16" name="DocumentSource_0">
    <vt:lpwstr>CoR|cb2d75ef-4a7d-4393-b797-49ed6298a5ea</vt:lpwstr>
  </property>
  <property fmtid="{D5CDD505-2E9C-101B-9397-08002B2CF9AE}" pid="17" name="FicheYear">
    <vt:i4>2017</vt:i4>
  </property>
  <property fmtid="{D5CDD505-2E9C-101B-9397-08002B2CF9AE}" pid="18" name="DocumentNumber">
    <vt:i4>5035</vt:i4>
  </property>
  <property fmtid="{D5CDD505-2E9C-101B-9397-08002B2CF9AE}" pid="19" name="DocumentVersion">
    <vt:i4>2</vt:i4>
  </property>
  <property fmtid="{D5CDD505-2E9C-101B-9397-08002B2CF9AE}" pid="20" name="DossierNumber">
    <vt:i4>15</vt:i4>
  </property>
  <property fmtid="{D5CDD505-2E9C-101B-9397-08002B2CF9AE}" pid="21" name="DocumentStatus">
    <vt:lpwstr>2;#TRA|150d2a88-1431-44e6-a8ca-0bb753ab8672</vt:lpwstr>
  </property>
  <property fmtid="{D5CDD505-2E9C-101B-9397-08002B2CF9AE}" pid="22" name="DossierName">
    <vt:lpwstr>91;#NAT-VI|e54bcc5f-9c36-435f-9089-634f42a88ebb</vt:lpwstr>
  </property>
  <property fmtid="{D5CDD505-2E9C-101B-9397-08002B2CF9AE}" pid="23" name="RequestingService">
    <vt:lpwstr>Commission NAT</vt:lpwstr>
  </property>
  <property fmtid="{D5CDD505-2E9C-101B-9397-08002B2CF9AE}" pid="24" name="Confidentiality">
    <vt:lpwstr>5;#Unrestricted|826e22d7-d029-4ec0-a450-0c28ff673572</vt:lpwstr>
  </property>
  <property fmtid="{D5CDD505-2E9C-101B-9397-08002B2CF9AE}" pid="25" name="Confidentiality_0">
    <vt:lpwstr>Unrestricted|826e22d7-d029-4ec0-a450-0c28ff673572</vt:lpwstr>
  </property>
  <property fmtid="{D5CDD505-2E9C-101B-9397-08002B2CF9AE}" pid="26" name="MeetingName_0">
    <vt:lpwstr>NAT-VI|ac8c3215-1358-4c9c-9473-7519491f4252</vt:lpwstr>
  </property>
  <property fmtid="{D5CDD505-2E9C-101B-9397-08002B2CF9AE}" pid="27" name="OriginalLanguage">
    <vt:lpwstr>23;#PL|1e03da61-4678-4e07-b136-b5024ca9197b</vt:lpwstr>
  </property>
  <property fmtid="{D5CDD505-2E9C-101B-9397-08002B2CF9AE}" pid="28" name="MeetingName">
    <vt:lpwstr>58;#NAT-VI|ac8c3215-1358-4c9c-9473-7519491f4252</vt:lpwstr>
  </property>
  <property fmtid="{D5CDD505-2E9C-101B-9397-08002B2CF9AE}" pid="29" name="DocumentStatus_0">
    <vt:lpwstr>TRA|150d2a88-1431-44e6-a8ca-0bb753ab8672</vt:lpwstr>
  </property>
  <property fmtid="{D5CDD505-2E9C-101B-9397-08002B2CF9AE}" pid="30" name="OriginalLanguage_0">
    <vt:lpwstr>PL|1e03da61-4678-4e07-b136-b5024ca9197b</vt:lpwstr>
  </property>
  <property fmtid="{D5CDD505-2E9C-101B-9397-08002B2CF9AE}" pid="31" name="MeetingDate">
    <vt:filetime>2017-02-02T12:00:00Z</vt:filetime>
  </property>
  <property fmtid="{D5CDD505-2E9C-101B-9397-08002B2CF9AE}" pid="32" name="TaxCatchAll">
    <vt:lpwstr>91;#NAT-VI|e54bcc5f-9c36-435f-9089-634f42a88ebb;#35;#CS|72f9705b-0217-4fd3-bea2-cbc7ed80e26e;#34;#HU|6b229040-c589-4408-b4c1-4285663d20a8;#32;#SV|c2ed69e7-a339-43d7-8f22-d93680a92aa0;#31;#LV|46f7e311-5d9f-4663-b433-18aeccb7ace7;#29;#MT|7df99101-6854-4a26-</vt:lpwstr>
  </property>
  <property fmtid="{D5CDD505-2E9C-101B-9397-08002B2CF9AE}" pid="33" name="AvailableTranslations_0">
    <vt:lpwstr>NL|55c6556c-b4f4-441d-9acf-c498d4f838bd;EL|6d4f4d51-af9b-4650-94b4-4276bee85c91;SV|c2ed69e7-a339-43d7-8f22-d93680a92aa0;SL|98a412ae-eb01-49e9-ae3d-585a81724cfc;PL|1e03da61-4678-4e07-b136-b5024ca9197b;LV|46f7e311-5d9f-4663-b433-18aeccb7ace7;MT|7df99101-685</vt:lpwstr>
  </property>
  <property fmtid="{D5CDD505-2E9C-101B-9397-08002B2CF9AE}" pid="34" name="VersionStatus">
    <vt:lpwstr>6;#Final|ea5e6674-7b27-4bac-b091-73adbb394efe</vt:lpwstr>
  </property>
  <property fmtid="{D5CDD505-2E9C-101B-9397-08002B2CF9AE}" pid="35" name="Rapporteur">
    <vt:lpwstr>BANASZAK</vt:lpwstr>
  </property>
  <property fmtid="{D5CDD505-2E9C-101B-9397-08002B2CF9AE}" pid="36" name="VersionStatus_0">
    <vt:lpwstr>Final|ea5e6674-7b27-4bac-b091-73adbb394efe</vt:lpwstr>
  </property>
  <property fmtid="{D5CDD505-2E9C-101B-9397-08002B2CF9AE}" pid="37" name="FicheNumber">
    <vt:i4>432</vt:i4>
  </property>
  <property fmtid="{D5CDD505-2E9C-101B-9397-08002B2CF9AE}" pid="38" name="DocumentYear">
    <vt:i4>2016</vt:i4>
  </property>
  <property fmtid="{D5CDD505-2E9C-101B-9397-08002B2CF9AE}" pid="39" name="DocumentSource">
    <vt:lpwstr>1;#CoR|cb2d75ef-4a7d-4393-b797-49ed6298a5ea</vt:lpwstr>
  </property>
  <property fmtid="{D5CDD505-2E9C-101B-9397-08002B2CF9AE}" pid="40" name="DocumentType">
    <vt:lpwstr>55;#PA|ef6fd07e-7d84-45ad-8a75-9a9414a8759c</vt:lpwstr>
  </property>
  <property fmtid="{D5CDD505-2E9C-101B-9397-08002B2CF9AE}" pid="41" name="DocumentPart">
    <vt:i4>0</vt:i4>
  </property>
  <property fmtid="{D5CDD505-2E9C-101B-9397-08002B2CF9AE}" pid="42" name="DocumentLanguage">
    <vt:lpwstr>37;#BG|1a1b3951-7821-4e6a-85f5-5673fc08bd2c</vt:lpwstr>
  </property>
  <property fmtid="{D5CDD505-2E9C-101B-9397-08002B2CF9AE}" pid="43" name="DocumentLanguage_0">
    <vt:lpwstr>PL|1e03da61-4678-4e07-b136-b5024ca9197b</vt:lpwstr>
  </property>
</Properties>
</file>