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18" w:rsidRPr="00731ABB" w:rsidRDefault="00731ABB" w:rsidP="006C1E18">
      <w:pPr>
        <w:shd w:val="clear" w:color="auto" w:fill="FFFFFF"/>
        <w:spacing w:before="330" w:after="165" w:line="240" w:lineRule="auto"/>
        <w:outlineLvl w:val="0"/>
        <w:rPr>
          <w:rFonts w:ascii="Oswald" w:eastAsia="Times New Roman" w:hAnsi="Oswald" w:cs="Times New Roman"/>
          <w:kern w:val="36"/>
          <w:sz w:val="20"/>
          <w:szCs w:val="20"/>
          <w:lang w:val="bg-BG"/>
        </w:rPr>
      </w:pPr>
      <w:hyperlink r:id="rId5" w:history="1">
        <w:r w:rsidR="006C1E18" w:rsidRPr="00731ABB">
          <w:rPr>
            <w:rStyle w:val="Hyperlink"/>
            <w:rFonts w:ascii="Oswald" w:eastAsia="Times New Roman" w:hAnsi="Oswald" w:cs="Times New Roman"/>
            <w:color w:val="auto"/>
            <w:kern w:val="36"/>
            <w:sz w:val="20"/>
            <w:szCs w:val="20"/>
            <w:lang w:val="bg-BG"/>
          </w:rPr>
          <w:t>https://oiraproject.eu/bg/how-carry-out-risk-assessment</w:t>
        </w:r>
      </w:hyperlink>
      <w:r>
        <w:rPr>
          <w:rStyle w:val="Hyperlink"/>
          <w:rFonts w:ascii="Oswald" w:eastAsia="Times New Roman" w:hAnsi="Oswald" w:cs="Times New Roman"/>
          <w:color w:val="auto"/>
          <w:kern w:val="36"/>
          <w:sz w:val="20"/>
          <w:szCs w:val="20"/>
          <w:lang w:val="bg-BG"/>
        </w:rPr>
        <w:t xml:space="preserve"> </w:t>
      </w:r>
      <w:bookmarkStart w:id="0" w:name="_GoBack"/>
      <w:bookmarkEnd w:id="0"/>
    </w:p>
    <w:p w:rsidR="006C1E18" w:rsidRPr="00731ABB" w:rsidRDefault="006C1E18" w:rsidP="006C1E18">
      <w:pPr>
        <w:shd w:val="clear" w:color="auto" w:fill="FFFFFF"/>
        <w:spacing w:before="330" w:after="165" w:line="240" w:lineRule="auto"/>
        <w:outlineLvl w:val="0"/>
        <w:rPr>
          <w:rFonts w:ascii="Oswald" w:eastAsia="Times New Roman" w:hAnsi="Oswald" w:cs="Times New Roman"/>
          <w:kern w:val="36"/>
          <w:sz w:val="62"/>
          <w:szCs w:val="62"/>
          <w:lang w:val="bg-BG"/>
        </w:rPr>
      </w:pPr>
      <w:r w:rsidRPr="00731ABB">
        <w:rPr>
          <w:rFonts w:ascii="Oswald" w:eastAsia="Times New Roman" w:hAnsi="Oswald" w:cs="Times New Roman"/>
          <w:kern w:val="36"/>
          <w:sz w:val="62"/>
          <w:szCs w:val="62"/>
          <w:lang w:val="bg-BG"/>
        </w:rPr>
        <w:t>Как да направим оценка на риска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На равнище ЕС не съществуват определени норми относно начина на извършване на оценката на рисковете (необходимо е да направите проверка в конкретното законодателство, отнасящо се за оценката на риска във вашата страна). Все пак обаче, съществуват два принципа, които следва да имате винаги предвид, когато подхождате към оценка на риска:</w:t>
      </w:r>
    </w:p>
    <w:p w:rsidR="006C1E18" w:rsidRPr="00731ABB" w:rsidRDefault="006C1E18" w:rsidP="006C1E18">
      <w:pPr>
        <w:numPr>
          <w:ilvl w:val="0"/>
          <w:numId w:val="2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структуриране на оценката с цел да се гарантира, че се обръща внимание на всички относими опасности и рискове (напр. да не се пренебрегват такива задачи, като почистване, което е вероятно да се изръшва извън нормалното работно време или спомагателни отдели, като събиране на отпадъци);</w:t>
      </w:r>
    </w:p>
    <w:p w:rsidR="006C1E18" w:rsidRPr="00731ABB" w:rsidRDefault="006C1E18" w:rsidP="006C1E18">
      <w:pPr>
        <w:numPr>
          <w:ilvl w:val="0"/>
          <w:numId w:val="2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след определяне на риска следва да се започне оценка по първите принципи, като се зададе въпрос дали рискът може да бъде отстранен.</w:t>
      </w:r>
    </w:p>
    <w:p w:rsidR="006C1E18" w:rsidRPr="00731ABB" w:rsidRDefault="006C1E18" w:rsidP="006C1E18">
      <w:pPr>
        <w:shd w:val="clear" w:color="auto" w:fill="FFFFFF"/>
        <w:spacing w:before="330" w:after="165" w:line="240" w:lineRule="auto"/>
        <w:outlineLvl w:val="1"/>
        <w:rPr>
          <w:rFonts w:ascii="Oswald" w:eastAsia="Times New Roman" w:hAnsi="Oswald" w:cs="Times New Roman"/>
          <w:sz w:val="48"/>
          <w:szCs w:val="48"/>
          <w:lang w:val="bg-BG"/>
        </w:rPr>
      </w:pPr>
      <w:r w:rsidRPr="00731ABB">
        <w:rPr>
          <w:rFonts w:ascii="Oswald" w:eastAsia="Times New Roman" w:hAnsi="Oswald" w:cs="Times New Roman"/>
          <w:sz w:val="48"/>
          <w:szCs w:val="48"/>
          <w:lang w:val="bg-BG"/>
        </w:rPr>
        <w:t>Поетапен подход към оценката на риска</w:t>
      </w:r>
    </w:p>
    <w:p w:rsidR="006C1E18" w:rsidRPr="00731ABB" w:rsidRDefault="006C1E18" w:rsidP="006C1E1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Европейското ръководство за </w:t>
      </w:r>
      <w:hyperlink r:id="rId6" w:tgtFrame="_blank" w:history="1">
        <w:r w:rsidRPr="00731ABB">
          <w:rPr>
            <w:rFonts w:ascii="Roboto" w:eastAsia="Times New Roman" w:hAnsi="Roboto" w:cs="Times New Roman"/>
            <w:i/>
            <w:iCs/>
            <w:sz w:val="24"/>
            <w:szCs w:val="24"/>
            <w:u w:val="single"/>
            <w:lang w:val="bg-BG"/>
          </w:rPr>
          <w:t>Оценка на риска в работата</w:t>
        </w:r>
      </w:hyperlink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 предлага подход, основан на няколко стъпки. Това не е единственият метод на изпълнение на оценка на риска, съществуват най-разнообразни методики за постигане на същата цел. Не съществува един единствен “правилен” начин за извършване на оценка на риска и при различни обстоятелства могат да се използват различни подходи.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За повечето предприятия, особено малки и средни предприятия, е много полезен директният подход от пет стъпки (включващ елементи на управление на риска), например представеният по-долу.</w:t>
      </w:r>
    </w:p>
    <w:p w:rsidR="006C1E18" w:rsidRPr="00731ABB" w:rsidRDefault="006C1E18" w:rsidP="006C1E18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val="bg-BG"/>
        </w:rPr>
      </w:pPr>
      <w:r w:rsidRPr="00731ABB">
        <w:rPr>
          <w:rFonts w:ascii="inherit" w:eastAsia="Times New Roman" w:hAnsi="inherit" w:cs="Times New Roman"/>
          <w:sz w:val="30"/>
          <w:szCs w:val="30"/>
          <w:lang w:val="bg-BG"/>
        </w:rPr>
        <w:t>Стъпка 1. Определяне на опасностите и на застрашените лица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Търсене на факторите в работната среда, които имат потенциал да причинят увреждане, и определяне на работниците, които могат да бъдат изложени на опасности.</w:t>
      </w:r>
    </w:p>
    <w:p w:rsidR="006C1E18" w:rsidRPr="00731ABB" w:rsidRDefault="006C1E18" w:rsidP="006C1E18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val="bg-BG"/>
        </w:rPr>
      </w:pPr>
      <w:r w:rsidRPr="00731ABB">
        <w:rPr>
          <w:rFonts w:ascii="inherit" w:eastAsia="Times New Roman" w:hAnsi="inherit" w:cs="Times New Roman"/>
          <w:sz w:val="30"/>
          <w:szCs w:val="30"/>
          <w:lang w:val="bg-BG"/>
        </w:rPr>
        <w:t>Стъпка 2. Оценка на рисковете и тяхното подреждане по степен на важност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Преценяване на съществуващите рискове (сериозност и вероятност на възможната увреждане…) и подреждането им по степен на важност.</w:t>
      </w:r>
    </w:p>
    <w:p w:rsidR="006C1E18" w:rsidRPr="00731ABB" w:rsidRDefault="006C1E18" w:rsidP="006C1E18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val="bg-BG"/>
        </w:rPr>
      </w:pPr>
      <w:r w:rsidRPr="00731ABB">
        <w:rPr>
          <w:rFonts w:ascii="inherit" w:eastAsia="Times New Roman" w:hAnsi="inherit" w:cs="Times New Roman"/>
          <w:sz w:val="30"/>
          <w:szCs w:val="30"/>
          <w:lang w:val="bg-BG"/>
        </w:rPr>
        <w:t>Стъпка 3. Решение за предприемане на превантивни действия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Определяне на подходящите мерки за отстраняване или контролиране на рисковете.</w:t>
      </w:r>
    </w:p>
    <w:p w:rsidR="006C1E18" w:rsidRPr="00731ABB" w:rsidRDefault="006C1E18" w:rsidP="006C1E18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val="bg-BG"/>
        </w:rPr>
      </w:pPr>
      <w:r w:rsidRPr="00731ABB">
        <w:rPr>
          <w:rFonts w:ascii="inherit" w:eastAsia="Times New Roman" w:hAnsi="inherit" w:cs="Times New Roman"/>
          <w:sz w:val="30"/>
          <w:szCs w:val="30"/>
          <w:lang w:val="bg-BG"/>
        </w:rPr>
        <w:t>Стъпка 4. Предприемане на действия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lastRenderedPageBreak/>
        <w:t>Изпълнение на превантивните и защитни мерки посредством план за определяне на приоритетите.</w:t>
      </w:r>
    </w:p>
    <w:p w:rsidR="006C1E18" w:rsidRPr="00731ABB" w:rsidRDefault="006C1E18" w:rsidP="006C1E18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val="bg-BG"/>
        </w:rPr>
      </w:pPr>
      <w:r w:rsidRPr="00731ABB">
        <w:rPr>
          <w:rFonts w:ascii="inherit" w:eastAsia="Times New Roman" w:hAnsi="inherit" w:cs="Times New Roman"/>
          <w:sz w:val="30"/>
          <w:szCs w:val="30"/>
          <w:lang w:val="bg-BG"/>
        </w:rPr>
        <w:t>Стъпка 5. Контрол и преглед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Оценката следва да се преразглежда периодично, за да се гарантира нейната актуалност.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Все пак обаче, важно е да се знае, че съществуват други методи, които са също толкова добри, по-специално за по-сложни рискове и обстоятелства. Кой подход към оценката да се приложи, ще зависи от:</w:t>
      </w:r>
    </w:p>
    <w:p w:rsidR="006C1E18" w:rsidRPr="00731ABB" w:rsidRDefault="006C1E18" w:rsidP="006C1E18">
      <w:pPr>
        <w:numPr>
          <w:ilvl w:val="0"/>
          <w:numId w:val="3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характера на работното място (напр. постоянно или временно предприятие)</w:t>
      </w:r>
    </w:p>
    <w:p w:rsidR="006C1E18" w:rsidRPr="00731ABB" w:rsidRDefault="006C1E18" w:rsidP="006C1E18">
      <w:pPr>
        <w:numPr>
          <w:ilvl w:val="0"/>
          <w:numId w:val="3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вида на процеса (напр. повтарящи се операции, развиващи се/променящи се процеси, работа по заявка)</w:t>
      </w:r>
    </w:p>
    <w:p w:rsidR="006C1E18" w:rsidRPr="00731ABB" w:rsidRDefault="006C1E18" w:rsidP="006C1E18">
      <w:pPr>
        <w:numPr>
          <w:ilvl w:val="0"/>
          <w:numId w:val="3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изпълняваната задача (напр. повтаряща се, рядка или високорискова)</w:t>
      </w:r>
    </w:p>
    <w:p w:rsidR="006C1E18" w:rsidRPr="00731ABB" w:rsidRDefault="006C1E18" w:rsidP="006C1E18">
      <w:pPr>
        <w:numPr>
          <w:ilvl w:val="0"/>
          <w:numId w:val="3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техническата сложност.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В някои случаи може да е подходящо едно единствено действие по оценяване, обхващащо всички рискове на едно работно място или дейност. В други случаи, за различните части на работното място може да са подходящи различни подходи.</w:t>
      </w:r>
    </w:p>
    <w:p w:rsidR="006C1E18" w:rsidRPr="00731ABB" w:rsidRDefault="006C1E18" w:rsidP="006C1E18">
      <w:pPr>
        <w:shd w:val="clear" w:color="auto" w:fill="FFFFFF"/>
        <w:spacing w:before="330" w:after="165" w:line="240" w:lineRule="auto"/>
        <w:outlineLvl w:val="1"/>
        <w:rPr>
          <w:rFonts w:ascii="Oswald" w:eastAsia="Times New Roman" w:hAnsi="Oswald" w:cs="Times New Roman"/>
          <w:sz w:val="48"/>
          <w:szCs w:val="48"/>
          <w:lang w:val="bg-BG"/>
        </w:rPr>
      </w:pPr>
      <w:r w:rsidRPr="00731ABB">
        <w:rPr>
          <w:rFonts w:ascii="Oswald" w:eastAsia="Times New Roman" w:hAnsi="Oswald" w:cs="Times New Roman"/>
          <w:sz w:val="48"/>
          <w:szCs w:val="48"/>
          <w:lang w:val="bg-BG"/>
        </w:rPr>
        <w:t>Документиране на оценката на риска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Следва да се поддържа архив на резултатите от оценките на риска в работата. Този архив може да се използва като основа за:</w:t>
      </w:r>
    </w:p>
    <w:p w:rsidR="006C1E18" w:rsidRPr="00731ABB" w:rsidRDefault="006C1E18" w:rsidP="006C1E18">
      <w:pPr>
        <w:numPr>
          <w:ilvl w:val="0"/>
          <w:numId w:val="4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информация, която да се предаде на съответните лица</w:t>
      </w:r>
    </w:p>
    <w:p w:rsidR="006C1E18" w:rsidRPr="00731ABB" w:rsidRDefault="006C1E18" w:rsidP="006C1E18">
      <w:pPr>
        <w:numPr>
          <w:ilvl w:val="0"/>
          <w:numId w:val="4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контрол за оценка дали необходимите мерки са въведени</w:t>
      </w:r>
    </w:p>
    <w:p w:rsidR="006C1E18" w:rsidRPr="00731ABB" w:rsidRDefault="006C1E18" w:rsidP="006C1E18">
      <w:pPr>
        <w:numPr>
          <w:ilvl w:val="0"/>
          <w:numId w:val="4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доказателства, които да се представят на надзорните органи</w:t>
      </w:r>
    </w:p>
    <w:p w:rsidR="006C1E18" w:rsidRPr="00731ABB" w:rsidRDefault="006C1E18" w:rsidP="006C1E18">
      <w:pPr>
        <w:numPr>
          <w:ilvl w:val="0"/>
          <w:numId w:val="4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всяко преразглеждане при промяна на обстоятелствата.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Препоръчва се да се архивират най-малко следните детайли: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име и длъжност на лицето(лицата), извършващи проверката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определените опасности и рискове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групите работници, изложени на конкретни рискове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необходимите защитни мерки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подробности относно въвеждането на мерките, като напр. име на отговорното лице и дата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подробности относно последващия мониторинг и мерките за преглед, включително дати и участващите хора</w:t>
      </w:r>
    </w:p>
    <w:p w:rsidR="006C1E18" w:rsidRPr="00731ABB" w:rsidRDefault="006C1E18" w:rsidP="006C1E18">
      <w:pPr>
        <w:numPr>
          <w:ilvl w:val="0"/>
          <w:numId w:val="5"/>
        </w:numPr>
        <w:shd w:val="clear" w:color="auto" w:fill="FFFFFF"/>
        <w:spacing w:after="165" w:line="240" w:lineRule="auto"/>
        <w:ind w:left="450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lastRenderedPageBreak/>
        <w:t>подробности относно участието на работниците и на техни представители в процеса за оценка на риска.</w:t>
      </w:r>
    </w:p>
    <w:p w:rsidR="006C1E18" w:rsidRPr="00731ABB" w:rsidRDefault="006C1E18" w:rsidP="006C1E18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sz w:val="24"/>
          <w:szCs w:val="24"/>
          <w:lang w:val="bg-BG"/>
        </w:rPr>
      </w:pPr>
      <w:r w:rsidRPr="00731ABB">
        <w:rPr>
          <w:rFonts w:ascii="Roboto" w:eastAsia="Times New Roman" w:hAnsi="Roboto" w:cs="Times New Roman"/>
          <w:sz w:val="24"/>
          <w:szCs w:val="24"/>
          <w:lang w:val="bg-BG"/>
        </w:rPr>
        <w:t>Архивите на оценките следва да бъдат съставени при съгласуване и участие на работниците и/или техни представители, като им се предоставят за информация. Съответните работници следва във всички случай да бъдат информирани относно резултатите от всяка оценка, която засяга техното работно място, както и какво действие да се предприеме в резултат на оценката.</w:t>
      </w:r>
    </w:p>
    <w:p w:rsidR="00560D31" w:rsidRPr="00731ABB" w:rsidRDefault="00560D31">
      <w:pPr>
        <w:rPr>
          <w:lang w:val="bg-BG"/>
        </w:rPr>
      </w:pPr>
    </w:p>
    <w:sectPr w:rsidR="00560D31" w:rsidRPr="00731A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2963"/>
    <w:multiLevelType w:val="multilevel"/>
    <w:tmpl w:val="0DB4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53F36"/>
    <w:multiLevelType w:val="multilevel"/>
    <w:tmpl w:val="9AD6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A67E9"/>
    <w:multiLevelType w:val="multilevel"/>
    <w:tmpl w:val="29CC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674D5"/>
    <w:multiLevelType w:val="multilevel"/>
    <w:tmpl w:val="D54A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32E21"/>
    <w:multiLevelType w:val="multilevel"/>
    <w:tmpl w:val="D6D0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18"/>
    <w:rsid w:val="00560D31"/>
    <w:rsid w:val="006C1E18"/>
    <w:rsid w:val="00731ABB"/>
    <w:rsid w:val="00B262F5"/>
    <w:rsid w:val="00E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D8E6-CDB5-49AE-B505-0FDEABF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2593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ha.europa.eu/en/legislation/guidelines/guidance-on-risk-assessment-at-work.pdf%20" TargetMode="External"/><Relationship Id="rId5" Type="http://schemas.openxmlformats.org/officeDocument/2006/relationships/hyperlink" Target="https://oiraproject.eu/bg/how-carry-out-risk-assess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EliteBook</cp:lastModifiedBy>
  <cp:revision>4</cp:revision>
  <dcterms:created xsi:type="dcterms:W3CDTF">2018-05-14T07:40:00Z</dcterms:created>
  <dcterms:modified xsi:type="dcterms:W3CDTF">2021-07-13T06:19:00Z</dcterms:modified>
</cp:coreProperties>
</file>