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07" w:rsidRPr="007A0407" w:rsidRDefault="007A0407" w:rsidP="007A0407">
      <w:pPr>
        <w:spacing w:after="200" w:line="276" w:lineRule="auto"/>
        <w:rPr>
          <w:rFonts w:ascii="Calibri" w:eastAsia="Calibri" w:hAnsi="Calibri" w:cs="Times New Roman"/>
          <w:lang w:val="x-none" w:eastAsia="x-none"/>
        </w:rPr>
      </w:pPr>
    </w:p>
    <w:p w:rsidR="007A0407" w:rsidRPr="007A0407" w:rsidRDefault="007A0407" w:rsidP="007A0407">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rPr>
          <w:rFonts w:ascii="Times New Roman" w:eastAsia="Calibri" w:hAnsi="Times New Roman" w:cs="Times New Roman"/>
          <w:b/>
          <w:sz w:val="24"/>
          <w:szCs w:val="24"/>
          <w:lang w:val="x-none" w:eastAsia="x-none"/>
        </w:rPr>
      </w:pPr>
      <w:bookmarkStart w:id="0" w:name="_Toc68698378"/>
      <w:r w:rsidRPr="007A0407">
        <w:rPr>
          <w:rFonts w:ascii="Times New Roman" w:eastAsia="Calibri" w:hAnsi="Times New Roman" w:cs="Times New Roman"/>
          <w:b/>
          <w:sz w:val="24"/>
          <w:szCs w:val="24"/>
          <w:lang w:val="x-none" w:eastAsia="x-none"/>
        </w:rPr>
        <w:t>Тема 1: Европейската зелена сделка, Пакетът за кръгова икономика и други европейски актове в сферата на управлението на отпадъците. Национални нормативни и стратегически актове за управление на отпадъците (новите моменти приети след 2018 г.).</w:t>
      </w:r>
      <w:bookmarkEnd w:id="0"/>
      <w:r w:rsidRPr="007A0407">
        <w:rPr>
          <w:rFonts w:ascii="Times New Roman" w:eastAsia="Calibri" w:hAnsi="Times New Roman" w:cs="Times New Roman"/>
          <w:b/>
          <w:sz w:val="24"/>
          <w:szCs w:val="24"/>
          <w:lang w:val="x-none" w:eastAsia="x-none"/>
        </w:rPr>
        <w:t xml:space="preserve"> </w:t>
      </w: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Съдържание: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1. Цел на обучението по тема 1</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2. Европейска зелена сделка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3. Пакет за кръгова икономика и други европейски актове в сферата на управлението на отпадъците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4. Национални нормативни и стратегически актове за управление на отпадъците (новите моменти приети след 2018 г.).</w:t>
      </w:r>
    </w:p>
    <w:p w:rsidR="007A0407" w:rsidRPr="00540FF3" w:rsidRDefault="007A0407" w:rsidP="007A0407">
      <w:pPr>
        <w:spacing w:after="0" w:line="276" w:lineRule="auto"/>
        <w:jc w:val="both"/>
        <w:rPr>
          <w:rFonts w:ascii="Times New Roman" w:eastAsia="Calibri" w:hAnsi="Times New Roman" w:cs="Times New Roman"/>
          <w:color w:val="0070C0"/>
          <w:sz w:val="24"/>
          <w:szCs w:val="24"/>
        </w:rPr>
      </w:pPr>
      <w:r w:rsidRPr="00540FF3">
        <w:rPr>
          <w:rFonts w:ascii="Times New Roman" w:eastAsia="Calibri" w:hAnsi="Times New Roman" w:cs="Times New Roman"/>
          <w:color w:val="0070C0"/>
          <w:sz w:val="24"/>
          <w:szCs w:val="24"/>
        </w:rPr>
        <w:t>5. Общински програми за управление на отпадъците и тяхната актуализация – задължение по Националния план за управление на отпадъците (НПУО) 2021-2028 г.</w:t>
      </w:r>
    </w:p>
    <w:p w:rsidR="007A0407" w:rsidRPr="007A0407" w:rsidRDefault="007A0407" w:rsidP="007A0407">
      <w:pPr>
        <w:spacing w:after="0" w:line="276" w:lineRule="auto"/>
        <w:jc w:val="both"/>
        <w:rPr>
          <w:rFonts w:ascii="Times New Roman" w:eastAsia="Calibri" w:hAnsi="Times New Roman" w:cs="Times New Roman"/>
          <w:b/>
          <w:color w:val="FF0000"/>
          <w:sz w:val="24"/>
          <w:szCs w:val="24"/>
        </w:rPr>
      </w:pPr>
    </w:p>
    <w:p w:rsidR="007A0407" w:rsidRPr="007A0407" w:rsidRDefault="007A0407" w:rsidP="007A0407">
      <w:pPr>
        <w:numPr>
          <w:ilvl w:val="0"/>
          <w:numId w:val="3"/>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Цел на обучението по тема 1</w:t>
      </w: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Участниците в обучението да се запознаят с:</w:t>
      </w:r>
    </w:p>
    <w:p w:rsidR="007A0407" w:rsidRPr="007A0407" w:rsidRDefault="007A0407" w:rsidP="007A0407">
      <w:pPr>
        <w:numPr>
          <w:ilvl w:val="0"/>
          <w:numId w:val="14"/>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Основните цели и принципи на политиката на ЕС по управление на отпадъците за постигането на климатично неутрална икономика в унисон с планетата;</w:t>
      </w:r>
    </w:p>
    <w:p w:rsidR="007A0407" w:rsidRPr="007A0407" w:rsidRDefault="007A0407" w:rsidP="007A0407">
      <w:pPr>
        <w:numPr>
          <w:ilvl w:val="0"/>
          <w:numId w:val="14"/>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Нормативната уредба на ЕС и основните национални документи, регулиращи дейностите по управление на отпадъците;</w:t>
      </w:r>
    </w:p>
    <w:p w:rsidR="007A0407" w:rsidRPr="007A0407" w:rsidRDefault="007A0407" w:rsidP="007A0407">
      <w:pPr>
        <w:spacing w:after="0" w:line="276" w:lineRule="auto"/>
        <w:ind w:left="720"/>
        <w:contextualSpacing/>
        <w:jc w:val="both"/>
        <w:rPr>
          <w:rFonts w:ascii="Times New Roman" w:eastAsia="Calibri" w:hAnsi="Times New Roman" w:cs="Times New Roman"/>
          <w:b/>
          <w:color w:val="000000"/>
          <w:sz w:val="24"/>
          <w:szCs w:val="24"/>
        </w:rPr>
      </w:pPr>
    </w:p>
    <w:p w:rsidR="007A0407" w:rsidRPr="007A0407" w:rsidRDefault="007A0407" w:rsidP="007A0407">
      <w:pPr>
        <w:numPr>
          <w:ilvl w:val="0"/>
          <w:numId w:val="3"/>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Европейска зелена сделка</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Какво представлява „зелената сделка“?</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Председателят на Европейската комисия Урсула фон дер Лайен  я определя като крачка, сравнима със стъпването на човека на луната. „Целта ни е да сдобрим икономиката си с планетата“ и „да я направим работеща за нашите граждани“, добави тя, описвайки политиката за климата като новата европейска стратегия за растеж.</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Т.н. Европейска зелена сделка е пакт, чиято основна цел е да подобри благосъстоянието на хората и представлява политика за растеж, целяща:</w:t>
      </w:r>
    </w:p>
    <w:tbl>
      <w:tblPr>
        <w:tblStyle w:val="TableGrid"/>
        <w:tblW w:w="0" w:type="auto"/>
        <w:tblLayout w:type="fixed"/>
        <w:tblLook w:val="04A0" w:firstRow="1" w:lastRow="0" w:firstColumn="1" w:lastColumn="0" w:noHBand="0" w:noVBand="1"/>
      </w:tblPr>
      <w:tblGrid>
        <w:gridCol w:w="846"/>
        <w:gridCol w:w="8550"/>
      </w:tblGrid>
      <w:tr w:rsidR="007A0407" w:rsidRPr="007A0407" w:rsidTr="00314E86">
        <w:tc>
          <w:tcPr>
            <w:tcW w:w="846" w:type="dxa"/>
          </w:tcPr>
          <w:p w:rsidR="007A0407" w:rsidRPr="007A0407" w:rsidRDefault="007A0407" w:rsidP="007A0407">
            <w:pPr>
              <w:spacing w:after="200" w:line="276" w:lineRule="auto"/>
              <w:ind w:left="-113" w:right="-160"/>
              <w:rPr>
                <w:rFonts w:ascii="Times New Roman" w:eastAsia="Times New Roman" w:hAnsi="Times New Roman"/>
                <w:color w:val="000000"/>
                <w:sz w:val="24"/>
                <w:szCs w:val="24"/>
              </w:rPr>
            </w:pPr>
            <w:r w:rsidRPr="007A0407">
              <w:rPr>
                <w:rFonts w:ascii="Times New Roman" w:hAnsi="Times New Roman"/>
                <w:noProof/>
                <w:color w:val="000000"/>
                <w:sz w:val="24"/>
                <w:szCs w:val="24"/>
                <w:lang w:eastAsia="bg-BG"/>
              </w:rPr>
              <w:drawing>
                <wp:inline distT="0" distB="0" distL="0" distR="0" wp14:anchorId="5F6EF56B" wp14:editId="3EC9E79B">
                  <wp:extent cx="552450"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3537" cy="390657"/>
                          </a:xfrm>
                          <a:prstGeom prst="rect">
                            <a:avLst/>
                          </a:prstGeom>
                        </pic:spPr>
                      </pic:pic>
                    </a:graphicData>
                  </a:graphic>
                </wp:inline>
              </w:drawing>
            </w:r>
          </w:p>
        </w:tc>
        <w:tc>
          <w:tcPr>
            <w:tcW w:w="8550" w:type="dxa"/>
            <w:vAlign w:val="center"/>
          </w:tcPr>
          <w:p w:rsidR="007A0407" w:rsidRPr="007A0407" w:rsidRDefault="007A0407" w:rsidP="007A0407">
            <w:pPr>
              <w:spacing w:after="200" w:line="276" w:lineRule="auto"/>
              <w:jc w:val="both"/>
              <w:rPr>
                <w:rFonts w:ascii="Times New Roman" w:eastAsia="Times New Roman" w:hAnsi="Times New Roman"/>
                <w:color w:val="000000"/>
                <w:sz w:val="24"/>
                <w:szCs w:val="24"/>
              </w:rPr>
            </w:pPr>
            <w:proofErr w:type="spellStart"/>
            <w:r w:rsidRPr="007A0407">
              <w:rPr>
                <w:rFonts w:ascii="Times New Roman" w:eastAsia="Times New Roman" w:hAnsi="Times New Roman"/>
                <w:color w:val="000000"/>
                <w:sz w:val="24"/>
                <w:szCs w:val="24"/>
              </w:rPr>
              <w:t>Постигането</w:t>
            </w:r>
            <w:proofErr w:type="spellEnd"/>
            <w:r w:rsidRPr="007A0407">
              <w:rPr>
                <w:rFonts w:ascii="Times New Roman" w:eastAsia="Times New Roman" w:hAnsi="Times New Roman"/>
                <w:color w:val="000000"/>
                <w:sz w:val="24"/>
                <w:szCs w:val="24"/>
              </w:rPr>
              <w:t xml:space="preserve"> на </w:t>
            </w:r>
            <w:proofErr w:type="spellStart"/>
            <w:r w:rsidRPr="007A0407">
              <w:rPr>
                <w:rFonts w:ascii="Times New Roman" w:eastAsia="Times New Roman" w:hAnsi="Times New Roman"/>
                <w:color w:val="000000"/>
                <w:sz w:val="24"/>
                <w:szCs w:val="24"/>
              </w:rPr>
              <w:t>климатично</w:t>
            </w:r>
            <w:proofErr w:type="spellEnd"/>
            <w:r w:rsidRPr="007A0407">
              <w:rPr>
                <w:rFonts w:ascii="Times New Roman" w:eastAsia="Times New Roman" w:hAnsi="Times New Roman"/>
                <w:color w:val="000000"/>
                <w:sz w:val="24"/>
                <w:szCs w:val="24"/>
              </w:rPr>
              <w:t xml:space="preserve"> </w:t>
            </w:r>
            <w:proofErr w:type="spellStart"/>
            <w:r w:rsidRPr="007A0407">
              <w:rPr>
                <w:rFonts w:ascii="Times New Roman" w:eastAsia="Times New Roman" w:hAnsi="Times New Roman"/>
                <w:color w:val="000000"/>
                <w:sz w:val="24"/>
                <w:szCs w:val="24"/>
              </w:rPr>
              <w:t>неутрална</w:t>
            </w:r>
            <w:proofErr w:type="spellEnd"/>
            <w:r w:rsidRPr="007A0407">
              <w:rPr>
                <w:rFonts w:ascii="Times New Roman" w:eastAsia="Times New Roman" w:hAnsi="Times New Roman"/>
                <w:color w:val="000000"/>
                <w:sz w:val="24"/>
                <w:szCs w:val="24"/>
              </w:rPr>
              <w:t xml:space="preserve"> </w:t>
            </w:r>
            <w:proofErr w:type="spellStart"/>
            <w:r w:rsidRPr="007A0407">
              <w:rPr>
                <w:rFonts w:ascii="Times New Roman" w:eastAsia="Times New Roman" w:hAnsi="Times New Roman"/>
                <w:color w:val="000000"/>
                <w:sz w:val="24"/>
                <w:szCs w:val="24"/>
              </w:rPr>
              <w:t>икономика</w:t>
            </w:r>
            <w:proofErr w:type="spellEnd"/>
            <w:r w:rsidRPr="007A0407">
              <w:rPr>
                <w:rFonts w:ascii="Times New Roman" w:eastAsia="Times New Roman" w:hAnsi="Times New Roman"/>
                <w:color w:val="000000"/>
                <w:sz w:val="24"/>
                <w:szCs w:val="24"/>
              </w:rPr>
              <w:t xml:space="preserve"> </w:t>
            </w:r>
            <w:proofErr w:type="spellStart"/>
            <w:r w:rsidRPr="007A0407">
              <w:rPr>
                <w:rFonts w:ascii="Times New Roman" w:eastAsia="Times New Roman" w:hAnsi="Times New Roman"/>
                <w:color w:val="000000"/>
                <w:sz w:val="24"/>
                <w:szCs w:val="24"/>
              </w:rPr>
              <w:t>до</w:t>
            </w:r>
            <w:proofErr w:type="spellEnd"/>
            <w:r w:rsidRPr="007A0407">
              <w:rPr>
                <w:rFonts w:ascii="Times New Roman" w:eastAsia="Times New Roman" w:hAnsi="Times New Roman"/>
                <w:color w:val="000000"/>
                <w:sz w:val="24"/>
                <w:szCs w:val="24"/>
              </w:rPr>
              <w:t xml:space="preserve"> 2050г</w:t>
            </w:r>
          </w:p>
        </w:tc>
      </w:tr>
      <w:tr w:rsidR="007A0407" w:rsidRPr="007A0407" w:rsidTr="00314E86">
        <w:tc>
          <w:tcPr>
            <w:tcW w:w="846" w:type="dxa"/>
          </w:tcPr>
          <w:p w:rsidR="007A0407" w:rsidRPr="007A0407" w:rsidRDefault="007A0407" w:rsidP="007A0407">
            <w:pPr>
              <w:spacing w:after="200" w:line="276" w:lineRule="auto"/>
              <w:ind w:left="-113" w:right="-160"/>
              <w:rPr>
                <w:rFonts w:ascii="Times New Roman" w:hAnsi="Times New Roman"/>
                <w:noProof/>
                <w:color w:val="000000"/>
                <w:sz w:val="24"/>
                <w:szCs w:val="24"/>
              </w:rPr>
            </w:pPr>
            <w:r w:rsidRPr="007A0407">
              <w:rPr>
                <w:rFonts w:ascii="Times New Roman" w:hAnsi="Times New Roman"/>
                <w:noProof/>
                <w:color w:val="000000"/>
                <w:sz w:val="24"/>
                <w:szCs w:val="24"/>
                <w:lang w:eastAsia="bg-BG"/>
              </w:rPr>
              <w:drawing>
                <wp:inline distT="0" distB="0" distL="0" distR="0" wp14:anchorId="62C70810" wp14:editId="088D3717">
                  <wp:extent cx="54292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925" cy="381000"/>
                          </a:xfrm>
                          <a:prstGeom prst="rect">
                            <a:avLst/>
                          </a:prstGeom>
                        </pic:spPr>
                      </pic:pic>
                    </a:graphicData>
                  </a:graphic>
                </wp:inline>
              </w:drawing>
            </w:r>
          </w:p>
        </w:tc>
        <w:tc>
          <w:tcPr>
            <w:tcW w:w="8550" w:type="dxa"/>
            <w:vAlign w:val="center"/>
          </w:tcPr>
          <w:p w:rsidR="007A0407" w:rsidRPr="007A0407" w:rsidRDefault="007A0407" w:rsidP="007A0407">
            <w:pPr>
              <w:spacing w:after="200" w:line="276" w:lineRule="auto"/>
              <w:jc w:val="both"/>
              <w:rPr>
                <w:rFonts w:ascii="Times New Roman" w:eastAsia="Times New Roman" w:hAnsi="Times New Roman"/>
                <w:color w:val="000000"/>
                <w:sz w:val="24"/>
                <w:szCs w:val="24"/>
              </w:rPr>
            </w:pPr>
            <w:proofErr w:type="spellStart"/>
            <w:r w:rsidRPr="007A0407">
              <w:rPr>
                <w:rFonts w:ascii="Times New Roman" w:eastAsia="Times New Roman" w:hAnsi="Times New Roman"/>
                <w:color w:val="000000"/>
                <w:sz w:val="24"/>
                <w:szCs w:val="24"/>
              </w:rPr>
              <w:t>Защита</w:t>
            </w:r>
            <w:proofErr w:type="spellEnd"/>
            <w:r w:rsidRPr="007A0407">
              <w:rPr>
                <w:rFonts w:ascii="Times New Roman" w:eastAsia="Times New Roman" w:hAnsi="Times New Roman"/>
                <w:color w:val="000000"/>
                <w:sz w:val="24"/>
                <w:szCs w:val="24"/>
              </w:rPr>
              <w:t xml:space="preserve"> на </w:t>
            </w:r>
            <w:proofErr w:type="spellStart"/>
            <w:r w:rsidRPr="007A0407">
              <w:rPr>
                <w:rFonts w:ascii="Times New Roman" w:eastAsia="Times New Roman" w:hAnsi="Times New Roman"/>
                <w:color w:val="000000"/>
                <w:sz w:val="24"/>
                <w:szCs w:val="24"/>
              </w:rPr>
              <w:t>човешкия</w:t>
            </w:r>
            <w:proofErr w:type="spellEnd"/>
            <w:r w:rsidRPr="007A0407">
              <w:rPr>
                <w:rFonts w:ascii="Times New Roman" w:eastAsia="Times New Roman" w:hAnsi="Times New Roman"/>
                <w:color w:val="000000"/>
                <w:sz w:val="24"/>
                <w:szCs w:val="24"/>
              </w:rPr>
              <w:t xml:space="preserve"> </w:t>
            </w:r>
            <w:proofErr w:type="spellStart"/>
            <w:r w:rsidRPr="007A0407">
              <w:rPr>
                <w:rFonts w:ascii="Times New Roman" w:eastAsia="Times New Roman" w:hAnsi="Times New Roman"/>
                <w:color w:val="000000"/>
                <w:sz w:val="24"/>
                <w:szCs w:val="24"/>
              </w:rPr>
              <w:t>живот</w:t>
            </w:r>
            <w:proofErr w:type="spellEnd"/>
            <w:r w:rsidRPr="007A0407">
              <w:rPr>
                <w:rFonts w:ascii="Times New Roman" w:eastAsia="Times New Roman" w:hAnsi="Times New Roman"/>
                <w:color w:val="000000"/>
                <w:sz w:val="24"/>
                <w:szCs w:val="24"/>
              </w:rPr>
              <w:t xml:space="preserve">, </w:t>
            </w:r>
            <w:proofErr w:type="spellStart"/>
            <w:r w:rsidRPr="007A0407">
              <w:rPr>
                <w:rFonts w:ascii="Times New Roman" w:eastAsia="Times New Roman" w:hAnsi="Times New Roman"/>
                <w:color w:val="000000"/>
                <w:sz w:val="24"/>
                <w:szCs w:val="24"/>
              </w:rPr>
              <w:t>животните</w:t>
            </w:r>
            <w:proofErr w:type="spellEnd"/>
            <w:r w:rsidRPr="007A0407">
              <w:rPr>
                <w:rFonts w:ascii="Times New Roman" w:eastAsia="Times New Roman" w:hAnsi="Times New Roman"/>
                <w:color w:val="000000"/>
                <w:sz w:val="24"/>
                <w:szCs w:val="24"/>
              </w:rPr>
              <w:t xml:space="preserve"> и </w:t>
            </w:r>
            <w:proofErr w:type="spellStart"/>
            <w:r w:rsidRPr="007A0407">
              <w:rPr>
                <w:rFonts w:ascii="Times New Roman" w:eastAsia="Times New Roman" w:hAnsi="Times New Roman"/>
                <w:color w:val="000000"/>
                <w:sz w:val="24"/>
                <w:szCs w:val="24"/>
              </w:rPr>
              <w:t>растенията</w:t>
            </w:r>
            <w:proofErr w:type="spellEnd"/>
            <w:r w:rsidRPr="007A0407">
              <w:rPr>
                <w:rFonts w:ascii="Times New Roman" w:eastAsia="Times New Roman" w:hAnsi="Times New Roman"/>
                <w:color w:val="000000"/>
                <w:sz w:val="24"/>
                <w:szCs w:val="24"/>
              </w:rPr>
              <w:t xml:space="preserve"> чрез </w:t>
            </w:r>
            <w:proofErr w:type="spellStart"/>
            <w:r w:rsidRPr="007A0407">
              <w:rPr>
                <w:rFonts w:ascii="Times New Roman" w:eastAsia="Times New Roman" w:hAnsi="Times New Roman"/>
                <w:color w:val="000000"/>
                <w:sz w:val="24"/>
                <w:szCs w:val="24"/>
              </w:rPr>
              <w:t>намаляване</w:t>
            </w:r>
            <w:proofErr w:type="spellEnd"/>
            <w:r w:rsidRPr="007A0407">
              <w:rPr>
                <w:rFonts w:ascii="Times New Roman" w:eastAsia="Times New Roman" w:hAnsi="Times New Roman"/>
                <w:color w:val="000000"/>
                <w:sz w:val="24"/>
                <w:szCs w:val="24"/>
              </w:rPr>
              <w:t xml:space="preserve"> на </w:t>
            </w:r>
            <w:proofErr w:type="spellStart"/>
            <w:r w:rsidRPr="007A0407">
              <w:rPr>
                <w:rFonts w:ascii="Times New Roman" w:eastAsia="Times New Roman" w:hAnsi="Times New Roman"/>
                <w:color w:val="000000"/>
                <w:sz w:val="24"/>
                <w:szCs w:val="24"/>
              </w:rPr>
              <w:t>замърсяването</w:t>
            </w:r>
            <w:proofErr w:type="spellEnd"/>
          </w:p>
        </w:tc>
      </w:tr>
      <w:tr w:rsidR="007A0407" w:rsidRPr="007A0407" w:rsidTr="00314E86">
        <w:tc>
          <w:tcPr>
            <w:tcW w:w="846" w:type="dxa"/>
          </w:tcPr>
          <w:p w:rsidR="007A0407" w:rsidRPr="007A0407" w:rsidRDefault="007A0407" w:rsidP="007A0407">
            <w:pPr>
              <w:spacing w:after="200" w:line="276" w:lineRule="auto"/>
              <w:ind w:left="-113" w:right="-160"/>
              <w:rPr>
                <w:rFonts w:ascii="Times New Roman" w:hAnsi="Times New Roman"/>
                <w:noProof/>
                <w:color w:val="000000"/>
                <w:sz w:val="24"/>
                <w:szCs w:val="24"/>
              </w:rPr>
            </w:pPr>
            <w:r w:rsidRPr="007A0407">
              <w:rPr>
                <w:rFonts w:ascii="Times New Roman" w:hAnsi="Times New Roman"/>
                <w:noProof/>
                <w:color w:val="000000"/>
                <w:sz w:val="24"/>
                <w:szCs w:val="24"/>
                <w:lang w:eastAsia="bg-BG"/>
              </w:rPr>
              <w:drawing>
                <wp:inline distT="0" distB="0" distL="0" distR="0" wp14:anchorId="2C8728B3" wp14:editId="58312F78">
                  <wp:extent cx="552450" cy="389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450" cy="389255"/>
                          </a:xfrm>
                          <a:prstGeom prst="rect">
                            <a:avLst/>
                          </a:prstGeom>
                        </pic:spPr>
                      </pic:pic>
                    </a:graphicData>
                  </a:graphic>
                </wp:inline>
              </w:drawing>
            </w:r>
          </w:p>
        </w:tc>
        <w:tc>
          <w:tcPr>
            <w:tcW w:w="8550" w:type="dxa"/>
            <w:vAlign w:val="center"/>
          </w:tcPr>
          <w:p w:rsidR="007A0407" w:rsidRPr="007A0407" w:rsidRDefault="007A0407" w:rsidP="007A0407">
            <w:pPr>
              <w:spacing w:after="200" w:line="276" w:lineRule="auto"/>
              <w:jc w:val="both"/>
              <w:rPr>
                <w:rFonts w:ascii="Times New Roman" w:eastAsia="Times New Roman" w:hAnsi="Times New Roman"/>
                <w:color w:val="000000"/>
                <w:sz w:val="24"/>
                <w:szCs w:val="24"/>
              </w:rPr>
            </w:pPr>
            <w:proofErr w:type="spellStart"/>
            <w:r w:rsidRPr="007A0407">
              <w:rPr>
                <w:rFonts w:ascii="Times New Roman" w:hAnsi="Times New Roman"/>
                <w:color w:val="000000"/>
                <w:sz w:val="24"/>
                <w:szCs w:val="24"/>
              </w:rPr>
              <w:t>Подпомагане</w:t>
            </w:r>
            <w:proofErr w:type="spellEnd"/>
            <w:r w:rsidRPr="007A0407">
              <w:rPr>
                <w:rFonts w:ascii="Times New Roman" w:hAnsi="Times New Roman"/>
                <w:color w:val="000000"/>
                <w:sz w:val="24"/>
                <w:szCs w:val="24"/>
              </w:rPr>
              <w:t xml:space="preserve"> на предприятията </w:t>
            </w:r>
            <w:proofErr w:type="spellStart"/>
            <w:r w:rsidRPr="007A0407">
              <w:rPr>
                <w:rFonts w:ascii="Times New Roman" w:hAnsi="Times New Roman"/>
                <w:color w:val="000000"/>
                <w:sz w:val="24"/>
                <w:szCs w:val="24"/>
              </w:rPr>
              <w:t>да</w:t>
            </w:r>
            <w:proofErr w:type="spellEnd"/>
            <w:r w:rsidRPr="007A0407">
              <w:rPr>
                <w:rFonts w:ascii="Times New Roman" w:hAnsi="Times New Roman"/>
                <w:color w:val="000000"/>
                <w:sz w:val="24"/>
                <w:szCs w:val="24"/>
              </w:rPr>
              <w:t xml:space="preserve"> </w:t>
            </w:r>
            <w:proofErr w:type="spellStart"/>
            <w:r w:rsidRPr="007A0407">
              <w:rPr>
                <w:rFonts w:ascii="Times New Roman" w:hAnsi="Times New Roman"/>
                <w:color w:val="000000"/>
                <w:sz w:val="24"/>
                <w:szCs w:val="24"/>
              </w:rPr>
              <w:t>станат</w:t>
            </w:r>
            <w:proofErr w:type="spellEnd"/>
            <w:r w:rsidRPr="007A0407">
              <w:rPr>
                <w:rFonts w:ascii="Times New Roman" w:hAnsi="Times New Roman"/>
                <w:color w:val="000000"/>
                <w:sz w:val="24"/>
                <w:szCs w:val="24"/>
              </w:rPr>
              <w:t xml:space="preserve"> </w:t>
            </w:r>
            <w:proofErr w:type="spellStart"/>
            <w:r w:rsidRPr="007A0407">
              <w:rPr>
                <w:rFonts w:ascii="Times New Roman" w:hAnsi="Times New Roman"/>
                <w:color w:val="000000"/>
                <w:sz w:val="24"/>
                <w:szCs w:val="24"/>
              </w:rPr>
              <w:t>световни</w:t>
            </w:r>
            <w:proofErr w:type="spellEnd"/>
            <w:r w:rsidRPr="007A0407">
              <w:rPr>
                <w:rFonts w:ascii="Times New Roman" w:hAnsi="Times New Roman"/>
                <w:color w:val="000000"/>
                <w:sz w:val="24"/>
                <w:szCs w:val="24"/>
              </w:rPr>
              <w:t xml:space="preserve"> </w:t>
            </w:r>
            <w:proofErr w:type="spellStart"/>
            <w:r w:rsidRPr="007A0407">
              <w:rPr>
                <w:rFonts w:ascii="Times New Roman" w:hAnsi="Times New Roman"/>
                <w:color w:val="000000"/>
                <w:sz w:val="24"/>
                <w:szCs w:val="24"/>
              </w:rPr>
              <w:t>лидери</w:t>
            </w:r>
            <w:proofErr w:type="spellEnd"/>
            <w:r w:rsidRPr="007A0407">
              <w:rPr>
                <w:rFonts w:ascii="Times New Roman" w:hAnsi="Times New Roman"/>
                <w:color w:val="000000"/>
                <w:sz w:val="24"/>
                <w:szCs w:val="24"/>
              </w:rPr>
              <w:t xml:space="preserve"> в </w:t>
            </w:r>
            <w:proofErr w:type="spellStart"/>
            <w:r w:rsidRPr="007A0407">
              <w:rPr>
                <w:rFonts w:ascii="Times New Roman" w:hAnsi="Times New Roman"/>
                <w:color w:val="000000"/>
                <w:sz w:val="24"/>
                <w:szCs w:val="24"/>
              </w:rPr>
              <w:t>областта</w:t>
            </w:r>
            <w:proofErr w:type="spellEnd"/>
            <w:r w:rsidRPr="007A0407">
              <w:rPr>
                <w:rFonts w:ascii="Times New Roman" w:hAnsi="Times New Roman"/>
                <w:color w:val="000000"/>
                <w:sz w:val="24"/>
                <w:szCs w:val="24"/>
              </w:rPr>
              <w:t xml:space="preserve"> на </w:t>
            </w:r>
            <w:proofErr w:type="spellStart"/>
            <w:r w:rsidRPr="007A0407">
              <w:rPr>
                <w:rFonts w:ascii="Times New Roman" w:hAnsi="Times New Roman"/>
                <w:color w:val="000000"/>
                <w:sz w:val="24"/>
                <w:szCs w:val="24"/>
              </w:rPr>
              <w:t>чистите</w:t>
            </w:r>
            <w:proofErr w:type="spellEnd"/>
            <w:r w:rsidRPr="007A0407">
              <w:rPr>
                <w:rFonts w:ascii="Times New Roman" w:hAnsi="Times New Roman"/>
                <w:color w:val="000000"/>
                <w:sz w:val="24"/>
                <w:szCs w:val="24"/>
              </w:rPr>
              <w:t xml:space="preserve"> </w:t>
            </w:r>
            <w:proofErr w:type="spellStart"/>
            <w:r w:rsidRPr="007A0407">
              <w:rPr>
                <w:rFonts w:ascii="Times New Roman" w:hAnsi="Times New Roman"/>
                <w:color w:val="000000"/>
                <w:sz w:val="24"/>
                <w:szCs w:val="24"/>
              </w:rPr>
              <w:t>продукти</w:t>
            </w:r>
            <w:proofErr w:type="spellEnd"/>
            <w:r w:rsidRPr="007A0407">
              <w:rPr>
                <w:rFonts w:ascii="Times New Roman" w:hAnsi="Times New Roman"/>
                <w:color w:val="000000"/>
                <w:sz w:val="24"/>
                <w:szCs w:val="24"/>
              </w:rPr>
              <w:t xml:space="preserve"> и </w:t>
            </w:r>
            <w:proofErr w:type="spellStart"/>
            <w:r w:rsidRPr="007A0407">
              <w:rPr>
                <w:rFonts w:ascii="Times New Roman" w:hAnsi="Times New Roman"/>
                <w:color w:val="000000"/>
                <w:sz w:val="24"/>
                <w:szCs w:val="24"/>
              </w:rPr>
              <w:t>технологии</w:t>
            </w:r>
            <w:proofErr w:type="spellEnd"/>
          </w:p>
        </w:tc>
      </w:tr>
      <w:tr w:rsidR="007A0407" w:rsidRPr="007A0407" w:rsidTr="00314E86">
        <w:tc>
          <w:tcPr>
            <w:tcW w:w="846" w:type="dxa"/>
          </w:tcPr>
          <w:p w:rsidR="007A0407" w:rsidRPr="007A0407" w:rsidRDefault="007A0407" w:rsidP="007A0407">
            <w:pPr>
              <w:spacing w:after="200" w:line="276" w:lineRule="auto"/>
              <w:ind w:left="-113" w:right="-160"/>
              <w:rPr>
                <w:rFonts w:ascii="Times New Roman" w:hAnsi="Times New Roman"/>
                <w:noProof/>
                <w:color w:val="000000"/>
                <w:sz w:val="24"/>
                <w:szCs w:val="24"/>
              </w:rPr>
            </w:pPr>
            <w:r w:rsidRPr="007A0407">
              <w:rPr>
                <w:rFonts w:ascii="Times New Roman" w:hAnsi="Times New Roman"/>
                <w:noProof/>
                <w:color w:val="000000"/>
                <w:sz w:val="24"/>
                <w:szCs w:val="24"/>
                <w:lang w:eastAsia="bg-BG"/>
              </w:rPr>
              <w:drawing>
                <wp:inline distT="0" distB="0" distL="0" distR="0" wp14:anchorId="71F703A1" wp14:editId="2C532D0D">
                  <wp:extent cx="542925" cy="38063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584" cy="381100"/>
                          </a:xfrm>
                          <a:prstGeom prst="rect">
                            <a:avLst/>
                          </a:prstGeom>
                        </pic:spPr>
                      </pic:pic>
                    </a:graphicData>
                  </a:graphic>
                </wp:inline>
              </w:drawing>
            </w:r>
          </w:p>
        </w:tc>
        <w:tc>
          <w:tcPr>
            <w:tcW w:w="8550" w:type="dxa"/>
            <w:vAlign w:val="center"/>
          </w:tcPr>
          <w:p w:rsidR="007A0407" w:rsidRPr="007A0407" w:rsidRDefault="007A0407" w:rsidP="007A0407">
            <w:pPr>
              <w:spacing w:after="200" w:line="276" w:lineRule="auto"/>
              <w:jc w:val="both"/>
              <w:rPr>
                <w:rFonts w:ascii="Times New Roman" w:hAnsi="Times New Roman"/>
                <w:color w:val="000000"/>
                <w:sz w:val="24"/>
                <w:szCs w:val="24"/>
              </w:rPr>
            </w:pPr>
            <w:proofErr w:type="spellStart"/>
            <w:r w:rsidRPr="007A0407">
              <w:rPr>
                <w:rFonts w:ascii="Times New Roman" w:hAnsi="Times New Roman"/>
                <w:color w:val="000000"/>
                <w:sz w:val="24"/>
                <w:szCs w:val="24"/>
              </w:rPr>
              <w:t>Осигуряване</w:t>
            </w:r>
            <w:proofErr w:type="spellEnd"/>
            <w:r w:rsidRPr="007A0407">
              <w:rPr>
                <w:rFonts w:ascii="Times New Roman" w:hAnsi="Times New Roman"/>
                <w:color w:val="000000"/>
                <w:sz w:val="24"/>
                <w:szCs w:val="24"/>
              </w:rPr>
              <w:t xml:space="preserve"> на </w:t>
            </w:r>
            <w:proofErr w:type="spellStart"/>
            <w:r w:rsidRPr="007A0407">
              <w:rPr>
                <w:rFonts w:ascii="Times New Roman" w:hAnsi="Times New Roman"/>
                <w:color w:val="000000"/>
                <w:sz w:val="24"/>
                <w:szCs w:val="24"/>
              </w:rPr>
              <w:t>справедлив</w:t>
            </w:r>
            <w:proofErr w:type="spellEnd"/>
            <w:r w:rsidRPr="007A0407">
              <w:rPr>
                <w:rFonts w:ascii="Times New Roman" w:hAnsi="Times New Roman"/>
                <w:color w:val="000000"/>
                <w:sz w:val="24"/>
                <w:szCs w:val="24"/>
              </w:rPr>
              <w:t xml:space="preserve"> и </w:t>
            </w:r>
            <w:proofErr w:type="spellStart"/>
            <w:r w:rsidRPr="007A0407">
              <w:rPr>
                <w:rFonts w:ascii="Times New Roman" w:hAnsi="Times New Roman"/>
                <w:color w:val="000000"/>
                <w:sz w:val="24"/>
                <w:szCs w:val="24"/>
              </w:rPr>
              <w:t>приобщаващ</w:t>
            </w:r>
            <w:proofErr w:type="spellEnd"/>
            <w:r w:rsidRPr="007A0407">
              <w:rPr>
                <w:rFonts w:ascii="Times New Roman" w:hAnsi="Times New Roman"/>
                <w:color w:val="000000"/>
                <w:sz w:val="24"/>
                <w:szCs w:val="24"/>
              </w:rPr>
              <w:t xml:space="preserve"> </w:t>
            </w:r>
            <w:proofErr w:type="spellStart"/>
            <w:r w:rsidRPr="007A0407">
              <w:rPr>
                <w:rFonts w:ascii="Times New Roman" w:hAnsi="Times New Roman"/>
                <w:color w:val="000000"/>
                <w:sz w:val="24"/>
                <w:szCs w:val="24"/>
              </w:rPr>
              <w:t>преход</w:t>
            </w:r>
            <w:proofErr w:type="spellEnd"/>
          </w:p>
        </w:tc>
      </w:tr>
    </w:tbl>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lastRenderedPageBreak/>
        <w:t>Европейският зелен пакт обхваща всички сектори на икономиката, по-специално транспорта, енергетиката, селското стопанство, строителството, и промишлени отрасли като стоманодобива, производството на цимент, ИКТ, текстилната индустрия и химикалите.</w:t>
      </w:r>
      <w:r w:rsidRPr="007A0407">
        <w:rPr>
          <w:rFonts w:ascii="Times New Roman" w:eastAsia="Times New Roman" w:hAnsi="Times New Roman" w:cs="Times New Roman"/>
          <w:color w:val="000000"/>
          <w:sz w:val="24"/>
          <w:szCs w:val="24"/>
        </w:rPr>
        <w:cr/>
      </w:r>
    </w:p>
    <w:p w:rsidR="007A0407" w:rsidRPr="007A0407" w:rsidRDefault="007A0407" w:rsidP="007A0407">
      <w:pPr>
        <w:spacing w:after="0" w:line="276" w:lineRule="auto"/>
        <w:jc w:val="both"/>
        <w:rPr>
          <w:rFonts w:ascii="Times New Roman" w:eastAsia="Times New Roman" w:hAnsi="Times New Roman" w:cs="Times New Roman"/>
          <w:b/>
          <w:color w:val="000000"/>
          <w:sz w:val="24"/>
          <w:szCs w:val="24"/>
          <w:u w:val="single"/>
        </w:rPr>
      </w:pPr>
      <w:r w:rsidRPr="007A0407">
        <w:rPr>
          <w:rFonts w:ascii="Times New Roman" w:eastAsia="Times New Roman" w:hAnsi="Times New Roman" w:cs="Times New Roman"/>
          <w:b/>
          <w:color w:val="000000"/>
          <w:sz w:val="24"/>
          <w:szCs w:val="24"/>
          <w:u w:val="single"/>
        </w:rPr>
        <w:t xml:space="preserve">10-те основни точки в </w:t>
      </w:r>
      <w:hyperlink r:id="rId10" w:history="1">
        <w:r w:rsidRPr="007A0407">
          <w:rPr>
            <w:rFonts w:ascii="Times New Roman" w:eastAsia="Times New Roman" w:hAnsi="Times New Roman" w:cs="Times New Roman"/>
            <w:b/>
            <w:color w:val="000000"/>
            <w:sz w:val="24"/>
            <w:szCs w:val="24"/>
            <w:u w:val="single"/>
          </w:rPr>
          <w:t>плана на Комисията са:</w:t>
        </w:r>
      </w:hyperlink>
    </w:p>
    <w:p w:rsidR="007A0407" w:rsidRPr="007A0407" w:rsidRDefault="007A0407" w:rsidP="007A0407">
      <w:pPr>
        <w:numPr>
          <w:ilvl w:val="0"/>
          <w:numId w:val="5"/>
        </w:numPr>
        <w:spacing w:after="0" w:line="276" w:lineRule="auto"/>
        <w:ind w:firstLine="349"/>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 xml:space="preserve"> „Климатично неутрална“ Европа.</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ind w:left="-142"/>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Това е всеобхватната цел на Европейската зелена сделка. ЕС ще се стреми да постигне нулеви нетни емисии на парниковите газове до 2050г., цел, която ще бъде подпомогната от Закон за климата. Това означава актуализиране на климатичната амбиция на ЕС за 2030 г. с намаляване на емисиите на парникови газове с 50-55%, което да замени настоящата цел от 40%. Цифрата от 55% ще бъде обект на анализ на разходите и ползите.</w:t>
      </w:r>
    </w:p>
    <w:p w:rsidR="007A0407" w:rsidRPr="007A0407" w:rsidRDefault="007A0407" w:rsidP="007A0407">
      <w:pPr>
        <w:spacing w:after="0" w:line="276" w:lineRule="auto"/>
        <w:ind w:left="-142"/>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Новите цели в областта на климата ще доведат до промени в:</w:t>
      </w:r>
    </w:p>
    <w:p w:rsidR="007A0407" w:rsidRDefault="007A0407" w:rsidP="00DB0135">
      <w:pPr>
        <w:numPr>
          <w:ilvl w:val="0"/>
          <w:numId w:val="22"/>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Директивата за възобновяемите енергийни източници</w:t>
      </w:r>
      <w:r w:rsidR="00DB0135">
        <w:rPr>
          <w:rFonts w:ascii="Times New Roman" w:eastAsia="Times New Roman" w:hAnsi="Times New Roman" w:cs="Times New Roman"/>
          <w:color w:val="000000"/>
          <w:sz w:val="24"/>
          <w:szCs w:val="24"/>
        </w:rPr>
        <w:t xml:space="preserve"> (</w:t>
      </w:r>
      <w:hyperlink r:id="rId11" w:history="1">
        <w:r w:rsidR="00DB0135" w:rsidRPr="00B627CC">
          <w:rPr>
            <w:rStyle w:val="Hyperlink"/>
            <w:rFonts w:ascii="Times New Roman" w:eastAsia="Times New Roman" w:hAnsi="Times New Roman" w:cs="Times New Roman"/>
            <w:sz w:val="24"/>
            <w:szCs w:val="24"/>
          </w:rPr>
          <w:t>http://publications.europa.eu/resource/cellar/3a175757-5137-11e9-a8ed-01aa75ed71a1.0002.02/DOC_1</w:t>
        </w:r>
      </w:hyperlink>
      <w:r w:rsidR="00DB0135">
        <w:rPr>
          <w:rFonts w:ascii="Times New Roman" w:eastAsia="Times New Roman" w:hAnsi="Times New Roman" w:cs="Times New Roman"/>
          <w:color w:val="000000"/>
          <w:sz w:val="24"/>
          <w:szCs w:val="24"/>
        </w:rPr>
        <w:t>)</w:t>
      </w:r>
    </w:p>
    <w:p w:rsidR="007A0407" w:rsidRPr="00DB0135" w:rsidRDefault="007A0407" w:rsidP="00DB0135">
      <w:pPr>
        <w:numPr>
          <w:ilvl w:val="0"/>
          <w:numId w:val="22"/>
        </w:numPr>
        <w:spacing w:after="0" w:line="276" w:lineRule="auto"/>
        <w:contextualSpacing/>
        <w:jc w:val="both"/>
        <w:rPr>
          <w:rFonts w:ascii="Times New Roman" w:eastAsia="Times New Roman" w:hAnsi="Times New Roman" w:cs="Times New Roman"/>
          <w:color w:val="000000"/>
          <w:sz w:val="24"/>
          <w:szCs w:val="24"/>
        </w:rPr>
      </w:pPr>
      <w:r w:rsidRPr="00DB0135">
        <w:rPr>
          <w:rFonts w:ascii="Times New Roman" w:eastAsia="Times New Roman" w:hAnsi="Times New Roman" w:cs="Times New Roman"/>
          <w:color w:val="000000"/>
          <w:sz w:val="24"/>
          <w:szCs w:val="24"/>
        </w:rPr>
        <w:t>Директивата за енергийна ефективност,</w:t>
      </w:r>
    </w:p>
    <w:p w:rsidR="00010B91" w:rsidRDefault="007A0407" w:rsidP="00010B91">
      <w:pPr>
        <w:numPr>
          <w:ilvl w:val="0"/>
          <w:numId w:val="22"/>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Директиват</w:t>
      </w:r>
      <w:r w:rsidR="00010B91">
        <w:rPr>
          <w:rFonts w:ascii="Times New Roman" w:eastAsia="Times New Roman" w:hAnsi="Times New Roman" w:cs="Times New Roman"/>
          <w:color w:val="000000"/>
          <w:sz w:val="24"/>
          <w:szCs w:val="24"/>
        </w:rPr>
        <w:t>а за търговия с емисии)</w:t>
      </w:r>
    </w:p>
    <w:p w:rsidR="007A0407" w:rsidRPr="00010B91" w:rsidRDefault="007A0407" w:rsidP="00010B91">
      <w:pPr>
        <w:numPr>
          <w:ilvl w:val="0"/>
          <w:numId w:val="22"/>
        </w:numPr>
        <w:spacing w:after="0" w:line="276" w:lineRule="auto"/>
        <w:contextualSpacing/>
        <w:jc w:val="both"/>
        <w:rPr>
          <w:rFonts w:ascii="Times New Roman" w:eastAsia="Times New Roman" w:hAnsi="Times New Roman" w:cs="Times New Roman"/>
          <w:color w:val="000000"/>
          <w:sz w:val="24"/>
          <w:szCs w:val="24"/>
        </w:rPr>
      </w:pPr>
      <w:r w:rsidRPr="00010B91">
        <w:rPr>
          <w:rFonts w:ascii="Times New Roman" w:eastAsia="Times New Roman" w:hAnsi="Times New Roman" w:cs="Times New Roman"/>
          <w:color w:val="000000"/>
          <w:sz w:val="24"/>
          <w:szCs w:val="24"/>
        </w:rPr>
        <w:t>Регл</w:t>
      </w:r>
      <w:r w:rsidR="00010B91">
        <w:rPr>
          <w:rFonts w:ascii="Times New Roman" w:eastAsia="Times New Roman" w:hAnsi="Times New Roman" w:cs="Times New Roman"/>
          <w:color w:val="000000"/>
          <w:sz w:val="24"/>
          <w:szCs w:val="24"/>
        </w:rPr>
        <w:t>амента за споделяне на усилията (</w:t>
      </w:r>
      <w:hyperlink r:id="rId12" w:history="1">
        <w:r w:rsidR="00010B91" w:rsidRPr="00B627CC">
          <w:rPr>
            <w:rStyle w:val="Hyperlink"/>
            <w:rFonts w:ascii="Times New Roman" w:eastAsia="Times New Roman" w:hAnsi="Times New Roman" w:cs="Times New Roman"/>
            <w:sz w:val="24"/>
            <w:szCs w:val="24"/>
          </w:rPr>
          <w:t>https://ec.europa.eu/info/law/better-regulation/have-your-say/initiatives/12656-%D0%9D%D0%B0%D1%86%D0%B8%D0%BE%D0%BD%D0%B0%D0%BB%D0%BD%D0%B8-%D1%86%D0%B5%D0%BB%D0%B8-%D0%B7%D0%B0-%D0%BD%D0%B0%D0%BC%D0%B0%D0%BB%D1%8F%D0%B2%D0%B0%D0%BD%D0%B5-%D0%BD%D0%B0-%D0%B5%D0%BC%D0%B8%D1%81%D0%B8%D0%B8%D1%82%D0%B5-%D0%A0%D0%B5%D0%B3%D0%BB%D0%B0%D0%BC%D0%B5%D0%BD%D1%82-%D0%B7%D0%B0-%D1%80%D0%B0%D0%B7%D0%BF%D1%80%D0%B5%D0%B4%D0%B5%D0%BB%D1%8F%D0%BD%D0%B5-%D0%BD%D0%B0-%D1%83%D1%81%D0%B8%D0%BB%D0%B8%D1%8F%D1%82%D0%B0-%D0%BF%D1%80%D0%B5%D0%B3%D0%BB%D0%B5%D0%B4-%D0%B2%D1%8A%D0%B7-%D0%BE%D1%81%D0%BD%D0%BE%D0%B2%D0%B0-%D0%BD%D0%B0-%D0%BF%D0%BB%D0%B0%D0%BD%D0%B0-%D0%B7%D0%B0-%D1%86%D0%B5%D0%BB%D0%B8%D1%82%D0%B5-%D0%B2-%D0%BE%D0%B1%D0%BB%D0%B0%D1%81%D1%82%D1%82%D0%B0-%D0%BD%D0%B0-%D0%BA%D0%BB%D0%B8%D0%BC%D0%B0%D1%82%D0%B0-%D0%B7%D0%B0-2030-%D0%B3_bg</w:t>
        </w:r>
      </w:hyperlink>
      <w:r w:rsidR="00010B91">
        <w:rPr>
          <w:rFonts w:ascii="Times New Roman" w:eastAsia="Times New Roman" w:hAnsi="Times New Roman" w:cs="Times New Roman"/>
          <w:color w:val="000000"/>
          <w:sz w:val="24"/>
          <w:szCs w:val="24"/>
        </w:rPr>
        <w:t>), към момента е в процес на приемане от ЕК</w:t>
      </w:r>
      <w:r w:rsidRPr="00010B91">
        <w:rPr>
          <w:rFonts w:ascii="Times New Roman" w:eastAsia="Times New Roman" w:hAnsi="Times New Roman" w:cs="Times New Roman"/>
          <w:color w:val="000000"/>
          <w:sz w:val="24"/>
          <w:szCs w:val="24"/>
        </w:rPr>
        <w:t xml:space="preserve"> както и скандално известната </w:t>
      </w:r>
    </w:p>
    <w:p w:rsidR="007A0407" w:rsidRPr="007A0407" w:rsidRDefault="007A0407" w:rsidP="007A0407">
      <w:pPr>
        <w:numPr>
          <w:ilvl w:val="0"/>
          <w:numId w:val="22"/>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Директива за земеползването и горския фонд (LULUCF), отнасяща се до промяната на предназначението на земеделската земя.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Предложенията </w:t>
      </w:r>
      <w:r w:rsidR="00DB0135" w:rsidRPr="00DB0135">
        <w:rPr>
          <w:rFonts w:ascii="Times New Roman" w:eastAsia="Times New Roman" w:hAnsi="Times New Roman" w:cs="Times New Roman"/>
          <w:color w:val="4472C4" w:themeColor="accent5"/>
          <w:sz w:val="24"/>
          <w:szCs w:val="24"/>
        </w:rPr>
        <w:t>са</w:t>
      </w:r>
      <w:r w:rsidRPr="00DB0135">
        <w:rPr>
          <w:rFonts w:ascii="Times New Roman" w:eastAsia="Times New Roman" w:hAnsi="Times New Roman" w:cs="Times New Roman"/>
          <w:color w:val="4472C4" w:themeColor="accent5"/>
          <w:sz w:val="24"/>
          <w:szCs w:val="24"/>
        </w:rPr>
        <w:t xml:space="preserve"> </w:t>
      </w:r>
      <w:r w:rsidRPr="007A0407">
        <w:rPr>
          <w:rFonts w:ascii="Times New Roman" w:eastAsia="Times New Roman" w:hAnsi="Times New Roman" w:cs="Times New Roman"/>
          <w:color w:val="000000"/>
          <w:sz w:val="24"/>
          <w:szCs w:val="24"/>
        </w:rPr>
        <w:t>представени като част от пакет през март 2021г.</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Кръгова икономика</w:t>
      </w:r>
      <w:r w:rsidRPr="007A0407">
        <w:rPr>
          <w:rFonts w:ascii="Times New Roman" w:eastAsia="Times New Roman" w:hAnsi="Times New Roman" w:cs="Times New Roman"/>
          <w:color w:val="000000"/>
          <w:sz w:val="24"/>
          <w:szCs w:val="24"/>
        </w:rPr>
        <w:t xml:space="preserve">. </w:t>
      </w:r>
    </w:p>
    <w:p w:rsidR="007A0407" w:rsidRPr="007A0407" w:rsidRDefault="00393C68" w:rsidP="007A0407">
      <w:pPr>
        <w:spacing w:after="0" w:line="276" w:lineRule="auto"/>
        <w:jc w:val="both"/>
        <w:rPr>
          <w:rFonts w:ascii="Times New Roman" w:eastAsia="Times New Roman" w:hAnsi="Times New Roman" w:cs="Times New Roman"/>
          <w:color w:val="000000"/>
          <w:sz w:val="24"/>
          <w:szCs w:val="24"/>
        </w:rPr>
      </w:pPr>
      <w:hyperlink r:id="rId13" w:history="1">
        <w:r w:rsidR="007A0407" w:rsidRPr="007A0407">
          <w:rPr>
            <w:rFonts w:ascii="Times New Roman" w:eastAsia="Times New Roman" w:hAnsi="Times New Roman" w:cs="Times New Roman"/>
            <w:color w:val="000000"/>
            <w:sz w:val="24"/>
            <w:szCs w:val="24"/>
            <w:u w:val="single"/>
          </w:rPr>
          <w:t>Нов план за действие, свързан с кръговата икономика</w:t>
        </w:r>
      </w:hyperlink>
      <w:r w:rsidR="007A0407" w:rsidRPr="007A0407">
        <w:rPr>
          <w:rFonts w:ascii="Times New Roman" w:eastAsia="Times New Roman" w:hAnsi="Times New Roman" w:cs="Times New Roman"/>
          <w:color w:val="000000"/>
          <w:sz w:val="24"/>
          <w:szCs w:val="24"/>
        </w:rPr>
        <w:t>, ще представлява, част от по-широката индустриална стратегия на ЕС. Той включва устойчива продуктова политика с „предписания как да се произвеждат стоки“, използвайки по-малко материали и гарантирайки, че те ще могат да бъдат използвани повторно и да бъдат рециклирани.</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Реновиране</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на</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сградите.</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Това е </w:t>
      </w:r>
      <w:hyperlink r:id="rId14" w:history="1">
        <w:r w:rsidRPr="007A0407">
          <w:rPr>
            <w:rFonts w:ascii="Times New Roman" w:eastAsia="Times New Roman" w:hAnsi="Times New Roman" w:cs="Times New Roman"/>
            <w:color w:val="000000"/>
            <w:sz w:val="24"/>
            <w:szCs w:val="24"/>
            <w:u w:val="single"/>
          </w:rPr>
          <w:t>една от водещите програми на Зелената сделка</w:t>
        </w:r>
      </w:hyperlink>
      <w:r w:rsidRPr="007A0407">
        <w:rPr>
          <w:rFonts w:ascii="Times New Roman" w:eastAsia="Times New Roman" w:hAnsi="Times New Roman" w:cs="Times New Roman"/>
          <w:color w:val="000000"/>
          <w:sz w:val="24"/>
          <w:szCs w:val="24"/>
        </w:rPr>
        <w:t>. Основната цел е „поне да се удвои или дори утрои“ степента на обновяване на сградите, която в момента е около 1%.</w:t>
      </w:r>
      <w:r w:rsidR="004F4E34" w:rsidRPr="004F4E34">
        <w:t xml:space="preserve"> </w:t>
      </w:r>
      <w:r w:rsidR="004F4E34" w:rsidRPr="004F4E34">
        <w:rPr>
          <w:rFonts w:ascii="Times New Roman" w:eastAsia="Times New Roman" w:hAnsi="Times New Roman" w:cs="Times New Roman"/>
          <w:color w:val="4472C4" w:themeColor="accent5"/>
          <w:sz w:val="24"/>
          <w:szCs w:val="24"/>
        </w:rPr>
        <w:t>Обновяването на сградите ще доведе до намаляване на въглеродните емисии заради по-ниското потребление на електроенергия, реципрочно - и до по-ниски разходи за домакинствата</w:t>
      </w:r>
      <w:r w:rsidR="004F4E34" w:rsidRPr="004F4E34">
        <w:rPr>
          <w:rFonts w:ascii="Times New Roman" w:eastAsia="Times New Roman" w:hAnsi="Times New Roman" w:cs="Times New Roman"/>
          <w:color w:val="000000"/>
          <w:sz w:val="24"/>
          <w:szCs w:val="24"/>
        </w:rPr>
        <w:t>.</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Нулево</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замърсяване.</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Независимо дали във въздуха, почвата или водата, целта е да се постигне „околна среда без замърсители“ до 2050 г. Новите инициативи там включват стратегия за химическата индустрия.</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Екосистеми</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и</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биоразнообразие</w:t>
      </w:r>
      <w:r w:rsidRPr="007A0407">
        <w:rPr>
          <w:rFonts w:ascii="Times New Roman" w:eastAsia="Times New Roman" w:hAnsi="Times New Roman" w:cs="Times New Roman"/>
          <w:color w:val="000000"/>
          <w:sz w:val="24"/>
          <w:szCs w:val="24"/>
        </w:rPr>
        <w:t xml:space="preserve">. </w:t>
      </w:r>
    </w:p>
    <w:p w:rsidR="004F4E34"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През март 2020 г. беше представена нова стратегия за биологичното разнообразие, в рамките на срещата на върха на ООН за биологичното разнообразие</w:t>
      </w:r>
      <w:r w:rsidR="004F4E34">
        <w:rPr>
          <w:rFonts w:ascii="Times New Roman" w:eastAsia="Times New Roman" w:hAnsi="Times New Roman" w:cs="Times New Roman"/>
          <w:color w:val="000000"/>
          <w:sz w:val="24"/>
          <w:szCs w:val="24"/>
        </w:rPr>
        <w:t xml:space="preserve">, </w:t>
      </w:r>
      <w:r w:rsidR="004F4E34" w:rsidRPr="005408E3">
        <w:rPr>
          <w:rFonts w:ascii="Times New Roman" w:eastAsia="Times New Roman" w:hAnsi="Times New Roman" w:cs="Times New Roman"/>
          <w:color w:val="4472C4" w:themeColor="accent5"/>
          <w:sz w:val="24"/>
          <w:szCs w:val="24"/>
        </w:rPr>
        <w:t xml:space="preserve">като в </w:t>
      </w:r>
      <w:r w:rsidR="005408E3" w:rsidRPr="005408E3">
        <w:rPr>
          <w:rFonts w:ascii="Times New Roman" w:eastAsia="Times New Roman" w:hAnsi="Times New Roman" w:cs="Times New Roman"/>
          <w:color w:val="4472C4" w:themeColor="accent5"/>
          <w:sz w:val="24"/>
          <w:szCs w:val="24"/>
        </w:rPr>
        <w:t xml:space="preserve">края на май 2020, стратегията на ЕС за биологичното разнообразие за 2030 г е публикувана. </w:t>
      </w:r>
      <w:r w:rsidR="004F4E34" w:rsidRPr="005408E3">
        <w:rPr>
          <w:rFonts w:ascii="Times New Roman" w:eastAsia="Times New Roman" w:hAnsi="Times New Roman" w:cs="Times New Roman"/>
          <w:color w:val="4472C4" w:themeColor="accent5"/>
          <w:sz w:val="24"/>
          <w:szCs w:val="24"/>
        </w:rPr>
        <w:t>В края на юни 2022 година, ЕК приема закон за възстановяване на природата.</w:t>
      </w:r>
    </w:p>
    <w:p w:rsidR="007A0407" w:rsidRPr="00D424C8" w:rsidRDefault="007A0407" w:rsidP="007A0407">
      <w:pPr>
        <w:spacing w:after="0" w:line="276" w:lineRule="auto"/>
        <w:jc w:val="both"/>
        <w:rPr>
          <w:rFonts w:ascii="Times New Roman" w:eastAsia="Times New Roman" w:hAnsi="Times New Roman" w:cs="Times New Roman"/>
          <w:color w:val="4472C4" w:themeColor="accent5"/>
          <w:sz w:val="24"/>
          <w:szCs w:val="24"/>
        </w:rPr>
      </w:pPr>
      <w:r w:rsidRPr="007A0407">
        <w:rPr>
          <w:rFonts w:ascii="Times New Roman" w:eastAsia="Times New Roman" w:hAnsi="Times New Roman" w:cs="Times New Roman"/>
          <w:color w:val="000000"/>
          <w:sz w:val="24"/>
          <w:szCs w:val="24"/>
        </w:rPr>
        <w:t>„Европа иска да води чрез пример“ с нови мерки, адресиращи основните причинители за загубата на биологично разнообразие, заяви служител на ЕС</w:t>
      </w:r>
      <w:r w:rsidRPr="005408E3">
        <w:rPr>
          <w:rFonts w:ascii="Times New Roman" w:eastAsia="Times New Roman" w:hAnsi="Times New Roman" w:cs="Times New Roman"/>
          <w:color w:val="4472C4" w:themeColor="accent5"/>
          <w:sz w:val="24"/>
          <w:szCs w:val="24"/>
        </w:rPr>
        <w:t xml:space="preserve">. </w:t>
      </w:r>
      <w:r w:rsidR="005408E3" w:rsidRPr="005408E3">
        <w:rPr>
          <w:rFonts w:ascii="Times New Roman" w:eastAsia="Times New Roman" w:hAnsi="Times New Roman" w:cs="Times New Roman"/>
          <w:color w:val="4472C4" w:themeColor="accent5"/>
          <w:sz w:val="24"/>
          <w:szCs w:val="24"/>
        </w:rPr>
        <w:t>Целта на стратегията е до 2030 г. Европа да поеме по пътя на възстановяването на биологичното разнообразие, което ще бъде от полза за хората, климата и планетата.</w:t>
      </w:r>
      <w:r w:rsidR="005408E3" w:rsidRPr="005408E3">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color w:val="000000"/>
          <w:sz w:val="24"/>
          <w:szCs w:val="24"/>
        </w:rPr>
        <w:t>Това включва мерки за справяне със замърсяването на почвата и водите, както и нова стратегия за горите. „Нуждаем се от повече дървета в Европа“, както в градовете, така и в провинцията. Ще бъдат въведени нови правила за етикетиране, за да се насърчават селскостопанските продукти, произведени без да се е наложило обезлесяване.</w:t>
      </w:r>
      <w:r w:rsidR="00C60757">
        <w:rPr>
          <w:rFonts w:ascii="Times New Roman" w:eastAsia="Times New Roman" w:hAnsi="Times New Roman" w:cs="Times New Roman"/>
          <w:color w:val="000000"/>
          <w:sz w:val="24"/>
          <w:szCs w:val="24"/>
        </w:rPr>
        <w:t xml:space="preserve"> </w:t>
      </w:r>
      <w:r w:rsidR="00C60757" w:rsidRPr="00D424C8">
        <w:rPr>
          <w:rFonts w:ascii="Times New Roman" w:eastAsia="Times New Roman" w:hAnsi="Times New Roman" w:cs="Times New Roman"/>
          <w:color w:val="4472C4" w:themeColor="accent5"/>
          <w:sz w:val="24"/>
          <w:szCs w:val="24"/>
        </w:rPr>
        <w:t xml:space="preserve">В </w:t>
      </w:r>
      <w:r w:rsidR="00D424C8" w:rsidRPr="00D424C8">
        <w:rPr>
          <w:rFonts w:ascii="Times New Roman" w:eastAsia="Times New Roman" w:hAnsi="Times New Roman" w:cs="Times New Roman"/>
          <w:color w:val="4472C4" w:themeColor="accent5"/>
          <w:sz w:val="24"/>
          <w:szCs w:val="24"/>
        </w:rPr>
        <w:t>съответствие с европейската Стратегия за биологично разнообразие 2030 г., е разработен проект на Стратегия за биологичното разнообразие</w:t>
      </w:r>
      <w:r w:rsidR="00331B2B">
        <w:rPr>
          <w:rFonts w:ascii="Times New Roman" w:eastAsia="Times New Roman" w:hAnsi="Times New Roman" w:cs="Times New Roman"/>
          <w:color w:val="4472C4" w:themeColor="accent5"/>
          <w:sz w:val="24"/>
          <w:szCs w:val="24"/>
        </w:rPr>
        <w:t xml:space="preserve"> на Република България (стратегията е </w:t>
      </w:r>
      <w:r w:rsidR="00D424C8" w:rsidRPr="00D424C8">
        <w:rPr>
          <w:rFonts w:ascii="Times New Roman" w:eastAsia="Times New Roman" w:hAnsi="Times New Roman" w:cs="Times New Roman"/>
          <w:color w:val="4472C4" w:themeColor="accent5"/>
          <w:sz w:val="24"/>
          <w:szCs w:val="24"/>
        </w:rPr>
        <w:t>на обществено обсъждане към ноември 2011 г.).</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Нова Стратегия</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„От фермата</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bCs/>
          <w:color w:val="000000"/>
          <w:sz w:val="24"/>
          <w:szCs w:val="24"/>
        </w:rPr>
        <w:t>до</w:t>
      </w:r>
      <w:r w:rsidRPr="007A0407">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b/>
          <w:color w:val="000000"/>
          <w:sz w:val="24"/>
          <w:szCs w:val="24"/>
        </w:rPr>
        <w:t>трапезата</w:t>
      </w:r>
      <w:r w:rsidRPr="007A0407">
        <w:rPr>
          <w:rFonts w:ascii="Times New Roman" w:eastAsia="Times New Roman" w:hAnsi="Times New Roman" w:cs="Times New Roman"/>
          <w:b/>
          <w:bCs/>
          <w:color w:val="000000"/>
          <w:sz w:val="24"/>
          <w:szCs w:val="24"/>
        </w:rPr>
        <w:t>“.</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Новата стратегия цели система за „зелено и по-здравословно земеделие“. Това включва планове за значително намаляване на използването на химически </w:t>
      </w:r>
      <w:r w:rsidR="00C60757">
        <w:rPr>
          <w:rFonts w:ascii="Times New Roman" w:eastAsia="Times New Roman" w:hAnsi="Times New Roman" w:cs="Times New Roman"/>
          <w:color w:val="000000"/>
          <w:sz w:val="24"/>
          <w:szCs w:val="24"/>
        </w:rPr>
        <w:t>пестициди, торове и антибиотици,</w:t>
      </w:r>
      <w:r w:rsidR="00322E88" w:rsidRPr="00322E88">
        <w:t xml:space="preserve"> </w:t>
      </w:r>
      <w:r w:rsidR="00322E88">
        <w:t xml:space="preserve">преразглеждане на </w:t>
      </w:r>
      <w:r w:rsidR="00322E88">
        <w:rPr>
          <w:rFonts w:ascii="Times New Roman" w:eastAsia="Times New Roman" w:hAnsi="Times New Roman" w:cs="Times New Roman"/>
          <w:color w:val="000000"/>
          <w:sz w:val="24"/>
          <w:szCs w:val="24"/>
        </w:rPr>
        <w:t>с</w:t>
      </w:r>
      <w:r w:rsidR="00322E88" w:rsidRPr="00322E88">
        <w:rPr>
          <w:rFonts w:ascii="Times New Roman" w:eastAsia="Times New Roman" w:hAnsi="Times New Roman" w:cs="Times New Roman"/>
          <w:color w:val="000000"/>
          <w:sz w:val="24"/>
          <w:szCs w:val="24"/>
        </w:rPr>
        <w:t>тандартите за хуманно отношение към животните</w:t>
      </w:r>
      <w:r w:rsidR="00322E88">
        <w:rPr>
          <w:rFonts w:ascii="Times New Roman" w:eastAsia="Times New Roman" w:hAnsi="Times New Roman" w:cs="Times New Roman"/>
          <w:color w:val="000000"/>
          <w:sz w:val="24"/>
          <w:szCs w:val="24"/>
        </w:rPr>
        <w:t xml:space="preserve">, </w:t>
      </w:r>
      <w:r w:rsidR="00BF606C" w:rsidRPr="00BF606C">
        <w:rPr>
          <w:rStyle w:val="epname"/>
          <w:rFonts w:ascii="Times New Roman" w:hAnsi="Times New Roman" w:cs="Times New Roman"/>
          <w:color w:val="4472C4" w:themeColor="accent5"/>
          <w:sz w:val="24"/>
          <w:szCs w:val="24"/>
          <w:bdr w:val="none" w:sz="0" w:space="0" w:color="auto" w:frame="1"/>
          <w:shd w:val="clear" w:color="auto" w:fill="FFFFFF"/>
        </w:rPr>
        <w:t>п</w:t>
      </w:r>
      <w:r w:rsidR="00322E88" w:rsidRPr="00BF606C">
        <w:rPr>
          <w:rStyle w:val="epname"/>
          <w:rFonts w:ascii="Times New Roman" w:hAnsi="Times New Roman" w:cs="Times New Roman"/>
          <w:color w:val="4472C4" w:themeColor="accent5"/>
          <w:sz w:val="24"/>
          <w:szCs w:val="24"/>
          <w:bdr w:val="none" w:sz="0" w:space="0" w:color="auto" w:frame="1"/>
          <w:shd w:val="clear" w:color="auto" w:fill="FFFFFF"/>
        </w:rPr>
        <w:t>овече земя за биологично земеделие, както и гаранции, че земеделските стопани ще могат да получават справедлив дял от печалбата от устойчиво произведените храни.</w:t>
      </w:r>
      <w:r w:rsidR="00322E88" w:rsidRPr="00BF606C">
        <w:rPr>
          <w:rStyle w:val="epname"/>
          <w:rFonts w:ascii="Helvetica" w:hAnsi="Helvetica"/>
          <w:color w:val="4472C4" w:themeColor="accent5"/>
          <w:sz w:val="21"/>
          <w:szCs w:val="21"/>
          <w:bdr w:val="none" w:sz="0" w:space="0" w:color="auto" w:frame="1"/>
          <w:shd w:val="clear" w:color="auto" w:fill="FFFFFF"/>
        </w:rPr>
        <w:t xml:space="preserve"> </w:t>
      </w:r>
      <w:r w:rsidR="00322E88" w:rsidRPr="00BF606C">
        <w:rPr>
          <w:rFonts w:ascii="Times New Roman" w:eastAsia="Times New Roman" w:hAnsi="Times New Roman" w:cs="Times New Roman"/>
          <w:color w:val="4472C4" w:themeColor="accent5"/>
          <w:sz w:val="24"/>
          <w:szCs w:val="24"/>
        </w:rPr>
        <w:t xml:space="preserve"> </w:t>
      </w:r>
      <w:r w:rsidRPr="007A0407">
        <w:rPr>
          <w:rFonts w:ascii="Times New Roman" w:eastAsia="Times New Roman" w:hAnsi="Times New Roman" w:cs="Times New Roman"/>
          <w:color w:val="000000"/>
          <w:sz w:val="24"/>
          <w:szCs w:val="24"/>
        </w:rPr>
        <w:t>Новите национални стратегически планове ще бъдат разгледани внимателно</w:t>
      </w:r>
      <w:r w:rsidR="00331B2B">
        <w:rPr>
          <w:rFonts w:ascii="Times New Roman" w:eastAsia="Times New Roman" w:hAnsi="Times New Roman" w:cs="Times New Roman"/>
          <w:color w:val="000000"/>
          <w:sz w:val="24"/>
          <w:szCs w:val="24"/>
        </w:rPr>
        <w:t xml:space="preserve"> и прие необходимост актуализирани.</w:t>
      </w:r>
      <w:r w:rsidR="00F94927">
        <w:rPr>
          <w:rFonts w:ascii="Times New Roman" w:eastAsia="Times New Roman" w:hAnsi="Times New Roman" w:cs="Times New Roman"/>
          <w:color w:val="000000"/>
          <w:sz w:val="24"/>
          <w:szCs w:val="24"/>
        </w:rPr>
        <w:t xml:space="preserve"> Към момента е изготвена визия на Република България за Общо Селскостоп</w:t>
      </w:r>
      <w:r w:rsidR="00754F19">
        <w:rPr>
          <w:rFonts w:ascii="Times New Roman" w:eastAsia="Times New Roman" w:hAnsi="Times New Roman" w:cs="Times New Roman"/>
          <w:color w:val="000000"/>
          <w:sz w:val="24"/>
          <w:szCs w:val="24"/>
        </w:rPr>
        <w:t>анска политика след 2020 година.</w:t>
      </w:r>
      <w:r w:rsidR="00F94927">
        <w:rPr>
          <w:rFonts w:ascii="Times New Roman" w:eastAsia="Times New Roman" w:hAnsi="Times New Roman" w:cs="Times New Roman"/>
          <w:color w:val="000000"/>
          <w:sz w:val="24"/>
          <w:szCs w:val="24"/>
        </w:rPr>
        <w:t xml:space="preserve"> Държавите членки </w:t>
      </w:r>
      <w:r w:rsidRPr="007A0407">
        <w:rPr>
          <w:rFonts w:ascii="Times New Roman" w:eastAsia="Times New Roman" w:hAnsi="Times New Roman" w:cs="Times New Roman"/>
          <w:color w:val="000000"/>
          <w:sz w:val="24"/>
          <w:szCs w:val="24"/>
        </w:rPr>
        <w:t>следва да п</w:t>
      </w:r>
      <w:r w:rsidR="00F94927">
        <w:rPr>
          <w:rFonts w:ascii="Times New Roman" w:eastAsia="Times New Roman" w:hAnsi="Times New Roman" w:cs="Times New Roman"/>
          <w:color w:val="000000"/>
          <w:sz w:val="24"/>
          <w:szCs w:val="24"/>
        </w:rPr>
        <w:t xml:space="preserve">редставят такива визии или стратегии в </w:t>
      </w:r>
      <w:r w:rsidRPr="007A0407">
        <w:rPr>
          <w:rFonts w:ascii="Times New Roman" w:eastAsia="Times New Roman" w:hAnsi="Times New Roman" w:cs="Times New Roman"/>
          <w:color w:val="000000"/>
          <w:sz w:val="24"/>
          <w:szCs w:val="24"/>
        </w:rPr>
        <w:t>рамките на Общата селскостопанска политика, за да се провери дали съответстват с целите на Зелената сделка.</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Транспорт</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Една година след като ЕС се съгласи с новите стандарти за въглеродните емисии на автомобилите, автомобилният сектор отново попада под огъня на Комисията. </w:t>
      </w:r>
    </w:p>
    <w:p w:rsidR="007A0407" w:rsidRPr="007A0407" w:rsidRDefault="007A0407" w:rsidP="007A0407">
      <w:pPr>
        <w:numPr>
          <w:ilvl w:val="0"/>
          <w:numId w:val="15"/>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Настоящата цел: достигане на 95gCO2/км до 2021 г.;</w:t>
      </w:r>
    </w:p>
    <w:p w:rsidR="007A0407" w:rsidRPr="007A0407" w:rsidRDefault="007A0407" w:rsidP="007A0407">
      <w:pPr>
        <w:numPr>
          <w:ilvl w:val="0"/>
          <w:numId w:val="15"/>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Амбициозна цел: достигане на нулеви стойности през следващото десетилетие;</w:t>
      </w:r>
    </w:p>
    <w:p w:rsidR="007A0407" w:rsidRPr="007A0407" w:rsidRDefault="007A0407" w:rsidP="007A0407">
      <w:pPr>
        <w:numPr>
          <w:ilvl w:val="0"/>
          <w:numId w:val="15"/>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Насърчаване на електрическите превозни средства. До 2015г. да бъдат разположени 1 </w:t>
      </w:r>
      <w:proofErr w:type="spellStart"/>
      <w:r w:rsidRPr="007A0407">
        <w:rPr>
          <w:rFonts w:ascii="Times New Roman" w:eastAsia="Times New Roman" w:hAnsi="Times New Roman" w:cs="Times New Roman"/>
          <w:color w:val="000000"/>
          <w:sz w:val="24"/>
          <w:szCs w:val="24"/>
        </w:rPr>
        <w:t>млн</w:t>
      </w:r>
      <w:proofErr w:type="spellEnd"/>
      <w:r w:rsidRPr="007A0407">
        <w:rPr>
          <w:rFonts w:ascii="Times New Roman" w:eastAsia="Times New Roman" w:hAnsi="Times New Roman" w:cs="Times New Roman"/>
          <w:color w:val="000000"/>
          <w:sz w:val="24"/>
          <w:szCs w:val="24"/>
        </w:rPr>
        <w:t xml:space="preserve"> обществени станции за зареждане. . „Всяко семейство в Европа трябва да може да ползва електромобила си без да се притеснява за следващата зарядна станция“</w:t>
      </w:r>
    </w:p>
    <w:p w:rsidR="007A0407" w:rsidRPr="007A0407" w:rsidRDefault="007A0407" w:rsidP="007A0407">
      <w:pPr>
        <w:numPr>
          <w:ilvl w:val="0"/>
          <w:numId w:val="15"/>
        </w:numPr>
        <w:spacing w:after="0" w:line="276" w:lineRule="auto"/>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Насърчаване на „Устойчиви алтернативни горива“ – биогорива и водород в авиацията, превоза на стоки и тежкотоварния автомобилен транспорт.</w:t>
      </w:r>
    </w:p>
    <w:p w:rsidR="007A0407" w:rsidRPr="007A0407" w:rsidRDefault="007A0407" w:rsidP="007A0407">
      <w:pPr>
        <w:spacing w:after="0" w:line="276" w:lineRule="auto"/>
        <w:contextualSpacing/>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60"/>
        <w:contextualSpacing/>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Финанси</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За да „не остави никого назад“, Комисията предлага Механизъм за справедлив преход, за да помогне на регионите, най-силно зависими от изкопаемите горива. „Имаме амбицията да мобилизираме 100 милиарда евро, насочени към най-уязвимите региони и сектори“, заяви Фон дер Лайен, представяйки Зелената сделка.</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Предложеният инструмент в размер на 100 милиарда евро се състои от:</w:t>
      </w:r>
    </w:p>
    <w:p w:rsidR="007A0407" w:rsidRPr="007A0407" w:rsidRDefault="007A0407" w:rsidP="007A0407">
      <w:pPr>
        <w:numPr>
          <w:ilvl w:val="0"/>
          <w:numId w:val="4"/>
        </w:num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фонд за справедлив преход, който ще мобилизира средства от бюджета на регионалната политика на ЕС;</w:t>
      </w:r>
    </w:p>
    <w:p w:rsidR="007A0407" w:rsidRPr="007A0407" w:rsidRDefault="007A0407" w:rsidP="007A0407">
      <w:pPr>
        <w:numPr>
          <w:ilvl w:val="0"/>
          <w:numId w:val="4"/>
        </w:num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Програмата „InvestEU” с финансиране, идващо от Европейската инвестиционна банка;</w:t>
      </w:r>
    </w:p>
    <w:p w:rsidR="007A0407" w:rsidRPr="007A0407" w:rsidRDefault="007A0407" w:rsidP="007A0407">
      <w:pPr>
        <w:numPr>
          <w:ilvl w:val="0"/>
          <w:numId w:val="4"/>
        </w:num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Финансиране от ЕИБ, идващо от собствения капитал на европейската банка.</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За всяко евро, изразходвано от фонда, регионите може да добавят 2 или 3 евро. В този контекст насоките на ЕС за държавна помощ ще бъдат преразгледани, така че националните правителства да могат пряко да подкрепят инвестициите в чиста енергия, с благословията на дирекцията за конкуренция на Комисията.</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На регионите ще бъде предложена и техническа помощ, за да им се помогне да „усвоят” средствата, спазвайки строгите европейски правила за изразходването им.</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Всяка държавна помощ, обаче, ще трябва да бъде проверена от Комисията като част от новите планове за преход на регионите.</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49"/>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Научни изследвания и разработки и иновации</w:t>
      </w:r>
      <w:r w:rsidRPr="007A0407">
        <w:rPr>
          <w:rFonts w:ascii="Times New Roman" w:eastAsia="Times New Roman" w:hAnsi="Times New Roman" w:cs="Times New Roman"/>
          <w:color w:val="000000"/>
          <w:sz w:val="24"/>
          <w:szCs w:val="24"/>
        </w:rPr>
        <w:t xml:space="preserve">. </w:t>
      </w:r>
    </w:p>
    <w:p w:rsidR="007A0407" w:rsidRPr="007A0407" w:rsidRDefault="007A0407" w:rsidP="007A0407">
      <w:pPr>
        <w:spacing w:after="0" w:line="276" w:lineRule="auto"/>
        <w:ind w:firstLine="349"/>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С предложен бюджет от 100 милиарда евро за следващите седем години (2021-2027 г.), програмата за изследвания и иновации Horizon Europe също ще допринесе за Зелената сделка. 35% от финансирането за научни изследвания в ЕС ще бъдат заделени за благоприятни за климата технологии </w:t>
      </w:r>
      <w:hyperlink r:id="rId15" w:history="1">
        <w:r w:rsidRPr="007A0407">
          <w:rPr>
            <w:rFonts w:ascii="Times New Roman" w:eastAsia="Times New Roman" w:hAnsi="Times New Roman" w:cs="Times New Roman"/>
            <w:color w:val="000000"/>
            <w:sz w:val="24"/>
            <w:szCs w:val="24"/>
            <w:u w:val="single"/>
          </w:rPr>
          <w:t>съгласно споразумение, постигнато в миналата година.</w:t>
        </w:r>
      </w:hyperlink>
      <w:r w:rsidRPr="007A0407">
        <w:rPr>
          <w:rFonts w:ascii="Times New Roman" w:eastAsia="Times New Roman" w:hAnsi="Times New Roman" w:cs="Times New Roman"/>
          <w:color w:val="000000"/>
          <w:sz w:val="24"/>
          <w:szCs w:val="24"/>
        </w:rPr>
        <w:t xml:space="preserve"> Поредица от изследователски </w:t>
      </w:r>
      <w:hyperlink r:id="rId16" w:history="1">
        <w:r w:rsidRPr="007A0407">
          <w:rPr>
            <w:rFonts w:ascii="Times New Roman" w:eastAsia="Times New Roman" w:hAnsi="Times New Roman" w:cs="Times New Roman"/>
            <w:color w:val="000000"/>
            <w:sz w:val="24"/>
            <w:szCs w:val="24"/>
            <w:u w:val="single"/>
          </w:rPr>
          <w:t>проекти</w:t>
        </w:r>
      </w:hyperlink>
      <w:r w:rsidRPr="007A0407">
        <w:rPr>
          <w:rFonts w:ascii="Times New Roman" w:eastAsia="Times New Roman" w:hAnsi="Times New Roman" w:cs="Times New Roman"/>
          <w:color w:val="000000"/>
          <w:sz w:val="24"/>
          <w:szCs w:val="24"/>
        </w:rPr>
        <w:t xml:space="preserve"> ще бъдат съсредоточени главно върху екологичните цели.</w:t>
      </w:r>
    </w:p>
    <w:p w:rsidR="007A0407" w:rsidRPr="007A0407" w:rsidRDefault="007A0407" w:rsidP="007A0407">
      <w:pPr>
        <w:spacing w:after="0" w:line="276" w:lineRule="auto"/>
        <w:ind w:left="349"/>
        <w:contextualSpacing/>
        <w:jc w:val="both"/>
        <w:rPr>
          <w:rFonts w:ascii="Times New Roman" w:eastAsia="Times New Roman" w:hAnsi="Times New Roman" w:cs="Times New Roman"/>
          <w:color w:val="000000"/>
          <w:sz w:val="24"/>
          <w:szCs w:val="24"/>
        </w:rPr>
      </w:pPr>
    </w:p>
    <w:p w:rsidR="007A0407" w:rsidRPr="007A0407" w:rsidRDefault="007A0407" w:rsidP="007A0407">
      <w:pPr>
        <w:numPr>
          <w:ilvl w:val="0"/>
          <w:numId w:val="5"/>
        </w:numPr>
        <w:spacing w:after="0" w:line="276" w:lineRule="auto"/>
        <w:ind w:firstLine="349"/>
        <w:contextualSpacing/>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Външни отношения.</w:t>
      </w:r>
      <w:r w:rsidRPr="007A0407">
        <w:rPr>
          <w:rFonts w:ascii="Times New Roman" w:eastAsia="Times New Roman" w:hAnsi="Times New Roman" w:cs="Times New Roman"/>
          <w:color w:val="000000"/>
          <w:sz w:val="24"/>
          <w:szCs w:val="24"/>
        </w:rPr>
        <w:t xml:space="preserve"> </w:t>
      </w:r>
    </w:p>
    <w:p w:rsidR="007A0407" w:rsidRPr="00540FF3" w:rsidRDefault="007A0407" w:rsidP="00540FF3">
      <w:pPr>
        <w:spacing w:after="0" w:line="276" w:lineRule="auto"/>
        <w:jc w:val="both"/>
        <w:rPr>
          <w:rFonts w:ascii="Times New Roman" w:eastAsia="Times New Roman" w:hAnsi="Times New Roman" w:cs="Times New Roman"/>
          <w:color w:val="4472C4" w:themeColor="accent5"/>
          <w:sz w:val="24"/>
          <w:szCs w:val="24"/>
        </w:rPr>
      </w:pPr>
      <w:r w:rsidRPr="007A0407">
        <w:rPr>
          <w:rFonts w:ascii="Times New Roman" w:eastAsia="Times New Roman" w:hAnsi="Times New Roman" w:cs="Times New Roman"/>
          <w:color w:val="000000"/>
          <w:sz w:val="24"/>
          <w:szCs w:val="24"/>
        </w:rPr>
        <w:t>И накрая, дипломатическите усилия на ЕС ще бъдат мобилизирани в подкрепа на Зелената сделка. Една мярка, която вероятно ще привлече внимание и противоречия, е предложението за гр</w:t>
      </w:r>
      <w:r w:rsidR="00EA4ED5">
        <w:rPr>
          <w:rFonts w:ascii="Times New Roman" w:eastAsia="Times New Roman" w:hAnsi="Times New Roman" w:cs="Times New Roman"/>
          <w:color w:val="000000"/>
          <w:sz w:val="24"/>
          <w:szCs w:val="24"/>
        </w:rPr>
        <w:t xml:space="preserve">анична такса на ЕС за въглерода, или т.нар. </w:t>
      </w:r>
      <w:r w:rsidR="00EA4ED5" w:rsidRPr="00EA4ED5">
        <w:rPr>
          <w:rFonts w:ascii="Times New Roman" w:eastAsia="Times New Roman" w:hAnsi="Times New Roman" w:cs="Times New Roman"/>
          <w:color w:val="4472C4" w:themeColor="accent5"/>
          <w:sz w:val="24"/>
          <w:szCs w:val="24"/>
        </w:rPr>
        <w:t xml:space="preserve">Механизъм за въглеродна корекция по границите. </w:t>
      </w:r>
      <w:r w:rsidRPr="007A0407">
        <w:rPr>
          <w:rFonts w:ascii="Times New Roman" w:eastAsia="Times New Roman" w:hAnsi="Times New Roman" w:cs="Times New Roman"/>
          <w:color w:val="000000"/>
          <w:sz w:val="24"/>
          <w:szCs w:val="24"/>
        </w:rPr>
        <w:t>Докато Европа увеличава климатичните си амбиции, се очаква и останалият свят да поеме своята ролята, обясни служител на ЕС. Но ако това не се случи, Европа „няма да е наивна“ и ще защити индустрията си от нелоялна конкуренция.</w:t>
      </w:r>
      <w:r w:rsidR="00291B1C" w:rsidRPr="00291B1C">
        <w:t xml:space="preserve"> </w:t>
      </w:r>
      <w:r w:rsidR="00291B1C" w:rsidRPr="00EA4ED5">
        <w:rPr>
          <w:rFonts w:ascii="Times New Roman" w:eastAsia="Times New Roman" w:hAnsi="Times New Roman" w:cs="Times New Roman"/>
          <w:color w:val="4472C4" w:themeColor="accent5"/>
          <w:sz w:val="24"/>
          <w:szCs w:val="24"/>
        </w:rPr>
        <w:t xml:space="preserve">Като част от планираното споразумение, постигнато с посредничеството на Франция, държавите членки се съгласиха да подкрепят предложението на </w:t>
      </w:r>
      <w:r w:rsidR="00EA4ED5" w:rsidRPr="00EA4ED5">
        <w:rPr>
          <w:rFonts w:ascii="Times New Roman" w:eastAsia="Times New Roman" w:hAnsi="Times New Roman" w:cs="Times New Roman"/>
          <w:color w:val="4472C4" w:themeColor="accent5"/>
          <w:sz w:val="24"/>
          <w:szCs w:val="24"/>
        </w:rPr>
        <w:t xml:space="preserve"> Е</w:t>
      </w:r>
      <w:r w:rsidR="00291B1C" w:rsidRPr="00EA4ED5">
        <w:rPr>
          <w:rFonts w:ascii="Times New Roman" w:eastAsia="Times New Roman" w:hAnsi="Times New Roman" w:cs="Times New Roman"/>
          <w:color w:val="4472C4" w:themeColor="accent5"/>
          <w:sz w:val="24"/>
          <w:szCs w:val="24"/>
        </w:rPr>
        <w:t>К</w:t>
      </w:r>
      <w:r w:rsidR="00EA4ED5" w:rsidRPr="00EA4ED5">
        <w:rPr>
          <w:rFonts w:ascii="Times New Roman" w:eastAsia="Times New Roman" w:hAnsi="Times New Roman" w:cs="Times New Roman"/>
          <w:color w:val="4472C4" w:themeColor="accent5"/>
          <w:sz w:val="24"/>
          <w:szCs w:val="24"/>
        </w:rPr>
        <w:t xml:space="preserve"> </w:t>
      </w:r>
      <w:r w:rsidR="00291B1C" w:rsidRPr="00EA4ED5">
        <w:rPr>
          <w:rFonts w:ascii="Times New Roman" w:eastAsia="Times New Roman" w:hAnsi="Times New Roman" w:cs="Times New Roman"/>
          <w:color w:val="4472C4" w:themeColor="accent5"/>
          <w:sz w:val="24"/>
          <w:szCs w:val="24"/>
        </w:rPr>
        <w:t>за преходен период до три години преди пълното влизане в сила на механизма през януари 2026 г. Задълженията на вносителите през този период ще бъдат ограничени до докладване. След това те ще трябва да купуват специални сертификати на цена, свързана със Схемата за търговия с емисии на ЕС.</w:t>
      </w:r>
    </w:p>
    <w:p w:rsidR="007A0407" w:rsidRPr="007A0407" w:rsidRDefault="007A0407" w:rsidP="007A0407">
      <w:pPr>
        <w:spacing w:after="0" w:line="276" w:lineRule="auto"/>
        <w:rPr>
          <w:rFonts w:ascii="Times New Roman" w:eastAsia="Calibri" w:hAnsi="Times New Roman" w:cs="Times New Roman"/>
          <w:b/>
          <w:color w:val="000000"/>
          <w:sz w:val="24"/>
          <w:szCs w:val="24"/>
        </w:rPr>
      </w:pPr>
    </w:p>
    <w:p w:rsidR="007A0407" w:rsidRPr="007A0407" w:rsidRDefault="007A0407" w:rsidP="007A0407">
      <w:pPr>
        <w:spacing w:after="0" w:line="276" w:lineRule="auto"/>
        <w:rPr>
          <w:rFonts w:ascii="Times New Roman" w:eastAsia="Calibri" w:hAnsi="Times New Roman" w:cs="Times New Roman"/>
          <w:b/>
          <w:color w:val="000000"/>
          <w:sz w:val="24"/>
          <w:szCs w:val="24"/>
        </w:rPr>
      </w:pPr>
    </w:p>
    <w:p w:rsidR="007A0407" w:rsidRPr="007A0407" w:rsidRDefault="007A0407" w:rsidP="007A0407">
      <w:pPr>
        <w:spacing w:after="0" w:line="276" w:lineRule="auto"/>
        <w:rPr>
          <w:rFonts w:ascii="Times New Roman" w:eastAsia="Calibri" w:hAnsi="Times New Roman" w:cs="Times New Roman"/>
          <w:b/>
          <w:color w:val="000000"/>
          <w:sz w:val="24"/>
          <w:szCs w:val="24"/>
        </w:rPr>
      </w:pPr>
    </w:p>
    <w:p w:rsidR="007A0407" w:rsidRDefault="007A0407"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540FF3" w:rsidRDefault="00540FF3"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p w:rsidR="002A1765" w:rsidRDefault="002A1765" w:rsidP="007A0407">
      <w:pPr>
        <w:spacing w:after="0" w:line="276" w:lineRule="auto"/>
        <w:rPr>
          <w:rFonts w:ascii="Times New Roman" w:eastAsia="Calibri" w:hAnsi="Times New Roman" w:cs="Times New Roman"/>
          <w:b/>
          <w:color w:val="000000"/>
          <w:sz w:val="24"/>
          <w:szCs w:val="24"/>
        </w:rPr>
      </w:pPr>
    </w:p>
    <w:tbl>
      <w:tblPr>
        <w:tblStyle w:val="TableGrid"/>
        <w:tblW w:w="0" w:type="auto"/>
        <w:tblLook w:val="04A0" w:firstRow="1" w:lastRow="0" w:firstColumn="1" w:lastColumn="0" w:noHBand="0" w:noVBand="1"/>
      </w:tblPr>
      <w:tblGrid>
        <w:gridCol w:w="9060"/>
      </w:tblGrid>
      <w:tr w:rsidR="007A0407" w:rsidRPr="007A0407" w:rsidTr="007A0407">
        <w:tc>
          <w:tcPr>
            <w:tcW w:w="9060" w:type="dxa"/>
            <w:shd w:val="clear" w:color="auto" w:fill="93D07C"/>
          </w:tcPr>
          <w:p w:rsidR="007A0407" w:rsidRPr="007A0407" w:rsidRDefault="002A1765" w:rsidP="002A1765">
            <w:pPr>
              <w:spacing w:after="200" w:line="276" w:lineRule="auto"/>
              <w:jc w:val="center"/>
              <w:rPr>
                <w:rFonts w:ascii="Times New Roman" w:hAnsi="Times New Roman"/>
                <w:b/>
                <w:color w:val="000000"/>
                <w:sz w:val="24"/>
                <w:szCs w:val="24"/>
              </w:rPr>
            </w:pPr>
            <w:r>
              <w:rPr>
                <w:rFonts w:ascii="Times New Roman" w:hAnsi="Times New Roman"/>
                <w:b/>
                <w:color w:val="000000"/>
                <w:sz w:val="24"/>
                <w:szCs w:val="24"/>
                <w:lang w:val="bg-BG"/>
              </w:rPr>
              <w:t>Х</w:t>
            </w:r>
            <w:proofErr w:type="spellStart"/>
            <w:r w:rsidR="007A0407" w:rsidRPr="007A0407">
              <w:rPr>
                <w:rFonts w:ascii="Times New Roman" w:hAnsi="Times New Roman"/>
                <w:b/>
                <w:color w:val="000000"/>
                <w:sz w:val="24"/>
                <w:szCs w:val="24"/>
              </w:rPr>
              <w:t>ронология</w:t>
            </w:r>
            <w:proofErr w:type="spellEnd"/>
            <w:r w:rsidR="007A0407" w:rsidRPr="007A0407">
              <w:rPr>
                <w:rFonts w:ascii="Times New Roman" w:hAnsi="Times New Roman"/>
                <w:b/>
                <w:color w:val="000000"/>
                <w:sz w:val="24"/>
                <w:szCs w:val="24"/>
              </w:rPr>
              <w:t xml:space="preserve"> н</w:t>
            </w:r>
            <w:r>
              <w:rPr>
                <w:rFonts w:ascii="Times New Roman" w:hAnsi="Times New Roman"/>
                <w:b/>
                <w:color w:val="000000"/>
                <w:sz w:val="24"/>
                <w:szCs w:val="24"/>
                <w:lang w:val="bg-BG"/>
              </w:rPr>
              <w:t>а</w:t>
            </w:r>
            <w:r w:rsidR="007A0407" w:rsidRPr="007A0407">
              <w:rPr>
                <w:rFonts w:ascii="Times New Roman" w:hAnsi="Times New Roman"/>
                <w:b/>
                <w:color w:val="000000"/>
                <w:sz w:val="24"/>
                <w:szCs w:val="24"/>
              </w:rPr>
              <w:t xml:space="preserve"> зелената </w:t>
            </w:r>
            <w:proofErr w:type="spellStart"/>
            <w:r w:rsidR="007A0407" w:rsidRPr="007A0407">
              <w:rPr>
                <w:rFonts w:ascii="Times New Roman" w:hAnsi="Times New Roman"/>
                <w:b/>
                <w:color w:val="000000"/>
                <w:sz w:val="24"/>
                <w:szCs w:val="24"/>
              </w:rPr>
              <w:t>сделка</w:t>
            </w:r>
            <w:proofErr w:type="spellEnd"/>
            <w:r w:rsidR="007A0407" w:rsidRPr="007A0407">
              <w:rPr>
                <w:rFonts w:ascii="Times New Roman" w:hAnsi="Times New Roman"/>
                <w:b/>
                <w:color w:val="000000"/>
                <w:sz w:val="24"/>
                <w:szCs w:val="24"/>
              </w:rPr>
              <w:t xml:space="preserve"> </w:t>
            </w:r>
            <w:proofErr w:type="spellStart"/>
            <w:r w:rsidR="007A0407" w:rsidRPr="007A0407">
              <w:rPr>
                <w:rFonts w:ascii="Times New Roman" w:hAnsi="Times New Roman"/>
                <w:b/>
                <w:color w:val="000000"/>
                <w:sz w:val="24"/>
                <w:szCs w:val="24"/>
              </w:rPr>
              <w:t>от</w:t>
            </w:r>
            <w:proofErr w:type="spellEnd"/>
            <w:r w:rsidR="007A0407" w:rsidRPr="007A0407">
              <w:rPr>
                <w:rFonts w:ascii="Times New Roman" w:hAnsi="Times New Roman"/>
                <w:b/>
                <w:color w:val="000000"/>
                <w:sz w:val="24"/>
                <w:szCs w:val="24"/>
              </w:rPr>
              <w:t xml:space="preserve"> </w:t>
            </w:r>
            <w:proofErr w:type="spellStart"/>
            <w:r w:rsidR="007A0407" w:rsidRPr="007A0407">
              <w:rPr>
                <w:rFonts w:ascii="Times New Roman" w:hAnsi="Times New Roman"/>
                <w:b/>
                <w:color w:val="000000"/>
                <w:sz w:val="24"/>
                <w:szCs w:val="24"/>
              </w:rPr>
              <w:t>началото</w:t>
            </w:r>
            <w:proofErr w:type="spellEnd"/>
            <w:r w:rsidR="007A0407" w:rsidRPr="007A0407">
              <w:rPr>
                <w:rFonts w:ascii="Times New Roman" w:hAnsi="Times New Roman"/>
                <w:b/>
                <w:color w:val="000000"/>
                <w:sz w:val="24"/>
                <w:szCs w:val="24"/>
              </w:rPr>
              <w:t xml:space="preserve"> </w:t>
            </w:r>
            <w:proofErr w:type="spellStart"/>
            <w:r w:rsidR="007A0407" w:rsidRPr="007A0407">
              <w:rPr>
                <w:rFonts w:ascii="Times New Roman" w:hAnsi="Times New Roman"/>
                <w:b/>
                <w:color w:val="000000"/>
                <w:sz w:val="24"/>
                <w:szCs w:val="24"/>
              </w:rPr>
              <w:t>до</w:t>
            </w:r>
            <w:proofErr w:type="spellEnd"/>
            <w:r w:rsidR="007A0407" w:rsidRPr="007A0407">
              <w:rPr>
                <w:rFonts w:ascii="Times New Roman" w:hAnsi="Times New Roman"/>
                <w:b/>
                <w:color w:val="000000"/>
                <w:sz w:val="24"/>
                <w:szCs w:val="24"/>
              </w:rPr>
              <w:t xml:space="preserve"> </w:t>
            </w:r>
            <w:proofErr w:type="spellStart"/>
            <w:r w:rsidR="007A0407" w:rsidRPr="007A0407">
              <w:rPr>
                <w:rFonts w:ascii="Times New Roman" w:hAnsi="Times New Roman"/>
                <w:b/>
                <w:color w:val="000000"/>
                <w:sz w:val="24"/>
                <w:szCs w:val="24"/>
              </w:rPr>
              <w:t>сега</w:t>
            </w:r>
            <w:proofErr w:type="spellEnd"/>
          </w:p>
        </w:tc>
      </w:tr>
    </w:tbl>
    <w:p w:rsidR="007A0407" w:rsidRDefault="007A0407" w:rsidP="007A0407">
      <w:pPr>
        <w:spacing w:after="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noProof/>
          <w:color w:val="000000"/>
          <w:sz w:val="24"/>
          <w:szCs w:val="24"/>
          <w:lang w:eastAsia="bg-BG"/>
        </w:rPr>
        <w:drawing>
          <wp:inline distT="0" distB="0" distL="0" distR="0" wp14:anchorId="0DF4256A" wp14:editId="6A4C173E">
            <wp:extent cx="5729592" cy="8307070"/>
            <wp:effectExtent l="38100" t="0" r="10033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14E86" w:rsidRDefault="00314E86" w:rsidP="007A0407">
      <w:pPr>
        <w:spacing w:after="0" w:line="276" w:lineRule="auto"/>
        <w:rPr>
          <w:rFonts w:ascii="Times New Roman" w:eastAsia="Calibri" w:hAnsi="Times New Roman" w:cs="Times New Roman"/>
          <w:color w:val="000000"/>
          <w:sz w:val="24"/>
          <w:szCs w:val="24"/>
        </w:rPr>
      </w:pPr>
    </w:p>
    <w:p w:rsidR="00314E86" w:rsidRDefault="004E0136" w:rsidP="007A0407">
      <w:pPr>
        <w:spacing w:after="0" w:line="276" w:lineRule="auto"/>
        <w:rPr>
          <w:rFonts w:ascii="Cambria" w:eastAsia="Cambria" w:hAnsi="Cambria" w:cs="+mn-cs"/>
          <w:b/>
          <w:bCs/>
          <w:color w:val="002060"/>
          <w:sz w:val="24"/>
          <w:szCs w:val="24"/>
          <w:lang w:eastAsia="bg-BG"/>
        </w:rPr>
      </w:pPr>
      <w:r w:rsidRPr="007A0407">
        <w:rPr>
          <w:rFonts w:ascii="Times New Roman" w:eastAsia="Calibri" w:hAnsi="Times New Roman" w:cs="Times New Roman"/>
          <w:noProof/>
          <w:color w:val="000000"/>
          <w:sz w:val="24"/>
          <w:szCs w:val="24"/>
          <w:lang w:eastAsia="bg-BG"/>
        </w:rPr>
        <w:drawing>
          <wp:inline distT="0" distB="0" distL="0" distR="0" wp14:anchorId="02132657" wp14:editId="33B289D9">
            <wp:extent cx="5728970" cy="9309370"/>
            <wp:effectExtent l="19050" t="19050" r="100330" b="254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14E86" w:rsidRDefault="00314E86" w:rsidP="007A0407">
      <w:pPr>
        <w:spacing w:after="0" w:line="276" w:lineRule="auto"/>
        <w:rPr>
          <w:rFonts w:ascii="Times New Roman" w:eastAsia="Calibri" w:hAnsi="Times New Roman" w:cs="Times New Roman"/>
          <w:color w:val="000000"/>
          <w:sz w:val="24"/>
          <w:szCs w:val="24"/>
        </w:rPr>
      </w:pPr>
    </w:p>
    <w:p w:rsidR="000863A4" w:rsidRDefault="000863A4" w:rsidP="007A0407">
      <w:pPr>
        <w:spacing w:after="0" w:line="276" w:lineRule="auto"/>
        <w:rPr>
          <w:rFonts w:ascii="Times New Roman" w:eastAsia="Calibri" w:hAnsi="Times New Roman" w:cs="Times New Roman"/>
          <w:color w:val="000000"/>
          <w:sz w:val="24"/>
          <w:szCs w:val="24"/>
        </w:rPr>
      </w:pPr>
    </w:p>
    <w:p w:rsidR="000863A4" w:rsidRDefault="000863A4" w:rsidP="007A0407">
      <w:pPr>
        <w:spacing w:after="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noProof/>
          <w:color w:val="000000"/>
          <w:sz w:val="24"/>
          <w:szCs w:val="24"/>
          <w:lang w:eastAsia="bg-BG"/>
        </w:rPr>
        <w:drawing>
          <wp:inline distT="0" distB="0" distL="0" distR="0" wp14:anchorId="13212772" wp14:editId="79F2EEDE">
            <wp:extent cx="5739319" cy="1857983"/>
            <wp:effectExtent l="38100" t="38100" r="13970" b="285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206FC" w:rsidRDefault="001206FC" w:rsidP="007A0407">
      <w:pPr>
        <w:spacing w:after="0" w:line="276" w:lineRule="auto"/>
        <w:rPr>
          <w:rFonts w:ascii="Times New Roman" w:eastAsia="Calibri" w:hAnsi="Times New Roman" w:cs="Times New Roman"/>
          <w:color w:val="000000"/>
          <w:sz w:val="24"/>
          <w:szCs w:val="24"/>
        </w:rPr>
      </w:pPr>
    </w:p>
    <w:p w:rsidR="001206FC" w:rsidRPr="007A0407" w:rsidRDefault="001206FC" w:rsidP="007A0407">
      <w:pPr>
        <w:spacing w:after="0" w:line="276" w:lineRule="auto"/>
        <w:rPr>
          <w:rFonts w:ascii="Times New Roman" w:eastAsia="Calibri" w:hAnsi="Times New Roman" w:cs="Times New Roman"/>
          <w:color w:val="000000"/>
          <w:sz w:val="24"/>
          <w:szCs w:val="24"/>
        </w:rPr>
      </w:pPr>
    </w:p>
    <w:p w:rsidR="007A0407" w:rsidRPr="007A0407" w:rsidRDefault="007A0407" w:rsidP="007A0407">
      <w:pPr>
        <w:pBdr>
          <w:top w:val="single" w:sz="4" w:space="1" w:color="auto"/>
          <w:left w:val="single" w:sz="4" w:space="4" w:color="auto"/>
          <w:bottom w:val="single" w:sz="4" w:space="1" w:color="auto"/>
          <w:right w:val="single" w:sz="4" w:space="4" w:color="auto"/>
        </w:pBdr>
        <w:shd w:val="clear" w:color="auto" w:fill="DAF0F3"/>
        <w:spacing w:after="0" w:line="276" w:lineRule="auto"/>
        <w:jc w:val="center"/>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Финансиране на зеления преход: Планът за инвестиции и Механизмът за справедлив преход на Европейския зелен пакт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Въпреки че всички държави членки, региони и сектори ще трябва да дадат своя принос за прехода, мащабът на предизвикателството пред тях не е един и същ. Някои региони ще бъдат особено засегнати и ще претърпят дълбоки икономически и социални промени. С Механизма за справедлив преход ще се осигури съобразена с конкретните нужди финансова и практическа подкрепа, с която да се помогне на работниците и чрез която ще се генерират необходимите инвестиции в тези региони.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23"/>
        </w:numPr>
        <w:spacing w:after="0" w:line="276" w:lineRule="auto"/>
        <w:contextualSpacing/>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Планът за инвестиции на Европейския зелен пакт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С Плана за инвестиции на Европейския зелен пакт ще се мобилизират средства от ЕС и ще се създаде необходимата рамка за улесняване и стимулиране на публичните и частните инвестиции за прехода към неутрална по отношение на климата, екологична, конкурентоспособна и приобщаваща икономика. В допълнение към другите инициативи, обявени в рамките на Зеления пакт, Планът се основава на три измерения: </w:t>
      </w:r>
    </w:p>
    <w:p w:rsidR="007A0407" w:rsidRPr="007A0407" w:rsidRDefault="007A0407" w:rsidP="007A0407">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финансиране</w:t>
      </w:r>
      <w:r w:rsidRPr="007A0407">
        <w:rPr>
          <w:rFonts w:ascii="Times New Roman" w:eastAsia="Calibri" w:hAnsi="Times New Roman" w:cs="Times New Roman"/>
          <w:color w:val="000000"/>
          <w:sz w:val="24"/>
          <w:szCs w:val="24"/>
        </w:rPr>
        <w:t xml:space="preserve"> — мобилизиране на най-малко 1 трилион евро устойчиви инвестиции през следващото десетилетие. Частното финансиране ще бъд</w:t>
      </w:r>
      <w:r w:rsidR="00F5218B">
        <w:rPr>
          <w:rFonts w:ascii="Times New Roman" w:eastAsia="Calibri" w:hAnsi="Times New Roman" w:cs="Times New Roman"/>
          <w:color w:val="000000"/>
          <w:sz w:val="24"/>
          <w:szCs w:val="24"/>
        </w:rPr>
        <w:t xml:space="preserve">е стимулирано от по-големия от </w:t>
      </w:r>
      <w:r w:rsidRPr="007A0407">
        <w:rPr>
          <w:rFonts w:ascii="Times New Roman" w:eastAsia="Calibri" w:hAnsi="Times New Roman" w:cs="Times New Roman"/>
          <w:color w:val="000000"/>
          <w:sz w:val="24"/>
          <w:szCs w:val="24"/>
        </w:rPr>
        <w:t xml:space="preserve">всякога досега дял от бюджета на ЕС, предназначен за разходи за действия в областта на климата и околната среда, като ключова роля ще има Европейската инвестиционна банка; </w:t>
      </w:r>
    </w:p>
    <w:p w:rsidR="007A0407" w:rsidRPr="007A0407" w:rsidRDefault="007A0407" w:rsidP="007A0407">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законодателни и други мерки</w:t>
      </w:r>
      <w:r w:rsidRPr="007A0407">
        <w:rPr>
          <w:rFonts w:ascii="Times New Roman" w:eastAsia="Calibri" w:hAnsi="Times New Roman" w:cs="Times New Roman"/>
          <w:color w:val="000000"/>
          <w:sz w:val="24"/>
          <w:szCs w:val="24"/>
        </w:rPr>
        <w:t xml:space="preserve"> — осигуряване на стимули за набавянето и пренасочването на публични и частни инвестиции. Поставяйки устойчивото финансиране в центъра на финансовата система, ЕС ще предостави инструменти за инвеститорите и ще улесни устойчивите инвестиции от страна на публичните органи чрез насърчаване на екологосъобразното бюджетиране и възлагане на обществени поръчки, както и чрез разработването на начини за улесняване на процедурите за одобряване на държавните помощи за регионите в преход;</w:t>
      </w:r>
    </w:p>
    <w:p w:rsidR="007A0407" w:rsidRPr="007A0407" w:rsidRDefault="007A0407" w:rsidP="007A0407">
      <w:pPr>
        <w:numPr>
          <w:ilvl w:val="0"/>
          <w:numId w:val="6"/>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практическа помощ</w:t>
      </w:r>
      <w:r w:rsidRPr="007A0407">
        <w:rPr>
          <w:rFonts w:ascii="Times New Roman" w:eastAsia="Calibri" w:hAnsi="Times New Roman" w:cs="Times New Roman"/>
          <w:color w:val="000000"/>
          <w:sz w:val="24"/>
          <w:szCs w:val="24"/>
        </w:rPr>
        <w:t xml:space="preserve"> -комисията ще окаже подкрепа на публичните органи и организаторите на проекти при планирането, изготвянето и изпълнението на устойчиви проекти.</w:t>
      </w:r>
    </w:p>
    <w:p w:rsidR="007A0407" w:rsidRPr="007A0407" w:rsidRDefault="007A0407" w:rsidP="007A0407">
      <w:pPr>
        <w:spacing w:after="0" w:line="276" w:lineRule="auto"/>
        <w:ind w:left="720"/>
        <w:contextualSpacing/>
        <w:jc w:val="both"/>
        <w:rPr>
          <w:rFonts w:ascii="Times New Roman" w:eastAsia="Calibri" w:hAnsi="Times New Roman" w:cs="Times New Roman"/>
          <w:color w:val="000000"/>
          <w:sz w:val="24"/>
          <w:szCs w:val="24"/>
        </w:rPr>
      </w:pPr>
    </w:p>
    <w:p w:rsidR="007A0407" w:rsidRPr="007A0407" w:rsidRDefault="007A0407" w:rsidP="007A0407">
      <w:pPr>
        <w:numPr>
          <w:ilvl w:val="0"/>
          <w:numId w:val="23"/>
        </w:numPr>
        <w:spacing w:after="0" w:line="276" w:lineRule="auto"/>
        <w:contextualSpacing/>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Механизмът за справедлив преход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Механизмът за справедлив преход (МСП) е ключов инструмент, гарантиращ, че преходът към неутрална по отношение на климата икономика се осъществява по справедлив начин, за да няма изоставени. Въпреки че всички региони ще се нуждаят от финансиране и че това е предвидено в Плана за инвестиции на Европейския зелен пакт, Механизмът ще предоставя целева подкрепа за мобилизирането на най-малко 100 милиарда евро за периода 2021—2027 г. в най-засегнатите региони, за да се смекчат социално-икономическите последици от прехода. Механизмът ще генерира необходимите инвестиции в подкрепа на работниците и общностите, които разчитат на веригата за създаване на стойност, свързана с изкопаемите горива. Той ще допълни съществения принос от бюджета на ЕС, предоставян чрез всички пряко свързани с прехода инструменти. Механизмът за справедлив преход ще има три основни източника на финансиране: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1) Фонд за справедлив преход</w:t>
      </w:r>
      <w:r w:rsidRPr="007A0407">
        <w:rPr>
          <w:rFonts w:ascii="Times New Roman" w:eastAsia="Calibri" w:hAnsi="Times New Roman" w:cs="Times New Roman"/>
          <w:color w:val="000000"/>
          <w:sz w:val="24"/>
          <w:szCs w:val="24"/>
        </w:rPr>
        <w:t>, който ще получи средства от ЕС в размер на 7,5 милиарда евро, в допълнение към предложението на Комисията за следващия дългосрочен бюджет на ЕС.</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 да се възползват от своя дял от Фонда, държавите членки, в диалог с Комисията, ще трябва да определят допустимите територии чрез специални териториални планове за справедлив преход.</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Те освен това ще трябва да се ангажират да допринасят за всяко евро от Фонда за справедлив преход с едно евро от средствата от Европейския фонд за регионално развитие и Европейския социален фонд плюс, както и да предоставят допълнителни национални ресурси. По този начин ще се осигури финансиране в размер между 30 и 50 милиарда евро, което ще мобилизира още инвестиции. Чрез Фонда ще се предоставят предимно безвъзмездни средства на регионите. С тези средства ще се помогне на работниците да развият умения и компетенции за пазара на труда на бъдещето, както и на МСП, стартиращите предприятия и инкубаторите, за да създадат нови икономически възможности в тези региони. С Фонда ще се подкрепят и инвестициите в прехода към чиста енергия, например в областта на енергийната ефективност.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2) Специална схема за справедлив преход в рамките на InvestEU</w:t>
      </w:r>
      <w:r w:rsidRPr="007A0407">
        <w:rPr>
          <w:rFonts w:ascii="Times New Roman" w:eastAsia="Calibri" w:hAnsi="Times New Roman" w:cs="Times New Roman"/>
          <w:color w:val="000000"/>
          <w:sz w:val="24"/>
          <w:szCs w:val="24"/>
        </w:rPr>
        <w:t xml:space="preserve"> за мобилизиране на инвестиции в размер до 45 милиарда евро. Целта на тази схема е да се привлекат частни инвестиции, включително в устойчива енергия и транспорт, които да са от полза за тези региони и да помогнат на техните икономики да намерят нови източници на растеж.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3) Механизъм за отпускане на заеми за публичния сектор с Европейската инвестиционна банка</w:t>
      </w:r>
      <w:r w:rsidRPr="007A0407">
        <w:rPr>
          <w:rFonts w:ascii="Times New Roman" w:eastAsia="Calibri" w:hAnsi="Times New Roman" w:cs="Times New Roman"/>
          <w:color w:val="000000"/>
          <w:sz w:val="24"/>
          <w:szCs w:val="24"/>
        </w:rPr>
        <w:t xml:space="preserve">, подкрепен от бюджета на ЕС, за мобилизиране на инвестиции в размер на 25—30 милиарда евро. Той ще служи за отпускането на заеми в публичния сектор, например за инвестиции в </w:t>
      </w:r>
      <w:proofErr w:type="spellStart"/>
      <w:r w:rsidRPr="007A0407">
        <w:rPr>
          <w:rFonts w:ascii="Times New Roman" w:eastAsia="Calibri" w:hAnsi="Times New Roman" w:cs="Times New Roman"/>
          <w:color w:val="000000"/>
          <w:sz w:val="24"/>
          <w:szCs w:val="24"/>
        </w:rPr>
        <w:t>топлоснабдителни</w:t>
      </w:r>
      <w:proofErr w:type="spellEnd"/>
      <w:r w:rsidRPr="007A0407">
        <w:rPr>
          <w:rFonts w:ascii="Times New Roman" w:eastAsia="Calibri" w:hAnsi="Times New Roman" w:cs="Times New Roman"/>
          <w:color w:val="000000"/>
          <w:sz w:val="24"/>
          <w:szCs w:val="24"/>
        </w:rPr>
        <w:t xml:space="preserve"> мрежи и саниране на сгради.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Механизмът за справедлив преход е нещо повече от инструмент за финансиране: разчитайки на платформа за справедлив преход, Комисията ще оказва техническа помощ на държавите членки и инвеститорите и ще гарантира участието на засегнатите общности, местните органи, социалните партньори и неправителствените организации. Механизмът за справедлив преход ще включва стабилна рамка за управление, в чиято основа ще бъдат териториалните планове за справедлив преход.</w:t>
      </w:r>
    </w:p>
    <w:p w:rsidR="007A0407" w:rsidRPr="007A0407" w:rsidRDefault="007A0407" w:rsidP="007A0407">
      <w:pPr>
        <w:spacing w:after="0" w:line="276" w:lineRule="auto"/>
        <w:jc w:val="both"/>
        <w:rPr>
          <w:rFonts w:ascii="Times New Roman" w:eastAsia="Calibri" w:hAnsi="Times New Roman" w:cs="Times New Roman"/>
          <w:b/>
          <w:color w:val="000000"/>
          <w:sz w:val="24"/>
          <w:szCs w:val="24"/>
          <w:u w:val="single"/>
        </w:rPr>
      </w:pPr>
      <w:proofErr w:type="spellStart"/>
      <w:r w:rsidRPr="007A0407">
        <w:rPr>
          <w:rFonts w:ascii="Times New Roman" w:eastAsia="Calibri" w:hAnsi="Times New Roman" w:cs="Times New Roman"/>
          <w:b/>
          <w:color w:val="000000"/>
          <w:sz w:val="24"/>
          <w:szCs w:val="24"/>
          <w:u w:val="single"/>
        </w:rPr>
        <w:t>Kакъв</w:t>
      </w:r>
      <w:proofErr w:type="spellEnd"/>
      <w:r w:rsidRPr="007A0407">
        <w:rPr>
          <w:rFonts w:ascii="Times New Roman" w:eastAsia="Calibri" w:hAnsi="Times New Roman" w:cs="Times New Roman"/>
          <w:b/>
          <w:color w:val="000000"/>
          <w:sz w:val="24"/>
          <w:szCs w:val="24"/>
          <w:u w:val="single"/>
        </w:rPr>
        <w:t xml:space="preserve"> вид проекти ще бъдат финансирани по Плана за инвестиции към Европейския зелен пакт? Кой може да се ползва от подпомагането?</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Проектите, финансирани по линия на Плана за инвестиции към Европейския зелен пакт, ще допринесат за постигането на целите на Европейския зелен пакт, за възникването на нови индустрии в областта на чистата енергия и кръговата икономика и за създаването на висококачествени работни места за една конкурентоспособна европейска икономика в крак с 21-и век.</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Фондовете и програмите, които допринасят за Плана за инвестиции към Европейския зелен пакт (като InvestEU или Фонда за справедлив преход), ще осигурят целево финансиране за широк кръг проекти. Както малките проекти (напр. енергийно саниране на жилища на домакинства), така и по-големите проекти (напр. инсталиране на мрежа от станции за зареждане на електрически превозни средства) ще могат да се възползват от специални програми и продукти. Инвестиционната подкрепа ще бъде съобразена с нивото на риск на конкретните проекти.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Разглеждането на примери за устойчиви инвестиционни проекти, подкрепени в рамките на Плана за инвестиции за Европа, дава представа за вида проекти, които могат да бъдат финансирани по линия на InvestEU, като част от Плана за инвестиции към Европейския зелен пакт. Подобни проекти включват модернизиране на регионалните топлофикационни услуги в Будапеща, подкрепа за инсталирането на слънчеви панели на частни домове, повишаване на енергийната ефективност на промишлени предприятия в Литва или модернизиране на електро- и топлоснабдяването в Загреб.</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Механизмът за справедлив преход ще се съсредоточи върху свързаните с прехода социални и икономически разходи в най-засегнатите региони и ще финансира проекти, насочени към създаване на нови работни места чрез подпомагане на предприятията, подкрепа за търсене на работа и преквалификация за търсещи работа, загубили работа си в резултат от прехода, но също и проекти за саниране на сгради и инвестиции в енергия от възобновяеми източници, регионални отоплителни мрежи и устойчив транспорт.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По Механизма за справедлив преход, страната ни ще разполага с 1,178 млрд. евро</w:t>
      </w:r>
      <w:r w:rsidRPr="007A0407">
        <w:rPr>
          <w:rFonts w:ascii="Times New Roman" w:eastAsia="Calibri" w:hAnsi="Times New Roman" w:cs="Times New Roman"/>
          <w:color w:val="000000"/>
          <w:sz w:val="24"/>
          <w:szCs w:val="24"/>
        </w:rPr>
        <w:t xml:space="preserve">  за финансиране на проекти в областите на страната, засегнати от изпълнението на Зелената европейска сделка за намаляване на вредните емисии и прехода към неутрална по отношение на климата икономика. Към тези средства се предвижда и възможност за допълващо кредитно финансиране на национално ниво за изпълнение на различни мерки.</w:t>
      </w:r>
    </w:p>
    <w:p w:rsidR="007A0407" w:rsidRDefault="007A0407" w:rsidP="0098166A">
      <w:pPr>
        <w:spacing w:after="0" w:line="276" w:lineRule="auto"/>
        <w:jc w:val="both"/>
        <w:rPr>
          <w:rFonts w:ascii="Times New Roman" w:eastAsia="Calibri" w:hAnsi="Times New Roman" w:cs="Times New Roman"/>
          <w:color w:val="4472C4" w:themeColor="accent5"/>
          <w:sz w:val="24"/>
          <w:szCs w:val="24"/>
        </w:rPr>
      </w:pPr>
      <w:r w:rsidRPr="007A0407">
        <w:rPr>
          <w:rFonts w:ascii="Times New Roman" w:eastAsia="Calibri" w:hAnsi="Times New Roman" w:cs="Times New Roman"/>
          <w:color w:val="000000"/>
          <w:sz w:val="24"/>
          <w:szCs w:val="24"/>
        </w:rPr>
        <w:t>На национално ниво, фондът ще финансира региони на ниво NUTS 3 (области) или части от тях на база териториални планове за справедлив преход, които ще се одобряват от ЕК и ще са обвързани с националните планове за енергетика и климат. Плановете ще станат елемент от Оперативна програма „Развитие на регионите“ 2020-2027 г. като отделен приоритет.</w:t>
      </w:r>
      <w:r w:rsidR="0098166A">
        <w:rPr>
          <w:rFonts w:ascii="Times New Roman" w:eastAsia="Calibri" w:hAnsi="Times New Roman" w:cs="Times New Roman"/>
          <w:color w:val="000000"/>
          <w:sz w:val="24"/>
          <w:szCs w:val="24"/>
        </w:rPr>
        <w:t xml:space="preserve"> </w:t>
      </w:r>
      <w:r w:rsidR="0098166A" w:rsidRPr="0098166A">
        <w:rPr>
          <w:rFonts w:ascii="Times New Roman" w:eastAsia="Calibri" w:hAnsi="Times New Roman" w:cs="Times New Roman"/>
          <w:color w:val="4472C4" w:themeColor="accent5"/>
          <w:sz w:val="24"/>
          <w:szCs w:val="24"/>
        </w:rPr>
        <w:t>По  Програмата за развитие на регионите 2021-2027 г. разполагаемият ресурс е 6,6 млрд. лв., заедно с националния принос. Близо 45% от него са мерки и инвестиции, с които ще се подкрепи декарбонизацията на българската икономика, за да се осигурят нови възможности и да се гарантира сигурност на хората.</w:t>
      </w:r>
    </w:p>
    <w:p w:rsidR="00A14A3B" w:rsidRPr="00A14A3B" w:rsidRDefault="00A14A3B" w:rsidP="00A14A3B">
      <w:pPr>
        <w:spacing w:after="0" w:line="276" w:lineRule="auto"/>
        <w:jc w:val="both"/>
        <w:rPr>
          <w:rFonts w:ascii="Times New Roman" w:eastAsia="Calibri" w:hAnsi="Times New Roman" w:cs="Times New Roman"/>
          <w:color w:val="4472C4" w:themeColor="accent5"/>
          <w:sz w:val="24"/>
          <w:szCs w:val="24"/>
        </w:rPr>
      </w:pPr>
      <w:r>
        <w:rPr>
          <w:rFonts w:ascii="Times New Roman" w:eastAsia="Calibri" w:hAnsi="Times New Roman" w:cs="Times New Roman"/>
          <w:color w:val="4472C4" w:themeColor="accent5"/>
          <w:sz w:val="24"/>
          <w:szCs w:val="24"/>
        </w:rPr>
        <w:t>Р</w:t>
      </w:r>
      <w:r w:rsidRPr="00A14A3B">
        <w:rPr>
          <w:rFonts w:ascii="Times New Roman" w:eastAsia="Calibri" w:hAnsi="Times New Roman" w:cs="Times New Roman"/>
          <w:color w:val="4472C4" w:themeColor="accent5"/>
          <w:sz w:val="24"/>
          <w:szCs w:val="24"/>
        </w:rPr>
        <w:t xml:space="preserve">егламент (ЕС) 2021/1056 на Европейския парламент и на Съвета </w:t>
      </w:r>
      <w:proofErr w:type="spellStart"/>
      <w:r w:rsidRPr="00A14A3B">
        <w:rPr>
          <w:rFonts w:ascii="Times New Roman" w:eastAsia="Calibri" w:hAnsi="Times New Roman" w:cs="Times New Roman"/>
          <w:color w:val="4472C4" w:themeColor="accent5"/>
          <w:sz w:val="24"/>
          <w:szCs w:val="24"/>
        </w:rPr>
        <w:t>oт</w:t>
      </w:r>
      <w:proofErr w:type="spellEnd"/>
      <w:r w:rsidRPr="00A14A3B">
        <w:rPr>
          <w:rFonts w:ascii="Times New Roman" w:eastAsia="Calibri" w:hAnsi="Times New Roman" w:cs="Times New Roman"/>
          <w:color w:val="4472C4" w:themeColor="accent5"/>
          <w:sz w:val="24"/>
          <w:szCs w:val="24"/>
        </w:rPr>
        <w:t xml:space="preserve"> 24 юни 2021 година за създаване на Фонда за справедлив преход (ФСП) определя като цел на ФСП да се смекчат неблагоприятните последици от климатичния преход чрез подпомагане за най-засегнатите територии и работници и да се насърчи балансиран социално-икономически преход като се предоставя целева финансова подкрепа.</w:t>
      </w:r>
    </w:p>
    <w:p w:rsidR="00A14A3B" w:rsidRPr="00A14A3B" w:rsidRDefault="00A14A3B" w:rsidP="00A14A3B">
      <w:pPr>
        <w:spacing w:after="0" w:line="276" w:lineRule="auto"/>
        <w:jc w:val="both"/>
        <w:rPr>
          <w:rFonts w:ascii="Times New Roman" w:eastAsia="Calibri" w:hAnsi="Times New Roman" w:cs="Times New Roman"/>
          <w:color w:val="4472C4" w:themeColor="accent5"/>
          <w:sz w:val="24"/>
          <w:szCs w:val="24"/>
        </w:rPr>
      </w:pPr>
      <w:r w:rsidRPr="00A14A3B">
        <w:rPr>
          <w:rFonts w:ascii="Times New Roman" w:eastAsia="Calibri" w:hAnsi="Times New Roman" w:cs="Times New Roman"/>
          <w:color w:val="4472C4" w:themeColor="accent5"/>
          <w:sz w:val="24"/>
          <w:szCs w:val="24"/>
        </w:rPr>
        <w:t>Необходимо условие за отключване на средствата по ФСП (1,178 млн. евро за България, от които 505 млн. евро от Многогодишната финансова рамка и 673 млн. евро от Инструмента „Следващо поколение ЕС“) е разработването на териториални планове за справедлив преход (ТПСП) с хоризонт до 2030 г. съгласно член 11 от Регламента. Тези планове касаят териториите от ниво NUTS3 (области), които ще са най-потърпевши от въглищния преход в следващите години.</w:t>
      </w:r>
    </w:p>
    <w:p w:rsidR="00A14A3B" w:rsidRPr="00A14A3B" w:rsidRDefault="00A14A3B" w:rsidP="00A14A3B">
      <w:pPr>
        <w:spacing w:after="0" w:line="276" w:lineRule="auto"/>
        <w:jc w:val="both"/>
        <w:rPr>
          <w:rFonts w:ascii="Times New Roman" w:eastAsia="Calibri" w:hAnsi="Times New Roman" w:cs="Times New Roman"/>
          <w:color w:val="4472C4" w:themeColor="accent5"/>
          <w:sz w:val="24"/>
          <w:szCs w:val="24"/>
        </w:rPr>
      </w:pPr>
      <w:r w:rsidRPr="00A14A3B">
        <w:rPr>
          <w:rFonts w:ascii="Times New Roman" w:eastAsia="Calibri" w:hAnsi="Times New Roman" w:cs="Times New Roman"/>
          <w:color w:val="4472C4" w:themeColor="accent5"/>
          <w:sz w:val="24"/>
          <w:szCs w:val="24"/>
        </w:rPr>
        <w:t>В плановете трябва да бъдат посочени и начини за най-ефективно преодоляване на социалните, икономическите и екологичните предизвикателства в конкретните региони. Плановете се разработват на базата на изискванията на Фонда за справедлив преход при</w:t>
      </w:r>
      <w:r>
        <w:rPr>
          <w:rFonts w:ascii="Times New Roman" w:eastAsia="Calibri" w:hAnsi="Times New Roman" w:cs="Times New Roman"/>
          <w:color w:val="4472C4" w:themeColor="accent5"/>
          <w:sz w:val="24"/>
          <w:szCs w:val="24"/>
        </w:rPr>
        <w:t xml:space="preserve"> предварително зададена бланка. Към момента </w:t>
      </w:r>
      <w:r w:rsidRPr="00A14A3B">
        <w:rPr>
          <w:rFonts w:ascii="Times New Roman" w:eastAsia="Calibri" w:hAnsi="Times New Roman" w:cs="Times New Roman"/>
          <w:color w:val="4472C4" w:themeColor="accent5"/>
          <w:sz w:val="24"/>
          <w:szCs w:val="24"/>
        </w:rPr>
        <w:t xml:space="preserve">проектите на териториални планове за справедлив преход на допустимите за България региони на ниво NUTS3 - Стара Загора (и прилежащи общини), Кюстендил и Перник. Плановете </w:t>
      </w:r>
      <w:r>
        <w:rPr>
          <w:rFonts w:ascii="Times New Roman" w:eastAsia="Calibri" w:hAnsi="Times New Roman" w:cs="Times New Roman"/>
          <w:color w:val="4472C4" w:themeColor="accent5"/>
          <w:sz w:val="24"/>
          <w:szCs w:val="24"/>
        </w:rPr>
        <w:t>са публикувани обществено обсъждане и</w:t>
      </w:r>
      <w:r w:rsidRPr="00A14A3B">
        <w:rPr>
          <w:rFonts w:ascii="Times New Roman" w:eastAsia="Calibri" w:hAnsi="Times New Roman" w:cs="Times New Roman"/>
          <w:color w:val="4472C4" w:themeColor="accent5"/>
          <w:sz w:val="24"/>
          <w:szCs w:val="24"/>
        </w:rPr>
        <w:t xml:space="preserve"> за коментари и реакции от всички заинтересовани страни.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Подготвят се стъпките и за изготвянето на териториални планове за още 8 области в страната. Допълнителните региони са Варна, Бургас, Сливен, Ямбол, Хасково, Търговище, Габрово и Ловеч.</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Планът за всеки регион следва да представя социалните, икономическите и екологичните предизвикателства и да идентифицира нуждите от икономическа диверсификация, преквалификация и възстановяване на околната среда при отчитане на спецификите. Изготвянето и прилагането им предвижда активното участие на местните, регионалните и националните заинтересовани страни на принципа „от долу на горе“ и ще включват ясни акценти и мерки, водещи до развитие на територията, нейната социална, икономическа и енергийна трансформация.</w:t>
      </w:r>
    </w:p>
    <w:p w:rsidR="007A0407" w:rsidRPr="00A14A3B" w:rsidRDefault="007A0407" w:rsidP="007A0407">
      <w:pPr>
        <w:spacing w:after="0" w:line="276" w:lineRule="auto"/>
        <w:jc w:val="both"/>
        <w:rPr>
          <w:rFonts w:ascii="Times New Roman" w:eastAsia="Calibri" w:hAnsi="Times New Roman" w:cs="Times New Roman"/>
          <w:color w:val="4472C4" w:themeColor="accent5"/>
          <w:sz w:val="24"/>
          <w:szCs w:val="24"/>
        </w:rPr>
      </w:pPr>
      <w:r w:rsidRPr="007A0407">
        <w:rPr>
          <w:rFonts w:ascii="Times New Roman" w:eastAsia="Calibri" w:hAnsi="Times New Roman" w:cs="Times New Roman"/>
          <w:color w:val="000000"/>
          <w:sz w:val="24"/>
          <w:szCs w:val="24"/>
        </w:rPr>
        <w:t xml:space="preserve">Друга ключова мярка, която МРРБ ще изпълнява, е Националният план за възстановяване и устойчивост с ресурс от над </w:t>
      </w:r>
      <w:r w:rsidR="007354BE" w:rsidRPr="002F1513">
        <w:rPr>
          <w:rFonts w:ascii="Times New Roman" w:eastAsia="Calibri" w:hAnsi="Times New Roman" w:cs="Times New Roman"/>
          <w:color w:val="4472C4" w:themeColor="accent5"/>
          <w:sz w:val="24"/>
          <w:szCs w:val="24"/>
        </w:rPr>
        <w:t xml:space="preserve">5 659 млн. </w:t>
      </w:r>
      <w:proofErr w:type="spellStart"/>
      <w:r w:rsidR="007354BE" w:rsidRPr="002F1513">
        <w:rPr>
          <w:rFonts w:ascii="Times New Roman" w:eastAsia="Calibri" w:hAnsi="Times New Roman" w:cs="Times New Roman"/>
          <w:color w:val="4472C4" w:themeColor="accent5"/>
          <w:sz w:val="24"/>
          <w:szCs w:val="24"/>
        </w:rPr>
        <w:t>лв</w:t>
      </w:r>
      <w:proofErr w:type="spellEnd"/>
      <w:r w:rsidR="007354BE" w:rsidRPr="002F1513">
        <w:rPr>
          <w:rFonts w:ascii="Times New Roman" w:eastAsia="Calibri" w:hAnsi="Times New Roman" w:cs="Times New Roman"/>
          <w:color w:val="4472C4" w:themeColor="accent5"/>
          <w:sz w:val="24"/>
          <w:szCs w:val="24"/>
        </w:rPr>
        <w:t xml:space="preserve">, </w:t>
      </w:r>
      <w:r w:rsidRPr="002F1513">
        <w:rPr>
          <w:rFonts w:ascii="Times New Roman" w:eastAsia="Calibri" w:hAnsi="Times New Roman" w:cs="Times New Roman"/>
          <w:color w:val="4472C4" w:themeColor="accent5"/>
          <w:sz w:val="24"/>
          <w:szCs w:val="24"/>
        </w:rPr>
        <w:t xml:space="preserve">за </w:t>
      </w:r>
      <w:r w:rsidRPr="007A0407">
        <w:rPr>
          <w:rFonts w:ascii="Times New Roman" w:eastAsia="Calibri" w:hAnsi="Times New Roman" w:cs="Times New Roman"/>
          <w:color w:val="000000"/>
          <w:sz w:val="24"/>
          <w:szCs w:val="24"/>
        </w:rPr>
        <w:t>постигане на дългосрочна визия и реформа в изпълнението на политики за енергийна ефективност във всички аспекти – жилищни, обществени и индустриални сгради, подмяна на улично осветление и др.</w:t>
      </w:r>
      <w:r w:rsidR="00A14A3B">
        <w:rPr>
          <w:rFonts w:ascii="Times New Roman" w:eastAsia="Calibri" w:hAnsi="Times New Roman" w:cs="Times New Roman"/>
          <w:color w:val="000000"/>
          <w:sz w:val="24"/>
          <w:szCs w:val="24"/>
        </w:rPr>
        <w:t xml:space="preserve"> </w:t>
      </w:r>
      <w:r w:rsidR="00A14A3B" w:rsidRPr="00A14A3B">
        <w:rPr>
          <w:rFonts w:ascii="Times New Roman" w:eastAsia="Calibri" w:hAnsi="Times New Roman" w:cs="Times New Roman"/>
          <w:color w:val="4472C4" w:themeColor="accent5"/>
          <w:sz w:val="24"/>
          <w:szCs w:val="24"/>
        </w:rPr>
        <w:t xml:space="preserve">През октомври 2021 година </w:t>
      </w:r>
      <w:r w:rsidR="007D5084">
        <w:rPr>
          <w:rFonts w:ascii="Times New Roman" w:eastAsia="Calibri" w:hAnsi="Times New Roman" w:cs="Times New Roman"/>
          <w:color w:val="4472C4" w:themeColor="accent5"/>
          <w:sz w:val="24"/>
          <w:szCs w:val="24"/>
        </w:rPr>
        <w:t>Плана е официално предаден на ЕС</w:t>
      </w:r>
      <w:r w:rsidR="005B3874">
        <w:rPr>
          <w:rFonts w:ascii="Times New Roman" w:eastAsia="Calibri" w:hAnsi="Times New Roman" w:cs="Times New Roman"/>
          <w:color w:val="4472C4" w:themeColor="accent5"/>
          <w:sz w:val="24"/>
          <w:szCs w:val="24"/>
        </w:rPr>
        <w:t xml:space="preserve">. </w:t>
      </w:r>
      <w:r w:rsidR="00A14A3B" w:rsidRPr="00A14A3B">
        <w:rPr>
          <w:rFonts w:ascii="Times New Roman" w:eastAsia="Calibri" w:hAnsi="Times New Roman" w:cs="Times New Roman"/>
          <w:color w:val="4472C4" w:themeColor="accent5"/>
          <w:sz w:val="24"/>
          <w:szCs w:val="24"/>
        </w:rPr>
        <w:t>През есента на 2022 година се очаква първия транш по плана, като периода за реализация на проекти и реформи обхваща 2022 – 2026 година.</w:t>
      </w:r>
    </w:p>
    <w:p w:rsidR="007A0407" w:rsidRPr="007A0407" w:rsidRDefault="007A0407" w:rsidP="007A0407">
      <w:pPr>
        <w:spacing w:after="0" w:line="276" w:lineRule="auto"/>
        <w:rPr>
          <w:rFonts w:ascii="Times New Roman" w:eastAsia="Calibri" w:hAnsi="Times New Roman" w:cs="Times New Roman"/>
          <w:b/>
          <w:color w:val="000000"/>
          <w:sz w:val="24"/>
          <w:szCs w:val="24"/>
        </w:rPr>
      </w:pPr>
    </w:p>
    <w:p w:rsidR="007A0407" w:rsidRPr="007A0407" w:rsidRDefault="007A0407" w:rsidP="007A0407">
      <w:pPr>
        <w:spacing w:after="0" w:line="276" w:lineRule="auto"/>
        <w:rPr>
          <w:rFonts w:ascii="Times New Roman" w:eastAsia="Calibri" w:hAnsi="Times New Roman" w:cs="Times New Roman"/>
          <w:b/>
          <w:color w:val="000000"/>
          <w:sz w:val="24"/>
          <w:szCs w:val="24"/>
        </w:rPr>
      </w:pPr>
    </w:p>
    <w:p w:rsidR="007A0407" w:rsidRPr="007A0407" w:rsidRDefault="007A0407" w:rsidP="007A0407">
      <w:pPr>
        <w:pBdr>
          <w:top w:val="single" w:sz="4" w:space="1" w:color="auto"/>
          <w:left w:val="single" w:sz="4" w:space="4" w:color="auto"/>
          <w:bottom w:val="single" w:sz="4" w:space="1" w:color="auto"/>
          <w:right w:val="single" w:sz="4" w:space="4" w:color="auto"/>
        </w:pBdr>
        <w:shd w:val="clear" w:color="auto" w:fill="DAF0F3"/>
        <w:spacing w:after="0" w:line="276" w:lineRule="auto"/>
        <w:jc w:val="center"/>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СЪЗДАДЕНИ ЕВРОПЕЙСКИ ДОКУМЕНТИ, ОБЕЗПЕЧАВАЩИ ПОЛИТИКАТА НА ЗЕЛЕНАТА СДЕЛКА</w:t>
      </w:r>
    </w:p>
    <w:p w:rsidR="007A0407" w:rsidRPr="007A0407" w:rsidRDefault="007A0407" w:rsidP="007A0407">
      <w:pPr>
        <w:spacing w:after="0" w:line="276" w:lineRule="auto"/>
        <w:rPr>
          <w:rFonts w:ascii="Times New Roman" w:eastAsia="Calibri" w:hAnsi="Times New Roman" w:cs="Times New Roman"/>
          <w:b/>
          <w:color w:val="000000"/>
          <w:sz w:val="24"/>
          <w:szCs w:val="24"/>
        </w:rPr>
      </w:pPr>
    </w:p>
    <w:p w:rsidR="007A0407" w:rsidRPr="007A0407" w:rsidRDefault="007A0407" w:rsidP="007A0407">
      <w:pPr>
        <w:numPr>
          <w:ilvl w:val="0"/>
          <w:numId w:val="8"/>
        </w:numPr>
        <w:shd w:val="clear" w:color="auto" w:fill="DAF0F3"/>
        <w:tabs>
          <w:tab w:val="left" w:pos="426"/>
        </w:tabs>
        <w:spacing w:after="0" w:line="276" w:lineRule="auto"/>
        <w:contextualSpacing/>
        <w:rPr>
          <w:rFonts w:ascii="Times New Roman" w:eastAsia="Calibri" w:hAnsi="Times New Roman" w:cs="Times New Roman"/>
          <w:b/>
          <w:color w:val="000000"/>
          <w:sz w:val="24"/>
          <w:szCs w:val="24"/>
          <w:u w:val="single"/>
        </w:rPr>
      </w:pPr>
      <w:r w:rsidRPr="007A0407">
        <w:rPr>
          <w:rFonts w:ascii="Times New Roman" w:eastAsia="Calibri" w:hAnsi="Times New Roman" w:cs="Times New Roman"/>
          <w:b/>
          <w:color w:val="000000"/>
          <w:sz w:val="24"/>
          <w:szCs w:val="24"/>
          <w:u w:val="single"/>
        </w:rPr>
        <w:t>Стратегията на ЕС за интегриране на енергийната система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Стратегията на ЕС за интегриране на енергийната система ще осигури рамката за прехода към екологична енергия. Настоящият модел, при който потреблението на енергия в транспорта, промишлеността, газоснабдяването и сградите протича в отделни сегменти — всеки със собствена верига за създаване на стойност, правила, инфраструктура, планиране и експлоатация — не може да осигури постигането на неутралност по отношение на климата до 2050 г. по икономически ефективен начин; промените в стойността на иновативните решения трябва да бъдат интегрирани в начина на функциониране на енергийната ни система. Трябва да се изградят нови връзки между секторите и да се използва техническият напредък.</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Интегрирането на енергийната система означава, че системата се планира и функционира като цяло, свързвайки различни енергоносители, инфраструктури и сектори на потребление. Свързаната и гъвкава система ще бъде по-ефективна и ще доведе до спад в разходите за обществото.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Това например означава система, при която електричеството, захранващо автомобилите в Европа, идва от соларните панели на покривите ни, а сградите ни се отопляват с топлината от близкия завод, докато самият завод се захранва с чист водород, произведен от вятърна енергия от разположени в морето инсталации.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Тази стратегия има три основни стълба: </w:t>
      </w:r>
    </w:p>
    <w:p w:rsidR="007A0407" w:rsidRPr="007A0407" w:rsidRDefault="007A0407" w:rsidP="007A0407">
      <w:pPr>
        <w:numPr>
          <w:ilvl w:val="0"/>
          <w:numId w:val="7"/>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На първо място, </w:t>
      </w:r>
      <w:r w:rsidRPr="007A0407">
        <w:rPr>
          <w:rFonts w:ascii="Times New Roman" w:eastAsia="Calibri" w:hAnsi="Times New Roman" w:cs="Times New Roman"/>
          <w:b/>
          <w:color w:val="000000"/>
          <w:sz w:val="24"/>
          <w:szCs w:val="24"/>
        </w:rPr>
        <w:t>енергийна система, по-близка до принципа на кръговата икономика</w:t>
      </w:r>
      <w:r w:rsidRPr="007A0407">
        <w:rPr>
          <w:rFonts w:ascii="Times New Roman" w:eastAsia="Calibri" w:hAnsi="Times New Roman" w:cs="Times New Roman"/>
          <w:color w:val="000000"/>
          <w:sz w:val="24"/>
          <w:szCs w:val="24"/>
        </w:rPr>
        <w:t xml:space="preserve">, в чиято основа е енергийната ефективност. Със стратегията ще бъдат определени конкретни действия за практическо прилагане на принципа „енергийната ефективност на първо място“ и за по-ефективно използване на местните енергийни източници в нашите сгради и общности. Налице е значителен потенциал в повторното използване на отпадната топлина от промишлени обекти, центрове за данни или други източници, както и в енергията, произведена от биологични отпадъци или от пречиствателни станции за отпадъчни води. Вълната на саниране ще бъде важна част от тези реформи. </w:t>
      </w:r>
    </w:p>
    <w:p w:rsidR="007A0407" w:rsidRPr="007A0407" w:rsidRDefault="007A0407" w:rsidP="007A0407">
      <w:pPr>
        <w:numPr>
          <w:ilvl w:val="0"/>
          <w:numId w:val="7"/>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На второ място, по-широка пряка електрификация на секторите на крайно потребление. Тъй като секторът на енергетиката е с най-голям дял на енергията от възобновяеми източници, трябва да използваме електроенергия навсякъде, където е възможно: например за термопомпи в сгради, електрически превозни средства в транспорта или електрически пещи в някои промишлени отрасли. Сред видимите резултати ще бъде и мрежата от един милион зарядни точки за електрически превозни средства, както и разширяването на слънчевата и вятърната енергия. </w:t>
      </w:r>
    </w:p>
    <w:p w:rsidR="00D57E2C" w:rsidRPr="00D57E2C" w:rsidRDefault="007A0407" w:rsidP="00D57E2C">
      <w:pPr>
        <w:numPr>
          <w:ilvl w:val="0"/>
          <w:numId w:val="7"/>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В тези сектори, в които електрификацията е трудна, стратегията насърчава използването на чисти горива, включително водород от възобновяеми източници и устойчиви биогорива и биогаз. Комисията ще предложи нова система за класификация и сертифициране на възобновяемите и </w:t>
      </w:r>
      <w:proofErr w:type="spellStart"/>
      <w:r w:rsidRPr="007A0407">
        <w:rPr>
          <w:rFonts w:ascii="Times New Roman" w:eastAsia="Calibri" w:hAnsi="Times New Roman" w:cs="Times New Roman"/>
          <w:color w:val="000000"/>
          <w:sz w:val="24"/>
          <w:szCs w:val="24"/>
        </w:rPr>
        <w:t>нисковъглеродните</w:t>
      </w:r>
      <w:proofErr w:type="spellEnd"/>
      <w:r w:rsidRPr="007A0407">
        <w:rPr>
          <w:rFonts w:ascii="Times New Roman" w:eastAsia="Calibri" w:hAnsi="Times New Roman" w:cs="Times New Roman"/>
          <w:color w:val="000000"/>
          <w:sz w:val="24"/>
          <w:szCs w:val="24"/>
        </w:rPr>
        <w:t xml:space="preserve"> горива. </w:t>
      </w:r>
    </w:p>
    <w:p w:rsidR="002840BA" w:rsidRDefault="007A0407" w:rsidP="007A0407">
      <w:pPr>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 стратегията се определят 38 действия за създаване на по-тясно интегрирана енергийна система. Те включват преразглеждане на съществуващото законодателство, финансова подкрепа, научни изследвания и внедряване на нови технологии и цифрови инструменти, насоки за държавите членки относно фискалните мерки и постепенно премахване на субсидиите за изкопаеми горива, реформа на управлението на пазара и планирането на инфраструктурата, както и по-добра информация за потребителите. Анализът на съществуващите пречки в тези области ще ни подкрепи в изгот</w:t>
      </w:r>
      <w:r w:rsidR="002840BA">
        <w:rPr>
          <w:rFonts w:ascii="Times New Roman" w:eastAsia="Calibri" w:hAnsi="Times New Roman" w:cs="Times New Roman"/>
          <w:color w:val="000000"/>
          <w:sz w:val="24"/>
          <w:szCs w:val="24"/>
        </w:rPr>
        <w:t>вянето на конкретни предложения</w:t>
      </w:r>
      <w:r w:rsidR="002840BA" w:rsidRPr="002840BA">
        <w:rPr>
          <w:rFonts w:ascii="Times New Roman" w:eastAsia="Calibri" w:hAnsi="Times New Roman" w:cs="Times New Roman"/>
          <w:color w:val="4472C4" w:themeColor="accent5"/>
          <w:sz w:val="24"/>
          <w:szCs w:val="24"/>
        </w:rPr>
        <w:t xml:space="preserve">. </w:t>
      </w:r>
      <w:r w:rsidR="002840BA">
        <w:rPr>
          <w:rFonts w:ascii="Times New Roman" w:eastAsia="Calibri" w:hAnsi="Times New Roman" w:cs="Times New Roman"/>
          <w:color w:val="4472C4" w:themeColor="accent5"/>
          <w:sz w:val="24"/>
          <w:szCs w:val="24"/>
        </w:rPr>
        <w:t>През април</w:t>
      </w:r>
      <w:r w:rsidR="002840BA" w:rsidRPr="002840BA">
        <w:rPr>
          <w:rFonts w:ascii="Times New Roman" w:eastAsia="Calibri" w:hAnsi="Times New Roman" w:cs="Times New Roman"/>
          <w:color w:val="4472C4" w:themeColor="accent5"/>
          <w:sz w:val="24"/>
          <w:szCs w:val="24"/>
        </w:rPr>
        <w:t xml:space="preserve"> 2022г. Европейския съвет прие преработен регламент за трансевропейските енергийни мрежи (TEN-E). Новите правила имат за цел да се модернизира, декарбонизира и свърже трансграничната енергийна инфраструктура на държавите членки, за да може ЕС да постигне своите цели за неутралност по отношение на климата до 2050 г. Преразгледаният регламент има още за цел да продължи да гарантира пазарна интеграция, конкурентоспособност и сигурност на доставките. Приемането беше предшествано от постигането на предварително споразумение с Европейския парламент през декември 2021 г. и представлява последният етап от процедурата на приемане, съобщиха от Европейския съвет.</w:t>
      </w:r>
      <w:r w:rsidR="002840BA">
        <w:rPr>
          <w:rFonts w:ascii="Times New Roman" w:eastAsia="Calibri" w:hAnsi="Times New Roman" w:cs="Times New Roman"/>
          <w:color w:val="4472C4" w:themeColor="accent5"/>
          <w:sz w:val="24"/>
          <w:szCs w:val="24"/>
        </w:rPr>
        <w:t xml:space="preserve"> </w:t>
      </w:r>
      <w:r w:rsidR="002840BA" w:rsidRPr="002840BA">
        <w:rPr>
          <w:rFonts w:ascii="Times New Roman" w:eastAsia="Calibri" w:hAnsi="Times New Roman" w:cs="Times New Roman"/>
          <w:color w:val="4472C4" w:themeColor="accent5"/>
          <w:sz w:val="24"/>
          <w:szCs w:val="24"/>
        </w:rPr>
        <w:t>Понастоящем Съветът работи по редица законодателни предложения в подкрепа на енергийния преход на ЕС.</w:t>
      </w:r>
    </w:p>
    <w:p w:rsidR="002840BA" w:rsidRDefault="002840BA" w:rsidP="007A0407">
      <w:pPr>
        <w:spacing w:after="0" w:line="276" w:lineRule="auto"/>
        <w:ind w:left="360"/>
        <w:jc w:val="both"/>
        <w:rPr>
          <w:rFonts w:ascii="Times New Roman" w:eastAsia="Calibri" w:hAnsi="Times New Roman" w:cs="Times New Roman"/>
          <w:color w:val="000000"/>
          <w:sz w:val="24"/>
          <w:szCs w:val="24"/>
        </w:rPr>
      </w:pPr>
    </w:p>
    <w:p w:rsidR="007A0407" w:rsidRPr="007A0407" w:rsidRDefault="007A0407" w:rsidP="007A0407">
      <w:pPr>
        <w:numPr>
          <w:ilvl w:val="0"/>
          <w:numId w:val="8"/>
        </w:numPr>
        <w:shd w:val="clear" w:color="auto" w:fill="DAF0F3"/>
        <w:spacing w:after="0" w:line="276" w:lineRule="auto"/>
        <w:ind w:hanging="720"/>
        <w:contextualSpacing/>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Стратегия за използване на водорода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В интегрираната енергийна система водородът може да подпомогне декарбонизацията на промишлеността, транспорта, производството на електроенергия и сградите в цяла Европа. Стратегията на ЕС за използване на водорода разглежда начините за реализиране на този потенциал чрез инвестиции, регулиране, изграждане на пазари и научни изследвания и иновации.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Водородът може да захранва сектори, които не са подходящи за електрификация, и да осигурява съхранение за балансиране на колебанията в потоците енергия от възобновяеми източници, но това може да се постигне само с координирани действия между публичния и частния сектор на равнище ЕС. Приоритетът е да се разработи водород от възобновяеми източници, произвеждан предимно с вятърна и слънчева енергия. </w:t>
      </w:r>
      <w:r w:rsidR="00F33142" w:rsidRPr="00F33142">
        <w:rPr>
          <w:rFonts w:ascii="Times New Roman" w:eastAsia="Calibri" w:hAnsi="Times New Roman" w:cs="Times New Roman"/>
          <w:color w:val="4472C4" w:themeColor="accent5"/>
          <w:sz w:val="24"/>
          <w:szCs w:val="24"/>
        </w:rPr>
        <w:t xml:space="preserve">Проектирането и развитието на „водородни долини“ в цяла Европа и създаването на зелени „коридори“ между тях е един от основните приоритети необходими за постигането на целите на европейската стратегия за водорода и неутрална по отношение на климата Европа. </w:t>
      </w:r>
      <w:r w:rsidRPr="007A0407">
        <w:rPr>
          <w:rFonts w:ascii="Times New Roman" w:eastAsia="Calibri" w:hAnsi="Times New Roman" w:cs="Times New Roman"/>
          <w:color w:val="000000"/>
          <w:sz w:val="24"/>
          <w:szCs w:val="24"/>
        </w:rPr>
        <w:t xml:space="preserve">В краткосрочен и средносрочен план обаче са необходими други форми на водород от нисковъглеродни процеси, за да се постигне бързо намаляване на емисиите и да се подпомогне развитието на жизнеспособен пазар. </w:t>
      </w:r>
    </w:p>
    <w:p w:rsidR="007A0407" w:rsidRPr="007A0407" w:rsidRDefault="007A0407" w:rsidP="007A0407">
      <w:pPr>
        <w:spacing w:after="0" w:line="276" w:lineRule="auto"/>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Този плавен преход изисква поетапен подход: </w:t>
      </w:r>
    </w:p>
    <w:p w:rsidR="007A0407" w:rsidRPr="007A0407" w:rsidRDefault="007A0407" w:rsidP="007A0407">
      <w:pPr>
        <w:numPr>
          <w:ilvl w:val="0"/>
          <w:numId w:val="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От 2020 до 2024 г. ще подкрепим инсталирането на най-малко 6 </w:t>
      </w:r>
      <w:proofErr w:type="spellStart"/>
      <w:r w:rsidRPr="007A0407">
        <w:rPr>
          <w:rFonts w:ascii="Times New Roman" w:eastAsia="Calibri" w:hAnsi="Times New Roman" w:cs="Times New Roman"/>
          <w:color w:val="000000"/>
          <w:sz w:val="24"/>
          <w:szCs w:val="24"/>
        </w:rPr>
        <w:t>гигавата</w:t>
      </w:r>
      <w:proofErr w:type="spellEnd"/>
      <w:r w:rsidR="00540FF3">
        <w:rPr>
          <w:rFonts w:ascii="Times New Roman" w:eastAsia="Calibri" w:hAnsi="Times New Roman" w:cs="Times New Roman"/>
          <w:color w:val="000000"/>
          <w:sz w:val="24"/>
          <w:szCs w:val="24"/>
        </w:rPr>
        <w:t xml:space="preserve"> </w:t>
      </w:r>
      <w:proofErr w:type="spellStart"/>
      <w:r w:rsidRPr="007A0407">
        <w:rPr>
          <w:rFonts w:ascii="Times New Roman" w:eastAsia="Calibri" w:hAnsi="Times New Roman" w:cs="Times New Roman"/>
          <w:color w:val="000000"/>
          <w:sz w:val="24"/>
          <w:szCs w:val="24"/>
        </w:rPr>
        <w:t>електролизатори</w:t>
      </w:r>
      <w:proofErr w:type="spellEnd"/>
      <w:r w:rsidRPr="007A0407">
        <w:rPr>
          <w:rFonts w:ascii="Times New Roman" w:eastAsia="Calibri" w:hAnsi="Times New Roman" w:cs="Times New Roman"/>
          <w:color w:val="000000"/>
          <w:sz w:val="24"/>
          <w:szCs w:val="24"/>
        </w:rPr>
        <w:t xml:space="preserve"> за водород от възобновяеми източници в ЕС и производството на до един милион тона такъв водород. </w:t>
      </w:r>
    </w:p>
    <w:p w:rsidR="007A0407" w:rsidRPr="007A0407" w:rsidRDefault="007A0407" w:rsidP="007A0407">
      <w:pPr>
        <w:numPr>
          <w:ilvl w:val="0"/>
          <w:numId w:val="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От 2025 до 2030 г. водородът трябва да стане присъща част от нашата интегрирана енергийна система с най-малко 40 </w:t>
      </w:r>
      <w:proofErr w:type="spellStart"/>
      <w:r w:rsidRPr="007A0407">
        <w:rPr>
          <w:rFonts w:ascii="Times New Roman" w:eastAsia="Calibri" w:hAnsi="Times New Roman" w:cs="Times New Roman"/>
          <w:color w:val="000000"/>
          <w:sz w:val="24"/>
          <w:szCs w:val="24"/>
        </w:rPr>
        <w:t>гигавата</w:t>
      </w:r>
      <w:proofErr w:type="spellEnd"/>
      <w:r w:rsidRPr="007A0407">
        <w:rPr>
          <w:rFonts w:ascii="Times New Roman" w:eastAsia="Calibri" w:hAnsi="Times New Roman" w:cs="Times New Roman"/>
          <w:color w:val="000000"/>
          <w:sz w:val="24"/>
          <w:szCs w:val="24"/>
        </w:rPr>
        <w:t xml:space="preserve"> </w:t>
      </w:r>
      <w:proofErr w:type="spellStart"/>
      <w:r w:rsidRPr="007A0407">
        <w:rPr>
          <w:rFonts w:ascii="Times New Roman" w:eastAsia="Calibri" w:hAnsi="Times New Roman" w:cs="Times New Roman"/>
          <w:color w:val="000000"/>
          <w:sz w:val="24"/>
          <w:szCs w:val="24"/>
        </w:rPr>
        <w:t>електролизатори</w:t>
      </w:r>
      <w:proofErr w:type="spellEnd"/>
      <w:r w:rsidRPr="007A0407">
        <w:rPr>
          <w:rFonts w:ascii="Times New Roman" w:eastAsia="Calibri" w:hAnsi="Times New Roman" w:cs="Times New Roman"/>
          <w:color w:val="000000"/>
          <w:sz w:val="24"/>
          <w:szCs w:val="24"/>
        </w:rPr>
        <w:t xml:space="preserve"> за водород от възобновяеми източници и производството на до десет милиона тона такъв водород в ЕС. </w:t>
      </w:r>
    </w:p>
    <w:p w:rsidR="007A0407" w:rsidRPr="007A0407" w:rsidRDefault="007A0407" w:rsidP="007A0407">
      <w:pPr>
        <w:numPr>
          <w:ilvl w:val="0"/>
          <w:numId w:val="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От 2030 до 2050 г. технологиите за използване на водород от възобновяеми източници следва да достигнат зрялост и да бъдат внедрени в широк мащаб във всички трудни за декарбонизация отрасли.</w:t>
      </w:r>
    </w:p>
    <w:p w:rsidR="007409AF" w:rsidRPr="007409AF" w:rsidRDefault="007A0407" w:rsidP="007409AF">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ЕК стартира инициатива за създаване на Европе</w:t>
      </w:r>
      <w:r w:rsidR="007409AF">
        <w:rPr>
          <w:rFonts w:ascii="Times New Roman" w:eastAsia="Calibri" w:hAnsi="Times New Roman" w:cs="Times New Roman"/>
          <w:color w:val="000000"/>
          <w:sz w:val="24"/>
          <w:szCs w:val="24"/>
        </w:rPr>
        <w:t>йски алианс за чист водород с водещи фигури от промишлеността, който</w:t>
      </w:r>
      <w:r w:rsidRPr="007A0407">
        <w:rPr>
          <w:rFonts w:ascii="Times New Roman" w:eastAsia="Calibri" w:hAnsi="Times New Roman" w:cs="Times New Roman"/>
          <w:color w:val="000000"/>
          <w:sz w:val="24"/>
          <w:szCs w:val="24"/>
        </w:rPr>
        <w:t xml:space="preserve"> да изгради канал за инвестиции и ще подкрепи търсенето на чист водород в ЕС. </w:t>
      </w:r>
      <w:r w:rsidR="007409AF" w:rsidRPr="007409AF">
        <w:rPr>
          <w:rFonts w:ascii="Times New Roman" w:eastAsia="Calibri" w:hAnsi="Times New Roman" w:cs="Times New Roman"/>
          <w:color w:val="000000"/>
          <w:sz w:val="24"/>
          <w:szCs w:val="24"/>
        </w:rPr>
        <w:t>Алиансът ще изгради канал за инвестиции за по-мащабно производство и ще подкрепи търсенето на чист водород в ЕС.</w:t>
      </w:r>
    </w:p>
    <w:p w:rsidR="007A0407" w:rsidRDefault="007409AF" w:rsidP="007409AF">
      <w:pPr>
        <w:spacing w:after="0" w:line="276" w:lineRule="auto"/>
        <w:jc w:val="both"/>
        <w:rPr>
          <w:rFonts w:ascii="Times New Roman" w:eastAsia="Calibri" w:hAnsi="Times New Roman" w:cs="Times New Roman"/>
          <w:color w:val="000000"/>
          <w:sz w:val="24"/>
          <w:szCs w:val="24"/>
        </w:rPr>
      </w:pPr>
      <w:r w:rsidRPr="007409AF">
        <w:rPr>
          <w:rFonts w:ascii="Times New Roman" w:eastAsia="Calibri" w:hAnsi="Times New Roman" w:cs="Times New Roman"/>
          <w:color w:val="000000"/>
          <w:sz w:val="24"/>
          <w:szCs w:val="24"/>
        </w:rPr>
        <w:t>За да се насочи подкрепата към най-чистите налични технологии</w:t>
      </w:r>
      <w:r>
        <w:rPr>
          <w:rFonts w:ascii="Times New Roman" w:eastAsia="Calibri" w:hAnsi="Times New Roman" w:cs="Times New Roman"/>
          <w:color w:val="000000"/>
          <w:sz w:val="24"/>
          <w:szCs w:val="24"/>
        </w:rPr>
        <w:t xml:space="preserve">. </w:t>
      </w:r>
      <w:r w:rsidR="007A0407" w:rsidRPr="007A0407">
        <w:rPr>
          <w:rFonts w:ascii="Times New Roman" w:eastAsia="Calibri" w:hAnsi="Times New Roman" w:cs="Times New Roman"/>
          <w:color w:val="000000"/>
          <w:sz w:val="24"/>
          <w:szCs w:val="24"/>
        </w:rPr>
        <w:t xml:space="preserve">Комисията ще работи за въвеждане на общи стандарти, терминология и сертифициране въз основа на въглеродните емисии от целия жизнен цикъл и ще предложи политически и регулаторни мерки за създаване на сигурност за инвеститорите чрез плана за възстановяване </w:t>
      </w:r>
      <w:proofErr w:type="spellStart"/>
      <w:r w:rsidR="007A0407" w:rsidRPr="007A0407">
        <w:rPr>
          <w:rFonts w:ascii="Times New Roman" w:eastAsia="Calibri" w:hAnsi="Times New Roman" w:cs="Times New Roman"/>
          <w:color w:val="000000"/>
          <w:sz w:val="24"/>
          <w:szCs w:val="24"/>
        </w:rPr>
        <w:t>Next</w:t>
      </w:r>
      <w:proofErr w:type="spellEnd"/>
      <w:r w:rsidR="007A0407" w:rsidRPr="007A0407">
        <w:rPr>
          <w:rFonts w:ascii="Times New Roman" w:eastAsia="Calibri" w:hAnsi="Times New Roman" w:cs="Times New Roman"/>
          <w:color w:val="000000"/>
          <w:sz w:val="24"/>
          <w:szCs w:val="24"/>
        </w:rPr>
        <w:t xml:space="preserve"> </w:t>
      </w:r>
      <w:proofErr w:type="spellStart"/>
      <w:r w:rsidR="007A0407" w:rsidRPr="007A0407">
        <w:rPr>
          <w:rFonts w:ascii="Times New Roman" w:eastAsia="Calibri" w:hAnsi="Times New Roman" w:cs="Times New Roman"/>
          <w:color w:val="000000"/>
          <w:sz w:val="24"/>
          <w:szCs w:val="24"/>
        </w:rPr>
        <w:t>Generation</w:t>
      </w:r>
      <w:proofErr w:type="spellEnd"/>
      <w:r w:rsidR="007A0407" w:rsidRPr="007A0407">
        <w:rPr>
          <w:rFonts w:ascii="Times New Roman" w:eastAsia="Calibri" w:hAnsi="Times New Roman" w:cs="Times New Roman"/>
          <w:color w:val="000000"/>
          <w:sz w:val="24"/>
          <w:szCs w:val="24"/>
        </w:rPr>
        <w:t xml:space="preserve"> EU.</w:t>
      </w:r>
    </w:p>
    <w:p w:rsidR="007409AF" w:rsidRPr="0071355B" w:rsidRDefault="007409AF" w:rsidP="007409AF">
      <w:pPr>
        <w:spacing w:after="0"/>
        <w:jc w:val="both"/>
        <w:rPr>
          <w:rFonts w:ascii="Times New Roman" w:hAnsi="Times New Roman"/>
          <w:color w:val="000000" w:themeColor="text1"/>
          <w:sz w:val="24"/>
          <w:szCs w:val="24"/>
        </w:rPr>
      </w:pPr>
      <w:r w:rsidRPr="0071355B">
        <w:rPr>
          <w:rFonts w:ascii="Times New Roman" w:hAnsi="Times New Roman"/>
          <w:color w:val="000000" w:themeColor="text1"/>
          <w:sz w:val="24"/>
          <w:szCs w:val="24"/>
        </w:rPr>
        <w:t xml:space="preserve">Т.н. „зелен водород“ се произвежда чрез процеса електролиза - разделяне на водната молекула на кислород и водород. Именно заради това за такива инсталации са необходими големи количества вода. Така се очертава, че основно край река Дунав, Черно море и големите язовири у нас, могат да бъдат изградени инсталации за зелен водород с </w:t>
      </w:r>
      <w:proofErr w:type="spellStart"/>
      <w:r w:rsidRPr="0071355B">
        <w:rPr>
          <w:rFonts w:ascii="Times New Roman" w:hAnsi="Times New Roman"/>
          <w:color w:val="000000" w:themeColor="text1"/>
          <w:sz w:val="24"/>
          <w:szCs w:val="24"/>
        </w:rPr>
        <w:t>електролизатори</w:t>
      </w:r>
      <w:proofErr w:type="spellEnd"/>
      <w:r w:rsidRPr="0071355B">
        <w:rPr>
          <w:rFonts w:ascii="Times New Roman" w:hAnsi="Times New Roman"/>
          <w:color w:val="000000" w:themeColor="text1"/>
          <w:sz w:val="24"/>
          <w:szCs w:val="24"/>
        </w:rPr>
        <w:t xml:space="preserve">. България има потенциал да изгради няколко площадки за производство на екологично чист водород у нас. В зависимост от избраният начин е възможно зеленият водород да се пренася по тръбопроводи до потребителите или директно да се изгаря в газови електроцентрали и да се подава в електроенергийната мрежа. При първия вариант на инсталацията за зелен водород ще са ѝ нужни тръбопроводи за пренос на горивото до потребителите. При другия вариант ще е необходима </w:t>
      </w:r>
      <w:proofErr w:type="spellStart"/>
      <w:r w:rsidRPr="0071355B">
        <w:rPr>
          <w:rFonts w:ascii="Times New Roman" w:hAnsi="Times New Roman"/>
          <w:color w:val="000000" w:themeColor="text1"/>
          <w:sz w:val="24"/>
          <w:szCs w:val="24"/>
        </w:rPr>
        <w:t>ел.мрежа</w:t>
      </w:r>
      <w:proofErr w:type="spellEnd"/>
      <w:r w:rsidRPr="0071355B">
        <w:rPr>
          <w:rFonts w:ascii="Times New Roman" w:hAnsi="Times New Roman"/>
          <w:color w:val="000000" w:themeColor="text1"/>
          <w:sz w:val="24"/>
          <w:szCs w:val="24"/>
        </w:rPr>
        <w:t>, каквато има добре изградена край големите водни обекти  у нас.</w:t>
      </w:r>
    </w:p>
    <w:p w:rsidR="007409AF" w:rsidRPr="0071355B" w:rsidRDefault="007409AF" w:rsidP="007409AF">
      <w:pPr>
        <w:spacing w:after="0"/>
        <w:jc w:val="both"/>
        <w:rPr>
          <w:rFonts w:ascii="Times New Roman" w:hAnsi="Times New Roman"/>
          <w:color w:val="000000" w:themeColor="text1"/>
          <w:sz w:val="24"/>
          <w:szCs w:val="24"/>
        </w:rPr>
      </w:pPr>
      <w:r w:rsidRPr="0071355B">
        <w:rPr>
          <w:rFonts w:ascii="Times New Roman" w:hAnsi="Times New Roman"/>
          <w:color w:val="000000" w:themeColor="text1"/>
          <w:sz w:val="24"/>
          <w:szCs w:val="24"/>
        </w:rPr>
        <w:t>Идеята е това да бъде занапред заместител на природния газ, който в момента се използва за основно гориво на индустрии като циментовата стоманената, химическата и други. Именно тези големи индустрии не могат лесно да трансформират производствата си и да преминат на електричество. Затова в бъдеще те ще разчитат на доставките на водород, вместо на природен газ.</w:t>
      </w:r>
    </w:p>
    <w:p w:rsidR="007409AF" w:rsidRPr="0071355B" w:rsidRDefault="007409AF" w:rsidP="007409AF">
      <w:pPr>
        <w:spacing w:after="0"/>
        <w:jc w:val="both"/>
        <w:rPr>
          <w:rFonts w:ascii="Times New Roman" w:hAnsi="Times New Roman"/>
          <w:color w:val="000000" w:themeColor="text1"/>
          <w:sz w:val="24"/>
          <w:szCs w:val="24"/>
        </w:rPr>
      </w:pPr>
      <w:r w:rsidRPr="0071355B">
        <w:rPr>
          <w:rFonts w:ascii="Times New Roman" w:hAnsi="Times New Roman"/>
          <w:color w:val="000000" w:themeColor="text1"/>
          <w:sz w:val="24"/>
          <w:szCs w:val="24"/>
        </w:rPr>
        <w:t>Има и трети вариант - зеленият водород да се използва в горивни клетки - именно тези съоръжения ще се използват в бъдеще за захранване на различни превозни средства - влакове, кораби и камиони. С горивна клетка може да се захранват и обществените сгради, стига да е създадена подходяща инфраструктура.</w:t>
      </w:r>
    </w:p>
    <w:p w:rsidR="007409AF" w:rsidRPr="0071355B" w:rsidRDefault="007409AF" w:rsidP="007409AF">
      <w:pPr>
        <w:spacing w:after="0"/>
        <w:jc w:val="both"/>
        <w:rPr>
          <w:rFonts w:ascii="Times New Roman" w:hAnsi="Times New Roman"/>
          <w:color w:val="000000" w:themeColor="text1"/>
          <w:sz w:val="24"/>
          <w:szCs w:val="24"/>
        </w:rPr>
      </w:pPr>
      <w:r w:rsidRPr="0071355B">
        <w:rPr>
          <w:rFonts w:ascii="Times New Roman" w:hAnsi="Times New Roman"/>
          <w:color w:val="000000" w:themeColor="text1"/>
          <w:sz w:val="24"/>
          <w:szCs w:val="24"/>
        </w:rPr>
        <w:t>Пилотно в Швеция вече има завод за производство на стомана, който замени изкопаемите горива. Става въпрос за производството на чугун без използване на изкопаемо гориво и без емисии от парникови газове с помощта на зелен водород.</w:t>
      </w:r>
    </w:p>
    <w:p w:rsid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Стратегиите на ЕС за интегриране на енергийната система и използване на водорода,  ще проправят пътя към по-ефективен и взаимосвързан енергиен сектор, ръководен от свързаните цели за по-чиста планета и по-силна икономика. Двете стратегии представят нова програма за инвестиции в чистата енергия в съответствие с пакета за възстановяване </w:t>
      </w:r>
      <w:proofErr w:type="spellStart"/>
      <w:r w:rsidRPr="007A0407">
        <w:rPr>
          <w:rFonts w:ascii="Times New Roman" w:eastAsia="Calibri" w:hAnsi="Times New Roman" w:cs="Times New Roman"/>
          <w:b/>
          <w:color w:val="000000"/>
          <w:sz w:val="24"/>
          <w:szCs w:val="24"/>
        </w:rPr>
        <w:t>Next</w:t>
      </w:r>
      <w:proofErr w:type="spellEnd"/>
      <w:r w:rsidRPr="007A0407">
        <w:rPr>
          <w:rFonts w:ascii="Times New Roman" w:eastAsia="Calibri" w:hAnsi="Times New Roman" w:cs="Times New Roman"/>
          <w:b/>
          <w:color w:val="000000"/>
          <w:sz w:val="24"/>
          <w:szCs w:val="24"/>
        </w:rPr>
        <w:t xml:space="preserve"> </w:t>
      </w:r>
      <w:proofErr w:type="spellStart"/>
      <w:r w:rsidRPr="007A0407">
        <w:rPr>
          <w:rFonts w:ascii="Times New Roman" w:eastAsia="Calibri" w:hAnsi="Times New Roman" w:cs="Times New Roman"/>
          <w:b/>
          <w:color w:val="000000"/>
          <w:sz w:val="24"/>
          <w:szCs w:val="24"/>
        </w:rPr>
        <w:t>Generation</w:t>
      </w:r>
      <w:proofErr w:type="spellEnd"/>
      <w:r w:rsidRPr="007A0407">
        <w:rPr>
          <w:rFonts w:ascii="Times New Roman" w:eastAsia="Calibri" w:hAnsi="Times New Roman" w:cs="Times New Roman"/>
          <w:b/>
          <w:color w:val="000000"/>
          <w:sz w:val="24"/>
          <w:szCs w:val="24"/>
        </w:rPr>
        <w:t xml:space="preserve"> EU на Комисията и Европейския зелен пакт. Планираните инвестиции имат потенциала да стимулират икономическото възстановяване от кризата, предизвикана от </w:t>
      </w:r>
      <w:proofErr w:type="spellStart"/>
      <w:r w:rsidRPr="007A0407">
        <w:rPr>
          <w:rFonts w:ascii="Times New Roman" w:eastAsia="Calibri" w:hAnsi="Times New Roman" w:cs="Times New Roman"/>
          <w:b/>
          <w:color w:val="000000"/>
          <w:sz w:val="24"/>
          <w:szCs w:val="24"/>
        </w:rPr>
        <w:t>коронавируса</w:t>
      </w:r>
      <w:proofErr w:type="spellEnd"/>
      <w:r w:rsidRPr="007A0407">
        <w:rPr>
          <w:rFonts w:ascii="Times New Roman" w:eastAsia="Calibri" w:hAnsi="Times New Roman" w:cs="Times New Roman"/>
          <w:b/>
          <w:color w:val="000000"/>
          <w:sz w:val="24"/>
          <w:szCs w:val="24"/>
        </w:rPr>
        <w:t>.</w:t>
      </w:r>
    </w:p>
    <w:p w:rsidR="00F33142" w:rsidRPr="00F33142" w:rsidRDefault="00F33142" w:rsidP="00F33142">
      <w:pPr>
        <w:spacing w:after="0" w:line="276" w:lineRule="auto"/>
        <w:jc w:val="both"/>
        <w:rPr>
          <w:rFonts w:ascii="Times New Roman" w:eastAsia="Calibri" w:hAnsi="Times New Roman" w:cs="Times New Roman"/>
          <w:color w:val="4472C4" w:themeColor="accent5"/>
          <w:sz w:val="24"/>
          <w:szCs w:val="24"/>
        </w:rPr>
      </w:pPr>
      <w:r w:rsidRPr="00F33142">
        <w:rPr>
          <w:rFonts w:ascii="Times New Roman" w:eastAsia="Calibri" w:hAnsi="Times New Roman" w:cs="Times New Roman"/>
          <w:color w:val="4472C4" w:themeColor="accent5"/>
          <w:sz w:val="24"/>
          <w:szCs w:val="24"/>
        </w:rPr>
        <w:t>През 2021 г. Комисията предприе редица действия в рамките на програма „Хоризонт Европа“, като даде старта на новото съвместно предприятие „Чист водород“ - публично-частно партньорство между Европейската комисия, индустрията и научноизследов</w:t>
      </w:r>
      <w:r>
        <w:rPr>
          <w:rFonts w:ascii="Times New Roman" w:eastAsia="Calibri" w:hAnsi="Times New Roman" w:cs="Times New Roman"/>
          <w:color w:val="4472C4" w:themeColor="accent5"/>
          <w:sz w:val="24"/>
          <w:szCs w:val="24"/>
        </w:rPr>
        <w:t xml:space="preserve">ателската общност, с ангажимент </w:t>
      </w:r>
      <w:r w:rsidRPr="00F33142">
        <w:rPr>
          <w:rFonts w:ascii="Times New Roman" w:eastAsia="Calibri" w:hAnsi="Times New Roman" w:cs="Times New Roman"/>
          <w:color w:val="4472C4" w:themeColor="accent5"/>
          <w:sz w:val="24"/>
          <w:szCs w:val="24"/>
        </w:rPr>
        <w:t>да се инвестират най-малко 2 млрд. евро до 2027 година.</w:t>
      </w:r>
      <w:r w:rsidRPr="00F33142">
        <w:t xml:space="preserve"> </w:t>
      </w:r>
      <w:r w:rsidRPr="00F33142">
        <w:rPr>
          <w:rFonts w:ascii="Times New Roman" w:eastAsia="Calibri" w:hAnsi="Times New Roman" w:cs="Times New Roman"/>
          <w:color w:val="4472C4" w:themeColor="accent5"/>
          <w:sz w:val="24"/>
          <w:szCs w:val="24"/>
        </w:rPr>
        <w:t>С цел постигане на енергийна независимост на 18 май 2022 г. Комисията предложи пакета REPowerEU1, като определи за приоритет ускоряване на прехода към чиста енергия и използването на водорода от възобновяеми енергийни източници.</w:t>
      </w: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p>
    <w:p w:rsidR="007A0407" w:rsidRPr="007A0407" w:rsidRDefault="007A0407" w:rsidP="007A0407">
      <w:pPr>
        <w:numPr>
          <w:ilvl w:val="0"/>
          <w:numId w:val="8"/>
        </w:numPr>
        <w:shd w:val="clear" w:color="auto" w:fill="DAF0F3"/>
        <w:tabs>
          <w:tab w:val="left" w:pos="426"/>
        </w:tabs>
        <w:spacing w:after="0" w:line="276" w:lineRule="auto"/>
        <w:contextualSpacing/>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Европейски пакт за климата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Европейският пакт за климата е инициатива на Комисията за взаимодействие с различни заинтересовани страни и гражданското общество с цел да ги ангажира с климатични действия и по-устойчиво поведение. Той ще предложи начини за хората и организациите да научат за изменението на климата, да разработят и внедрят решения и да се свържат с другите, за да умножат въздействието на тези решения. Пактът ще създаде оживено пространство за споделяне на информация, дебати и действия по климатичната криза. Той ще предложи подкрепа за европейско движение за климата, което да се разраства и консолидира.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Европейският пакт за климата ще се съсредоточи върху разпространението на осведомеността и подкрепящите действия.</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Пактът за климата ще осигури пространство за съвместна работа за справяне с изменението на климата и влошаването на околната среда и за да се възползват от възможностите, които идват при решителни действия и устойчив начин на живот. Пактът ще свързва хора от всички сфери на живота, за да подобрят разбирането си за предизвикателствата, да канят всички европейци да участват и да се възползват, да разработят решения големи и малки и да предизвикат и увеличат положителните промени. Европейският пакт за климата ще продължи да расте и да се развива с течение на времето, което ще се стимулира от ангажираността и творчеството на всички граждани и заинтересовани страни, които ще станат част от него.</w:t>
      </w:r>
    </w:p>
    <w:p w:rsidR="007A0407" w:rsidRPr="00560392" w:rsidRDefault="007A0407" w:rsidP="00560392">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Пактът за климата ще работи заедно с многобройните съществуващи инициативи, мрежи и движения. </w:t>
      </w:r>
      <w:r w:rsidR="00560392" w:rsidRPr="00560392">
        <w:rPr>
          <w:rFonts w:ascii="Times New Roman" w:eastAsia="Calibri" w:hAnsi="Times New Roman" w:cs="Times New Roman"/>
          <w:color w:val="000000"/>
          <w:sz w:val="24"/>
          <w:szCs w:val="24"/>
        </w:rPr>
        <w:t>Пактът е отворена, приобщаваща и постоянно развиваща се инициатива за действия в областта на климата.</w:t>
      </w:r>
    </w:p>
    <w:p w:rsid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Намаляването на емисиите и адаптирането към изменения климат ще изисква от всички нас да променим навиците си. Много от тези промени ще подобрят начина ни на живот, ще се движат наоколо, охлаждат или затоплят нашите къщи, произвеждат и консумират. Голяма част от необходимите знания и много доказани решения вече съществуват. Тези решения могат да бъдат от организации или лица, както п</w:t>
      </w:r>
      <w:r w:rsidR="00560392">
        <w:rPr>
          <w:rFonts w:ascii="Times New Roman" w:eastAsia="Calibri" w:hAnsi="Times New Roman" w:cs="Times New Roman"/>
          <w:color w:val="000000"/>
          <w:sz w:val="24"/>
          <w:szCs w:val="24"/>
        </w:rPr>
        <w:t>ряко (нашето поведение и действия</w:t>
      </w:r>
      <w:r w:rsidRPr="007A0407">
        <w:rPr>
          <w:rFonts w:ascii="Times New Roman" w:eastAsia="Calibri" w:hAnsi="Times New Roman" w:cs="Times New Roman"/>
          <w:color w:val="000000"/>
          <w:sz w:val="24"/>
          <w:szCs w:val="24"/>
        </w:rPr>
        <w:t xml:space="preserve"> в нашите общности), така и непряко (насърчаване на връстниците, предприятията или политическите лидери да предприемат действия в областта на климата).  Пактът за климата ще даде на тези решения популярност и видимост, за да помогне за вдъхновяването на другите.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Под ръководството на Европейската комисия специален секретариат ще подкрепя прилагането на Пакта. Воден от принципите на многоезичието, приобщаването и участието, започвайки през 2021 г., секретариатът ще помага на Комисията в:</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информиране и общуване с тези, които вече са активни в климатичните действия, както и с тези, които са „безразлични“ или „труднодостъпни“, идентифициране и показване на добри практики, които могат да помогнат за ускоряване на необходимите промени, и управление на онлайн платформата на Пакта, която ще се развива като Пактът расте;</w:t>
      </w:r>
    </w:p>
    <w:p w:rsidR="007A0407" w:rsidRPr="007A0407" w:rsidRDefault="00560392" w:rsidP="007A0407">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ангажиране на</w:t>
      </w:r>
      <w:r w:rsidR="007A0407" w:rsidRPr="007A0407">
        <w:rPr>
          <w:rFonts w:ascii="Times New Roman" w:eastAsia="Calibri" w:hAnsi="Times New Roman" w:cs="Times New Roman"/>
          <w:color w:val="000000"/>
          <w:sz w:val="24"/>
          <w:szCs w:val="24"/>
        </w:rPr>
        <w:t xml:space="preserve"> граждани и заинтересовани страни и улесняване на значимо участие, работа в мрежа и съвместно създаване на действия, напр. чрез улавяне на местни климатични разкази, истории и нагласи „мога да направя“ и (</w:t>
      </w:r>
      <w:proofErr w:type="spellStart"/>
      <w:r w:rsidR="007A0407" w:rsidRPr="007A0407">
        <w:rPr>
          <w:rFonts w:ascii="Times New Roman" w:eastAsia="Calibri" w:hAnsi="Times New Roman" w:cs="Times New Roman"/>
          <w:color w:val="000000"/>
          <w:sz w:val="24"/>
          <w:szCs w:val="24"/>
        </w:rPr>
        <w:t>съ</w:t>
      </w:r>
      <w:proofErr w:type="spellEnd"/>
      <w:r w:rsidR="007A0407" w:rsidRPr="007A0407">
        <w:rPr>
          <w:rFonts w:ascii="Times New Roman" w:eastAsia="Calibri" w:hAnsi="Times New Roman" w:cs="Times New Roman"/>
          <w:color w:val="000000"/>
          <w:sz w:val="24"/>
          <w:szCs w:val="24"/>
        </w:rPr>
        <w:t xml:space="preserve">) организиране на различни видове събития за участие. Центърът за знания на </w:t>
      </w:r>
      <w:proofErr w:type="spellStart"/>
      <w:r w:rsidR="007A0407" w:rsidRPr="007A0407">
        <w:rPr>
          <w:rFonts w:ascii="Times New Roman" w:eastAsia="Calibri" w:hAnsi="Times New Roman" w:cs="Times New Roman"/>
          <w:color w:val="000000"/>
          <w:sz w:val="24"/>
          <w:szCs w:val="24"/>
        </w:rPr>
        <w:t>Pact’s</w:t>
      </w:r>
      <w:proofErr w:type="spellEnd"/>
      <w:r w:rsidR="007A0407" w:rsidRPr="007A0407">
        <w:rPr>
          <w:rFonts w:ascii="Times New Roman" w:eastAsia="Calibri" w:hAnsi="Times New Roman" w:cs="Times New Roman"/>
          <w:color w:val="000000"/>
          <w:sz w:val="24"/>
          <w:szCs w:val="24"/>
        </w:rPr>
        <w:t xml:space="preserve"> ще подкрепя климатичните инициативи с експертни познания и партньорска подкрепа;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подкрепа за установяването на управлението и изпълнението на Пакта, осигуряване на връзки със съответни инициативи, групи и институции, оценяване и активизиране на инициативата.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Комисията допълнително ще улесни и повиши осведомеността чрез:</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Посрещане на посланици от Пакта за климата с различен произход и професии. Посланици</w:t>
      </w:r>
      <w:r w:rsidR="00560392">
        <w:rPr>
          <w:rFonts w:ascii="Times New Roman" w:eastAsia="Calibri" w:hAnsi="Times New Roman" w:cs="Times New Roman"/>
          <w:color w:val="000000"/>
          <w:sz w:val="24"/>
          <w:szCs w:val="24"/>
        </w:rPr>
        <w:t>те</w:t>
      </w:r>
      <w:r w:rsidRPr="007A0407">
        <w:rPr>
          <w:rFonts w:ascii="Times New Roman" w:eastAsia="Calibri" w:hAnsi="Times New Roman" w:cs="Times New Roman"/>
          <w:color w:val="000000"/>
          <w:sz w:val="24"/>
          <w:szCs w:val="24"/>
        </w:rPr>
        <w:t xml:space="preserve"> ще се ангажират с климатичните действия и ще участват в дебати с хората в техните общности и мрежи относно възможностите за действие.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Превръщане на научно обоснована информация във варианти за действие, които носят незабавни, многобройни ползи за хората и общностите, например чрез пилотна инициатива, приканваща учени</w:t>
      </w:r>
      <w:r w:rsidR="00560392">
        <w:rPr>
          <w:rFonts w:ascii="Times New Roman" w:eastAsia="Calibri" w:hAnsi="Times New Roman" w:cs="Times New Roman"/>
          <w:color w:val="000000"/>
          <w:sz w:val="24"/>
          <w:szCs w:val="24"/>
        </w:rPr>
        <w:t>те в сферата на климата</w:t>
      </w:r>
      <w:r w:rsidRPr="007A0407">
        <w:rPr>
          <w:rFonts w:ascii="Times New Roman" w:eastAsia="Calibri" w:hAnsi="Times New Roman" w:cs="Times New Roman"/>
          <w:color w:val="000000"/>
          <w:sz w:val="24"/>
          <w:szCs w:val="24"/>
        </w:rPr>
        <w:t xml:space="preserve"> да посетят училищата или висшите учебни заведения, </w:t>
      </w:r>
      <w:r w:rsidR="00560392">
        <w:rPr>
          <w:rFonts w:ascii="Times New Roman" w:eastAsia="Calibri" w:hAnsi="Times New Roman" w:cs="Times New Roman"/>
          <w:color w:val="000000"/>
          <w:sz w:val="24"/>
          <w:szCs w:val="24"/>
        </w:rPr>
        <w:t xml:space="preserve">в </w:t>
      </w:r>
      <w:r w:rsidRPr="007A0407">
        <w:rPr>
          <w:rFonts w:ascii="Times New Roman" w:eastAsia="Calibri" w:hAnsi="Times New Roman" w:cs="Times New Roman"/>
          <w:color w:val="000000"/>
          <w:sz w:val="24"/>
          <w:szCs w:val="24"/>
        </w:rPr>
        <w:t xml:space="preserve">които са </w:t>
      </w:r>
      <w:r w:rsidR="00560392">
        <w:rPr>
          <w:rFonts w:ascii="Times New Roman" w:eastAsia="Calibri" w:hAnsi="Times New Roman" w:cs="Times New Roman"/>
          <w:color w:val="000000"/>
          <w:sz w:val="24"/>
          <w:szCs w:val="24"/>
        </w:rPr>
        <w:t>учили</w:t>
      </w:r>
      <w:r w:rsidRPr="007A0407">
        <w:rPr>
          <w:rFonts w:ascii="Times New Roman" w:eastAsia="Calibri" w:hAnsi="Times New Roman" w:cs="Times New Roman"/>
          <w:color w:val="000000"/>
          <w:sz w:val="24"/>
          <w:szCs w:val="24"/>
        </w:rPr>
        <w:t>. Комисията ще търси начини да направи резултатите от научните изследвания по-достъпни за широката общественост, като приеме насоки за финансирани от ЕС изследователски проекти, които да следват в своите дейности по разпространение и комуникация.</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Насърчаване на климатичната грамотност и интегриране на климатичните науки и решения в образователни програми в училищата, професионално образование и обучение, висше образование и учене през целия живот.</w:t>
      </w: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Кой може да стане посланик?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 Всеки може да кандидатства за посланик. Организации могат да предложат и представител, който да стане посланик от тяхно име. Стремежът към равнопоставеност между половете сред посланиците ще бъде важен за предлагането на ролеви модели в действията в областта на климата.  </w:t>
      </w: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Как да станем посланик?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Заявленията ще бъдат възможни чрез интернет страницата на Пакта. Кандидатите ще бъдат помолени накратко да опишат обхвата на техните (планирани) дейности и опит. Функцията "Посланик" е подходяща за хора, които са ангажирани с действия в областта на климата и околната среда и се придържат към ценностите на Пакта. Посланиците ще бъдат подкрепени чрез обективен, прозрачен процес, основан на качествата и мотивацията на кандидатите за една година с възможност за удължаване.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Защо да стана посланик?</w:t>
      </w:r>
      <w:r w:rsidRPr="007A0407">
        <w:rPr>
          <w:rFonts w:ascii="Times New Roman" w:eastAsia="Calibri" w:hAnsi="Times New Roman" w:cs="Times New Roman"/>
          <w:color w:val="000000"/>
          <w:sz w:val="24"/>
          <w:szCs w:val="24"/>
        </w:rPr>
        <w:t xml:space="preserve">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Посланиците ще бъдат представени на уебсайта на Пакта и в каналите на Комисията в социалните медии и ще могат да използват платформите и комуникационните материали на Пакта.</w:t>
      </w:r>
      <w:r w:rsidR="00560392">
        <w:rPr>
          <w:rFonts w:ascii="Times New Roman" w:eastAsia="Calibri" w:hAnsi="Times New Roman" w:cs="Times New Roman"/>
          <w:color w:val="000000"/>
          <w:sz w:val="24"/>
          <w:szCs w:val="24"/>
        </w:rPr>
        <w:t xml:space="preserve"> </w:t>
      </w:r>
      <w:r w:rsidR="00560392" w:rsidRPr="00560392">
        <w:rPr>
          <w:rFonts w:ascii="Times New Roman" w:eastAsia="Calibri" w:hAnsi="Times New Roman" w:cs="Times New Roman"/>
          <w:color w:val="000000"/>
          <w:sz w:val="24"/>
          <w:szCs w:val="24"/>
        </w:rPr>
        <w:t>Ежегодна проява на Пакта за климата ще събира участниците, за да обменят опит и знания.</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Приоритети на Пактът за климата:</w:t>
      </w:r>
    </w:p>
    <w:p w:rsidR="007A0407" w:rsidRPr="007A0407" w:rsidRDefault="007A0407" w:rsidP="007A0407">
      <w:pPr>
        <w:numPr>
          <w:ilvl w:val="0"/>
          <w:numId w:val="15"/>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действия, фокусирани върху зелените площи, зелената мобилност, ефективните сгради и обучението за зелени работни места, в рамките на съществуващите и съответните механизми за подкрепа на Комисията.;</w:t>
      </w:r>
    </w:p>
    <w:p w:rsidR="007A0407" w:rsidRDefault="00560392" w:rsidP="007A0407">
      <w:pPr>
        <w:numPr>
          <w:ilvl w:val="0"/>
          <w:numId w:val="15"/>
        </w:numPr>
        <w:spacing w:after="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 </w:t>
      </w:r>
      <w:r w:rsidR="007A0407" w:rsidRPr="007A0407">
        <w:rPr>
          <w:rFonts w:ascii="Times New Roman" w:eastAsia="Calibri" w:hAnsi="Times New Roman" w:cs="Times New Roman"/>
          <w:color w:val="000000"/>
          <w:sz w:val="24"/>
          <w:szCs w:val="24"/>
        </w:rPr>
        <w:t>времето Пактът ще се разшири и в други области, като устойчиво потребление и производство, качество на почвите, здравословна храна, морски, селски и крайбрежни райони и други.</w:t>
      </w:r>
    </w:p>
    <w:p w:rsidR="00583C58" w:rsidRPr="00AD404D" w:rsidRDefault="00583C58" w:rsidP="00583C58">
      <w:pPr>
        <w:spacing w:after="0" w:line="276" w:lineRule="auto"/>
        <w:contextualSpacing/>
        <w:jc w:val="both"/>
        <w:rPr>
          <w:rFonts w:ascii="Times New Roman" w:eastAsia="Calibri" w:hAnsi="Times New Roman" w:cs="Times New Roman"/>
          <w:color w:val="4472C4" w:themeColor="accent5"/>
          <w:sz w:val="24"/>
          <w:szCs w:val="24"/>
        </w:rPr>
      </w:pPr>
      <w:r w:rsidRPr="00AD404D">
        <w:rPr>
          <w:rFonts w:ascii="Times New Roman" w:eastAsia="Calibri" w:hAnsi="Times New Roman" w:cs="Times New Roman"/>
          <w:color w:val="4472C4" w:themeColor="accent5"/>
          <w:sz w:val="24"/>
          <w:szCs w:val="24"/>
        </w:rPr>
        <w:t>Старта на Пакта в България е поставен пред септември 2021 г в София, като експерти, посланици на инициативата, активисти и представители на бизнеса участват в събитие „Действията, които променят света“ - всеки с малки действия и пример пред младите може да допринесе за желаната промяна.</w:t>
      </w:r>
    </w:p>
    <w:p w:rsidR="007A0407" w:rsidRPr="007A0407" w:rsidRDefault="007A0407" w:rsidP="007A0407">
      <w:pPr>
        <w:spacing w:after="0" w:line="276" w:lineRule="auto"/>
        <w:ind w:left="720"/>
        <w:contextualSpacing/>
        <w:jc w:val="both"/>
        <w:rPr>
          <w:rFonts w:ascii="Times New Roman" w:eastAsia="Calibri" w:hAnsi="Times New Roman" w:cs="Times New Roman"/>
          <w:color w:val="000000"/>
          <w:sz w:val="24"/>
          <w:szCs w:val="24"/>
        </w:rPr>
      </w:pPr>
    </w:p>
    <w:p w:rsidR="007A0407" w:rsidRPr="007A0407" w:rsidRDefault="007A0407" w:rsidP="007A0407">
      <w:pPr>
        <w:numPr>
          <w:ilvl w:val="0"/>
          <w:numId w:val="8"/>
        </w:numPr>
        <w:shd w:val="clear" w:color="auto" w:fill="DAF0F3"/>
        <w:tabs>
          <w:tab w:val="left" w:pos="426"/>
        </w:tabs>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Европейска промишлена стратегия</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Европа поема по пътя към неутралност по отношение на климата и лидерство в областта на цифровите технологии. Европейската промишлена стратегия има за цел да гарантира, че европейската промишленост играе водеща роля в началото на тази нова ера.</w:t>
      </w:r>
    </w:p>
    <w:p w:rsidR="007A0407" w:rsidRPr="007A0407" w:rsidRDefault="007A0407" w:rsidP="007A0407">
      <w:pPr>
        <w:numPr>
          <w:ilvl w:val="0"/>
          <w:numId w:val="10"/>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трансформиране на нашата промишленост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 трансформирането на нашата промишленост, подпомагането на малките и средните предприятия (МСП) и за запазването на устойчивостта и конкурентоспособността на Европа ще разчитаме на три двигателни сили. Те са:</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зеленият преход, в чийто контекст Европейският зелен пакт представлява новата стратегия за растеж на Европа</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цифровият преход, който позволява на промишлеността и МСП да бъдат по-инициативни, осигурява нови умения на работниците и допринася за декарбонизацията на нашата икономика</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конкурентоспособността на световната сцена, за която Европа трябва да използва въздействието на единния си пазар, за да наложи световни стандарти.</w:t>
      </w:r>
    </w:p>
    <w:p w:rsidR="007A0407" w:rsidRPr="007A0407" w:rsidRDefault="00D44EDA" w:rsidP="007A0407">
      <w:pPr>
        <w:numPr>
          <w:ilvl w:val="0"/>
          <w:numId w:val="10"/>
        </w:numPr>
        <w:spacing w:after="0" w:line="276"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е</w:t>
      </w:r>
      <w:r w:rsidR="007A0407" w:rsidRPr="007A0407">
        <w:rPr>
          <w:rFonts w:ascii="Times New Roman" w:eastAsia="Calibri" w:hAnsi="Times New Roman" w:cs="Times New Roman"/>
          <w:b/>
          <w:color w:val="000000"/>
          <w:sz w:val="24"/>
          <w:szCs w:val="24"/>
        </w:rPr>
        <w:t>динният пазар</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Единният пазар предоставя на предприятията от ЕС голям вътрешен пазар, като стимулира търговията и конкуренцията и води до подобряване на ефективността. Неговата по-добра интеграция и функциониране могат да генерират допълнителен растеж в различни области.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Политиката в областта на конкуренцията е основен елемент на единния пазар. Тя допринася за повишаване на конкурентоспособността на предприятията, създава условия на равнопоставеност, стимулира иновациите и осигурява по-голям избор за потребителите</w:t>
      </w:r>
    </w:p>
    <w:p w:rsidR="007A0407" w:rsidRPr="007A0407" w:rsidRDefault="00D44EDA" w:rsidP="007A0407">
      <w:pPr>
        <w:numPr>
          <w:ilvl w:val="0"/>
          <w:numId w:val="10"/>
        </w:numPr>
        <w:spacing w:after="0" w:line="276" w:lineRule="auto"/>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р</w:t>
      </w:r>
      <w:r w:rsidR="007A0407" w:rsidRPr="007A0407">
        <w:rPr>
          <w:rFonts w:ascii="Times New Roman" w:eastAsia="Calibri" w:hAnsi="Times New Roman" w:cs="Times New Roman"/>
          <w:b/>
          <w:bCs/>
          <w:color w:val="000000"/>
          <w:sz w:val="24"/>
          <w:szCs w:val="24"/>
        </w:rPr>
        <w:t>азгръщане на потенциала на МСП</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Малките и средните предприятия са от изключителна важност за конкурентоспособността и просперитета на Европа. Въз основа на новата стратегия за МСП, ЕС ще подпомага МСП посредством:</w:t>
      </w:r>
    </w:p>
    <w:p w:rsidR="007A0407" w:rsidRPr="007A0407" w:rsidRDefault="007A0407" w:rsidP="007A0407">
      <w:pPr>
        <w:numPr>
          <w:ilvl w:val="0"/>
          <w:numId w:val="12"/>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насърчаване на иновациите чрез ново финансиране и центрове за цифрови иновации, като част от </w:t>
      </w:r>
      <w:r w:rsidRPr="007A0407">
        <w:rPr>
          <w:rFonts w:ascii="Times New Roman" w:eastAsia="Calibri" w:hAnsi="Times New Roman" w:cs="Times New Roman"/>
          <w:bCs/>
          <w:color w:val="000000"/>
          <w:sz w:val="24"/>
          <w:szCs w:val="24"/>
        </w:rPr>
        <w:t>устойчивия и цифровия преход</w:t>
      </w:r>
      <w:r w:rsidR="00D44EDA">
        <w:rPr>
          <w:rFonts w:ascii="Times New Roman" w:eastAsia="Calibri" w:hAnsi="Times New Roman" w:cs="Times New Roman"/>
          <w:bCs/>
          <w:color w:val="000000"/>
          <w:sz w:val="24"/>
          <w:szCs w:val="24"/>
        </w:rPr>
        <w:t>;</w:t>
      </w:r>
    </w:p>
    <w:p w:rsidR="007A0407" w:rsidRPr="007A0407" w:rsidRDefault="007A0407" w:rsidP="007A0407">
      <w:pPr>
        <w:numPr>
          <w:ilvl w:val="0"/>
          <w:numId w:val="12"/>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Cs/>
          <w:color w:val="000000"/>
          <w:sz w:val="24"/>
          <w:szCs w:val="24"/>
        </w:rPr>
        <w:t>намаляване на бюрокрацията</w:t>
      </w:r>
      <w:r w:rsidRPr="007A0407">
        <w:rPr>
          <w:rFonts w:ascii="Times New Roman" w:eastAsia="Calibri" w:hAnsi="Times New Roman" w:cs="Times New Roman"/>
          <w:color w:val="000000"/>
          <w:sz w:val="24"/>
          <w:szCs w:val="24"/>
        </w:rPr>
        <w:t> чрез премахване на пречките в рамките на единния пазар и отваряне на достъпа до финансиране</w:t>
      </w:r>
      <w:r w:rsidR="00D44EDA">
        <w:rPr>
          <w:rFonts w:ascii="Times New Roman" w:eastAsia="Calibri" w:hAnsi="Times New Roman" w:cs="Times New Roman"/>
          <w:color w:val="000000"/>
          <w:sz w:val="24"/>
          <w:szCs w:val="24"/>
        </w:rPr>
        <w:t>;</w:t>
      </w:r>
    </w:p>
    <w:p w:rsidR="007A0407" w:rsidRDefault="007A0407" w:rsidP="007A0407">
      <w:pPr>
        <w:numPr>
          <w:ilvl w:val="0"/>
          <w:numId w:val="12"/>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Cs/>
          <w:color w:val="000000"/>
          <w:sz w:val="24"/>
          <w:szCs w:val="24"/>
        </w:rPr>
        <w:t>подобряване на достъпа до финансиране</w:t>
      </w:r>
      <w:r w:rsidRPr="007A0407">
        <w:rPr>
          <w:rFonts w:ascii="Times New Roman" w:eastAsia="Calibri" w:hAnsi="Times New Roman" w:cs="Times New Roman"/>
          <w:color w:val="000000"/>
          <w:sz w:val="24"/>
          <w:szCs w:val="24"/>
        </w:rPr>
        <w:t> чрез създаване на фонд за първично публично предлагане за МСП (като инвестициите ще бъдат насочвани чрез нов публично-частен фонд) и инициативата ESCALAR (механизъм за увеличаване на размера на фондовете за рисков капитал и привличане на повече частни инвестиции).</w:t>
      </w:r>
    </w:p>
    <w:p w:rsidR="00D44EDA" w:rsidRPr="00180768" w:rsidRDefault="00180768" w:rsidP="002274C3">
      <w:pPr>
        <w:spacing w:after="0" w:line="276" w:lineRule="auto"/>
        <w:jc w:val="both"/>
        <w:rPr>
          <w:rFonts w:ascii="Times New Roman" w:eastAsia="Calibri" w:hAnsi="Times New Roman" w:cs="Times New Roman"/>
          <w:color w:val="4472C4" w:themeColor="accent5"/>
          <w:sz w:val="24"/>
          <w:szCs w:val="24"/>
        </w:rPr>
      </w:pPr>
      <w:r w:rsidRPr="00180768">
        <w:rPr>
          <w:rFonts w:ascii="Times New Roman" w:eastAsia="Calibri" w:hAnsi="Times New Roman" w:cs="Times New Roman"/>
          <w:color w:val="4472C4" w:themeColor="accent5"/>
          <w:sz w:val="24"/>
          <w:szCs w:val="24"/>
        </w:rPr>
        <w:t xml:space="preserve">През май 2021 г </w:t>
      </w:r>
      <w:r w:rsidR="002274C3" w:rsidRPr="00180768">
        <w:rPr>
          <w:rFonts w:ascii="Times New Roman" w:eastAsia="Calibri" w:hAnsi="Times New Roman" w:cs="Times New Roman"/>
          <w:color w:val="4472C4" w:themeColor="accent5"/>
          <w:sz w:val="24"/>
          <w:szCs w:val="24"/>
        </w:rPr>
        <w:t>Европейската комисия предложи изменения в промишлената стратегия на ЕС, които отчитат</w:t>
      </w:r>
      <w:r w:rsidRPr="00180768">
        <w:rPr>
          <w:rFonts w:ascii="Times New Roman" w:eastAsia="Calibri" w:hAnsi="Times New Roman" w:cs="Times New Roman"/>
          <w:color w:val="4472C4" w:themeColor="accent5"/>
          <w:sz w:val="24"/>
          <w:szCs w:val="24"/>
        </w:rPr>
        <w:t xml:space="preserve"> и отразяват настъпилите променени в </w:t>
      </w:r>
      <w:r w:rsidR="002274C3" w:rsidRPr="00180768">
        <w:rPr>
          <w:rFonts w:ascii="Times New Roman" w:eastAsia="Calibri" w:hAnsi="Times New Roman" w:cs="Times New Roman"/>
          <w:color w:val="4472C4" w:themeColor="accent5"/>
          <w:sz w:val="24"/>
          <w:szCs w:val="24"/>
        </w:rPr>
        <w:t>обстоятелства</w:t>
      </w:r>
      <w:r w:rsidRPr="00180768">
        <w:rPr>
          <w:rFonts w:ascii="Times New Roman" w:eastAsia="Calibri" w:hAnsi="Times New Roman" w:cs="Times New Roman"/>
          <w:color w:val="4472C4" w:themeColor="accent5"/>
          <w:sz w:val="24"/>
          <w:szCs w:val="24"/>
        </w:rPr>
        <w:t>та</w:t>
      </w:r>
      <w:r w:rsidR="002274C3" w:rsidRPr="00180768">
        <w:rPr>
          <w:rFonts w:ascii="Times New Roman" w:eastAsia="Calibri" w:hAnsi="Times New Roman" w:cs="Times New Roman"/>
          <w:color w:val="4472C4" w:themeColor="accent5"/>
          <w:sz w:val="24"/>
          <w:szCs w:val="24"/>
        </w:rPr>
        <w:t xml:space="preserve"> (</w:t>
      </w:r>
      <w:r w:rsidR="00626341" w:rsidRPr="00180768">
        <w:rPr>
          <w:rFonts w:ascii="Times New Roman" w:eastAsia="Calibri" w:hAnsi="Times New Roman" w:cs="Times New Roman"/>
          <w:color w:val="4472C4" w:themeColor="accent5"/>
          <w:sz w:val="24"/>
          <w:szCs w:val="24"/>
        </w:rPr>
        <w:t xml:space="preserve">пандемията от </w:t>
      </w:r>
      <w:r w:rsidR="00626341" w:rsidRPr="00180768">
        <w:rPr>
          <w:rFonts w:ascii="Times New Roman" w:eastAsia="Calibri" w:hAnsi="Times New Roman" w:cs="Times New Roman"/>
          <w:color w:val="4472C4" w:themeColor="accent5"/>
          <w:sz w:val="24"/>
          <w:szCs w:val="24"/>
          <w:lang w:val="en-US"/>
        </w:rPr>
        <w:t>COVID</w:t>
      </w:r>
      <w:r w:rsidR="00626341" w:rsidRPr="00180768">
        <w:rPr>
          <w:rFonts w:ascii="Times New Roman" w:eastAsia="Calibri" w:hAnsi="Times New Roman" w:cs="Times New Roman"/>
          <w:color w:val="4472C4" w:themeColor="accent5"/>
          <w:sz w:val="24"/>
          <w:szCs w:val="24"/>
        </w:rPr>
        <w:t xml:space="preserve"> </w:t>
      </w:r>
      <w:r w:rsidR="00626341" w:rsidRPr="00180768">
        <w:rPr>
          <w:rFonts w:ascii="Times New Roman" w:eastAsia="Calibri" w:hAnsi="Times New Roman" w:cs="Times New Roman"/>
          <w:color w:val="4472C4" w:themeColor="accent5"/>
          <w:sz w:val="24"/>
          <w:szCs w:val="24"/>
          <w:lang w:val="en-US"/>
        </w:rPr>
        <w:t>19</w:t>
      </w:r>
      <w:r w:rsidR="00626341" w:rsidRPr="00180768">
        <w:rPr>
          <w:rFonts w:ascii="Times New Roman" w:eastAsia="Calibri" w:hAnsi="Times New Roman" w:cs="Times New Roman"/>
          <w:color w:val="4472C4" w:themeColor="accent5"/>
          <w:sz w:val="24"/>
          <w:szCs w:val="24"/>
        </w:rPr>
        <w:t xml:space="preserve">). </w:t>
      </w:r>
      <w:r w:rsidR="002274C3" w:rsidRPr="00180768">
        <w:rPr>
          <w:rFonts w:ascii="Times New Roman" w:eastAsia="Calibri" w:hAnsi="Times New Roman" w:cs="Times New Roman"/>
          <w:color w:val="4472C4" w:themeColor="accent5"/>
          <w:sz w:val="24"/>
          <w:szCs w:val="24"/>
        </w:rPr>
        <w:t xml:space="preserve">Актуализираната стратегия се основава на уроците от пандемията и подчертава нуждата от решения за стратегическите зависимости на ЕС на технологично и промишлено ниво. </w:t>
      </w:r>
      <w:r w:rsidR="00847C73" w:rsidRPr="00180768">
        <w:rPr>
          <w:rFonts w:ascii="Times New Roman" w:eastAsia="Calibri" w:hAnsi="Times New Roman" w:cs="Times New Roman"/>
          <w:color w:val="4472C4" w:themeColor="accent5"/>
          <w:sz w:val="24"/>
          <w:szCs w:val="24"/>
        </w:rPr>
        <w:t xml:space="preserve">Стратегията </w:t>
      </w:r>
      <w:r w:rsidR="002274C3" w:rsidRPr="00180768">
        <w:rPr>
          <w:rFonts w:ascii="Times New Roman" w:eastAsia="Calibri" w:hAnsi="Times New Roman" w:cs="Times New Roman"/>
          <w:color w:val="4472C4" w:themeColor="accent5"/>
          <w:sz w:val="24"/>
          <w:szCs w:val="24"/>
        </w:rPr>
        <w:t>посочва, че единният пазар на ЕС трябва да стане по-устойчив на кризи и да няма пречки за свободното движение на стоки, услуги, хора и капитали.</w:t>
      </w:r>
    </w:p>
    <w:p w:rsidR="007A0407" w:rsidRPr="007A0407" w:rsidRDefault="007A0407" w:rsidP="007A0407">
      <w:pPr>
        <w:spacing w:after="0" w:line="276" w:lineRule="auto"/>
        <w:ind w:left="720"/>
        <w:jc w:val="both"/>
        <w:rPr>
          <w:rFonts w:ascii="Times New Roman" w:eastAsia="Calibri" w:hAnsi="Times New Roman" w:cs="Times New Roman"/>
          <w:color w:val="000000"/>
          <w:sz w:val="24"/>
          <w:szCs w:val="24"/>
        </w:rPr>
      </w:pPr>
    </w:p>
    <w:p w:rsidR="007A0407" w:rsidRPr="007A0407" w:rsidRDefault="007A0407" w:rsidP="007A0407">
      <w:pPr>
        <w:numPr>
          <w:ilvl w:val="0"/>
          <w:numId w:val="8"/>
        </w:numPr>
        <w:shd w:val="clear" w:color="auto" w:fill="DAF0F3"/>
        <w:tabs>
          <w:tab w:val="left" w:pos="426"/>
        </w:tabs>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Стратегия на ЕС за биологичното разнообразие до 2030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Основните цели на стратегията са:</w:t>
      </w:r>
    </w:p>
    <w:p w:rsidR="007A0407" w:rsidRPr="007A0407" w:rsidRDefault="007A0407" w:rsidP="007A0407">
      <w:pPr>
        <w:numPr>
          <w:ilvl w:val="0"/>
          <w:numId w:val="1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Създаване на защитени зони за поне 30 % от сухоземната територия на Европа и 30 % от морското пространство на Европа (което представлява увеличение съответно с поне 4 % и 19 % в сравнение с настоящия момент ) с правно обвързващи цели за възстановяване на природата през 2021 г., което ще осигури по-строга защита на горите в ЕС.</w:t>
      </w:r>
    </w:p>
    <w:p w:rsidR="007A0407" w:rsidRPr="007A0407" w:rsidRDefault="007A0407" w:rsidP="007A0407">
      <w:pPr>
        <w:numPr>
          <w:ilvl w:val="0"/>
          <w:numId w:val="1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Да се предостави строга защита на най-малко една трета от защитените зони на ЕС, включително всички останали девствени и вековни гори в ЕС. </w:t>
      </w:r>
    </w:p>
    <w:p w:rsidR="007A0407" w:rsidRPr="007A0407" w:rsidRDefault="007A0407" w:rsidP="007A0407">
      <w:pPr>
        <w:numPr>
          <w:ilvl w:val="0"/>
          <w:numId w:val="1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Да се осигури ефективно управление на всички защитени зони, като се определят ясни природозащитни цели и мерки и се извършва подходящ мониторинг.</w:t>
      </w:r>
    </w:p>
    <w:p w:rsidR="007A0407" w:rsidRPr="007A0407" w:rsidRDefault="007A0407" w:rsidP="007A0407">
      <w:pPr>
        <w:numPr>
          <w:ilvl w:val="0"/>
          <w:numId w:val="1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Възстановяване на увредените екосистеми на сушата и в морето в цяла Европа чрез:</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повишаване на биологичното земеделие и богатите на биоразнообразие особености на ландшафта в земеделските земи.</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спиране и обръщане на тенденцията за намаляване на опрашителите</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намаляване на използването и вредността на пестицидите с 50 % до 2030 г.</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възстановяване до свободно течащо състояние на поне 25 000 км от реките в ЕС</w:t>
      </w:r>
    </w:p>
    <w:p w:rsidR="007A0407" w:rsidRPr="007A0407" w:rsidRDefault="007A0407" w:rsidP="007A0407">
      <w:pPr>
        <w:numPr>
          <w:ilvl w:val="0"/>
          <w:numId w:val="1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засаждане на 3 млн. дървета до 2030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Осигуряване на 20 млрд. евро годишно за биологично разнообразие от различни източници, включително финансиране от ЕС и национално и частно финансиране. Съображенията във връзка с природния капитал и биологичното разнообразие ще бъдат включени в бизнес практиките</w:t>
      </w:r>
    </w:p>
    <w:p w:rsidR="009B7144" w:rsidRPr="009B7144" w:rsidRDefault="007A0407" w:rsidP="007A0407">
      <w:pPr>
        <w:spacing w:after="0" w:line="276" w:lineRule="auto"/>
        <w:jc w:val="both"/>
        <w:rPr>
          <w:rFonts w:ascii="Times New Roman" w:eastAsia="Calibri" w:hAnsi="Times New Roman" w:cs="Times New Roman"/>
          <w:color w:val="4472C4" w:themeColor="accent5"/>
          <w:sz w:val="24"/>
          <w:szCs w:val="24"/>
        </w:rPr>
      </w:pPr>
      <w:r w:rsidRPr="007A0407">
        <w:rPr>
          <w:rFonts w:ascii="Times New Roman" w:eastAsia="Calibri" w:hAnsi="Times New Roman" w:cs="Times New Roman"/>
          <w:color w:val="000000"/>
          <w:sz w:val="24"/>
          <w:szCs w:val="24"/>
        </w:rPr>
        <w:t>Превръщане на ЕС в световен лидер по отношение на справянето с глобалната криза, свързана с биологичното разнообразие. Комисията ще мобилизира всички инструменти за външна дейност и международни партньорства за постигане на една амбициозна нова глобална рамка за биологичното разнообразие</w:t>
      </w:r>
      <w:r w:rsidR="009B7144" w:rsidRPr="009B7144">
        <w:rPr>
          <w:rFonts w:ascii="Times New Roman" w:eastAsia="Calibri" w:hAnsi="Times New Roman" w:cs="Times New Roman"/>
          <w:color w:val="000000"/>
          <w:sz w:val="24"/>
          <w:szCs w:val="24"/>
        </w:rPr>
        <w:t xml:space="preserve"> на ООН на конференцията на страните по Конвенцията за биологичното разнообразие през 2021 г.</w:t>
      </w:r>
      <w:r w:rsidR="009B7144" w:rsidRPr="009B7144">
        <w:t xml:space="preserve"> </w:t>
      </w:r>
      <w:r w:rsidR="009B7144" w:rsidRPr="009B7144">
        <w:rPr>
          <w:rFonts w:ascii="Times New Roman" w:eastAsia="Calibri" w:hAnsi="Times New Roman" w:cs="Times New Roman"/>
          <w:color w:val="4472C4" w:themeColor="accent5"/>
          <w:sz w:val="24"/>
          <w:szCs w:val="24"/>
        </w:rPr>
        <w:t>След приемането на стратегията на ЕС за биологичното разнообразие до 2030 г. се очаква членовете на ЕП да призоват за закон за биологичното разнообразие, подобен на законодателния акт на ЕС в областта на климата, за да се гарантира, че до 2050 г. световните екосистеми ще бъдат възстановени, устойчиви и адекватно защитени.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8"/>
        </w:numPr>
        <w:shd w:val="clear" w:color="auto" w:fill="DAF0F3"/>
        <w:tabs>
          <w:tab w:val="left" w:pos="426"/>
        </w:tabs>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Стратегия “От фермата до трапезата”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Със стратегията “От фермата до трапезата”, Европейската комисия предлага модернизиране на хранителните вериги с цел осигуряване на безопасни храни и защита на хората и природата.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Цели в стратегията за 2030 г.</w:t>
      </w:r>
    </w:p>
    <w:p w:rsidR="007A0407" w:rsidRPr="007A0407" w:rsidRDefault="007A0407" w:rsidP="007A0407">
      <w:pPr>
        <w:numPr>
          <w:ilvl w:val="0"/>
          <w:numId w:val="13"/>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50% намаление на използването на пестициди</w:t>
      </w:r>
      <w:r w:rsidR="00277E1C">
        <w:rPr>
          <w:rFonts w:ascii="Times New Roman" w:eastAsia="Calibri" w:hAnsi="Times New Roman" w:cs="Times New Roman"/>
          <w:color w:val="000000"/>
          <w:sz w:val="24"/>
          <w:szCs w:val="24"/>
        </w:rPr>
        <w:t>;</w:t>
      </w:r>
    </w:p>
    <w:p w:rsidR="007A0407" w:rsidRPr="007A0407" w:rsidRDefault="009B7144" w:rsidP="007A0407">
      <w:pPr>
        <w:numPr>
          <w:ilvl w:val="0"/>
          <w:numId w:val="13"/>
        </w:numPr>
        <w:spacing w:after="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007A0407" w:rsidRPr="007A0407">
        <w:rPr>
          <w:rFonts w:ascii="Times New Roman" w:eastAsia="Calibri" w:hAnsi="Times New Roman" w:cs="Times New Roman"/>
          <w:color w:val="000000"/>
          <w:sz w:val="24"/>
          <w:szCs w:val="24"/>
        </w:rPr>
        <w:t>оне 20% намаление на използването на изкуствени торове</w:t>
      </w:r>
      <w:r w:rsidR="00277E1C">
        <w:rPr>
          <w:rFonts w:ascii="Times New Roman" w:eastAsia="Calibri" w:hAnsi="Times New Roman" w:cs="Times New Roman"/>
          <w:color w:val="000000"/>
          <w:sz w:val="24"/>
          <w:szCs w:val="24"/>
        </w:rPr>
        <w:t>;</w:t>
      </w:r>
    </w:p>
    <w:p w:rsidR="007A0407" w:rsidRPr="007A0407" w:rsidRDefault="007A0407" w:rsidP="007A0407">
      <w:pPr>
        <w:numPr>
          <w:ilvl w:val="0"/>
          <w:numId w:val="13"/>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50% намаление на продажбите на антимикробни средства за селскостопанските животни</w:t>
      </w:r>
      <w:r w:rsidR="00277E1C">
        <w:rPr>
          <w:rFonts w:ascii="Times New Roman" w:eastAsia="Calibri" w:hAnsi="Times New Roman" w:cs="Times New Roman"/>
          <w:color w:val="000000"/>
          <w:sz w:val="24"/>
          <w:szCs w:val="24"/>
        </w:rPr>
        <w:t>;</w:t>
      </w:r>
    </w:p>
    <w:p w:rsidR="007A0407" w:rsidRPr="007A0407" w:rsidRDefault="007A0407" w:rsidP="007A0407">
      <w:pPr>
        <w:numPr>
          <w:ilvl w:val="0"/>
          <w:numId w:val="13"/>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25% от земеделската земя да бъде обработвана по правилата за био земеделие</w:t>
      </w:r>
      <w:r w:rsidR="00277E1C">
        <w:rPr>
          <w:rFonts w:ascii="Times New Roman" w:eastAsia="Calibri" w:hAnsi="Times New Roman" w:cs="Times New Roman"/>
          <w:color w:val="000000"/>
          <w:sz w:val="24"/>
          <w:szCs w:val="24"/>
        </w:rPr>
        <w:t>.</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Макар че селското стопанство в ЕС е единственият от големите селскостопански сектори по света, който е намалил емисиите си на парникови газове (с 20% спрямо 1990 г.), той все още отговаря за около 10% от емисиите на ЕС. Около 70% от емисиите се дължат на животновъдството. Ако прибавим и производството, преработката, пакетирането и транспорта на храни, става ясно, че хранителният сектор има сериозно влияние върху промените в климата.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Стратегията се обявява за промяна в начина на производство, закупуване и потребление на храни, за да се намали ефектът върху климата. В същото време тя иска да защити участниците във веригата на доставки, да гарантира по-справедливо възнаграждение за труда им и да открие нови възможности за бизнес.</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Новата стратегия на ЕС обръща внимание на повишеното търсене на здравословни и екологосъобразни храни и цели да предложи на потребителите полезна храна на приемливи цени.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Проучване </w:t>
      </w:r>
      <w:r w:rsidR="00277E1C">
        <w:rPr>
          <w:rFonts w:ascii="Times New Roman" w:eastAsia="Calibri" w:hAnsi="Times New Roman" w:cs="Times New Roman"/>
          <w:color w:val="000000"/>
          <w:sz w:val="24"/>
          <w:szCs w:val="24"/>
        </w:rPr>
        <w:t xml:space="preserve">на </w:t>
      </w:r>
      <w:r w:rsidRPr="007A0407">
        <w:rPr>
          <w:rFonts w:ascii="Times New Roman" w:eastAsia="Calibri" w:hAnsi="Times New Roman" w:cs="Times New Roman"/>
          <w:color w:val="000000"/>
          <w:sz w:val="24"/>
          <w:szCs w:val="24"/>
        </w:rPr>
        <w:t>"Евробарометър" от април 2019 г. показва, че произходът (53%), цената (51%), безопасността (50%) и вкусът (49%) са най-важните критерии за европейците, когато те купуват храни. Две трети от запитаните заявяват, че са променили своите навици, след като са открили информация за рисковете от някои храни.</w:t>
      </w:r>
      <w:r w:rsidR="00277E1C" w:rsidRPr="00277E1C">
        <w:t xml:space="preserve"> </w:t>
      </w:r>
      <w:r w:rsidR="00277E1C" w:rsidRPr="00277E1C">
        <w:rPr>
          <w:rFonts w:ascii="Times New Roman" w:eastAsia="Calibri" w:hAnsi="Times New Roman" w:cs="Times New Roman"/>
          <w:color w:val="000000"/>
          <w:sz w:val="24"/>
          <w:szCs w:val="24"/>
        </w:rPr>
        <w:t>В България 12% от хората консумират повече биохрани, а 15% консумират по-малко месо.</w:t>
      </w:r>
    </w:p>
    <w:p w:rsidR="00A16D0C" w:rsidRPr="00A16D0C" w:rsidRDefault="007A0407" w:rsidP="0045365B">
      <w:pPr>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През 2017 г. над 950 000 смъртни случая в ЕС са били свързани с нездравословна диета, а половината от хората над 18 години са били с наднормено тегло. За по-лесен избор на здравословни алтернативи и в</w:t>
      </w:r>
      <w:r w:rsidR="00A16D0C">
        <w:rPr>
          <w:rFonts w:ascii="Times New Roman" w:eastAsia="Calibri" w:hAnsi="Times New Roman" w:cs="Times New Roman"/>
          <w:color w:val="000000"/>
          <w:sz w:val="24"/>
          <w:szCs w:val="24"/>
        </w:rPr>
        <w:t xml:space="preserve">земането на информирани решения. </w:t>
      </w:r>
      <w:r w:rsidRPr="007A0407">
        <w:rPr>
          <w:rFonts w:ascii="Times New Roman" w:eastAsia="Calibri" w:hAnsi="Times New Roman" w:cs="Times New Roman"/>
          <w:color w:val="000000"/>
          <w:sz w:val="24"/>
          <w:szCs w:val="24"/>
        </w:rPr>
        <w:t>Комисията предлага да бъдат въведени задължително единни етикети за хранителните качества на продуктите върху предната</w:t>
      </w:r>
      <w:r w:rsidR="00A16D0C">
        <w:rPr>
          <w:rFonts w:ascii="Times New Roman" w:eastAsia="Calibri" w:hAnsi="Times New Roman" w:cs="Times New Roman"/>
          <w:color w:val="000000"/>
          <w:sz w:val="24"/>
          <w:szCs w:val="24"/>
        </w:rPr>
        <w:t xml:space="preserve"> част на опаковките, както и за </w:t>
      </w:r>
      <w:r w:rsidR="00A16D0C" w:rsidRPr="00A16D0C">
        <w:rPr>
          <w:rFonts w:ascii="Times New Roman" w:eastAsia="Calibri" w:hAnsi="Times New Roman" w:cs="Times New Roman"/>
          <w:color w:val="000000"/>
          <w:sz w:val="24"/>
          <w:szCs w:val="24"/>
        </w:rPr>
        <w:t>мерки срещу прекаленото потребление на месо и за регламентиране на максималните нива на захар, сол и мазнини в някои преработени храни.</w:t>
      </w:r>
    </w:p>
    <w:p w:rsidR="00277E1C" w:rsidRPr="00F1700C" w:rsidRDefault="00393C68" w:rsidP="007A0407">
      <w:pPr>
        <w:spacing w:after="0" w:line="276" w:lineRule="auto"/>
        <w:jc w:val="both"/>
        <w:rPr>
          <w:rFonts w:ascii="Times New Roman" w:eastAsia="Calibri" w:hAnsi="Times New Roman" w:cs="Times New Roman"/>
          <w:color w:val="000000"/>
          <w:sz w:val="24"/>
          <w:szCs w:val="24"/>
          <w:u w:val="single"/>
        </w:rPr>
      </w:pPr>
      <w:hyperlink r:id="rId32" w:history="1">
        <w:r w:rsidR="007A0407" w:rsidRPr="00F1700C">
          <w:rPr>
            <w:rFonts w:ascii="Times New Roman" w:eastAsia="Calibri" w:hAnsi="Times New Roman" w:cs="Times New Roman"/>
            <w:color w:val="000000"/>
            <w:sz w:val="24"/>
            <w:szCs w:val="24"/>
            <w:u w:val="single"/>
          </w:rPr>
          <w:t>https://www.europarl.europa.eu/news/bg/headlines/society/20200519STO79425/ot-fermata-do-trapezata-strateghiiata-na-es-za-ustoychivi-khranitelni-verighi</w:t>
        </w:r>
      </w:hyperlink>
    </w:p>
    <w:p w:rsidR="00277E1C" w:rsidRPr="00277E1C" w:rsidRDefault="00277E1C" w:rsidP="007A0407">
      <w:pPr>
        <w:spacing w:after="0" w:line="276" w:lineRule="auto"/>
        <w:jc w:val="both"/>
        <w:rPr>
          <w:rFonts w:ascii="Times New Roman" w:eastAsia="Calibri" w:hAnsi="Times New Roman" w:cs="Times New Roman"/>
          <w:color w:val="4472C4" w:themeColor="accent5"/>
          <w:sz w:val="24"/>
          <w:szCs w:val="24"/>
        </w:rPr>
      </w:pPr>
      <w:r w:rsidRPr="00277E1C">
        <w:rPr>
          <w:rFonts w:ascii="Times New Roman" w:eastAsia="Calibri" w:hAnsi="Times New Roman" w:cs="Times New Roman"/>
          <w:color w:val="4472C4" w:themeColor="accent5"/>
          <w:sz w:val="24"/>
          <w:szCs w:val="24"/>
        </w:rPr>
        <w:t xml:space="preserve">През октомври 2021 г. Европейският Парламент </w:t>
      </w:r>
      <w:r>
        <w:rPr>
          <w:rFonts w:ascii="Times New Roman" w:hAnsi="Times New Roman" w:cs="Times New Roman"/>
          <w:color w:val="4472C4" w:themeColor="accent5"/>
          <w:sz w:val="24"/>
          <w:szCs w:val="24"/>
          <w:shd w:val="clear" w:color="auto" w:fill="FFFFFF"/>
        </w:rPr>
        <w:t>подкрепя</w:t>
      </w:r>
      <w:r w:rsidRPr="00277E1C">
        <w:rPr>
          <w:rFonts w:ascii="Times New Roman" w:hAnsi="Times New Roman" w:cs="Times New Roman"/>
          <w:color w:val="4472C4" w:themeColor="accent5"/>
          <w:sz w:val="24"/>
          <w:szCs w:val="24"/>
          <w:shd w:val="clear" w:color="auto" w:fill="FFFFFF"/>
        </w:rPr>
        <w:t> </w:t>
      </w:r>
      <w:hyperlink r:id="rId33" w:tgtFrame="_blank" w:history="1">
        <w:r w:rsidRPr="00277E1C">
          <w:rPr>
            <w:rStyle w:val="Hyperlink"/>
            <w:rFonts w:ascii="Times New Roman" w:hAnsi="Times New Roman" w:cs="Times New Roman"/>
            <w:color w:val="4472C4" w:themeColor="accent5"/>
            <w:sz w:val="24"/>
            <w:szCs w:val="24"/>
            <w:u w:val="none"/>
            <w:shd w:val="clear" w:color="auto" w:fill="FFFFFF"/>
          </w:rPr>
          <w:t>стратегията „От фермата до трапезата“</w:t>
        </w:r>
      </w:hyperlink>
      <w:r w:rsidRPr="00277E1C">
        <w:rPr>
          <w:rFonts w:ascii="Times New Roman" w:hAnsi="Times New Roman" w:cs="Times New Roman"/>
          <w:color w:val="4472C4" w:themeColor="accent5"/>
          <w:sz w:val="24"/>
          <w:szCs w:val="24"/>
          <w:shd w:val="clear" w:color="auto" w:fill="FFFFFF"/>
        </w:rPr>
        <w:t xml:space="preserve"> , но </w:t>
      </w:r>
      <w:r>
        <w:rPr>
          <w:rFonts w:ascii="Times New Roman" w:hAnsi="Times New Roman" w:cs="Times New Roman"/>
          <w:color w:val="4472C4" w:themeColor="accent5"/>
          <w:sz w:val="24"/>
          <w:szCs w:val="24"/>
          <w:shd w:val="clear" w:color="auto" w:fill="FFFFFF"/>
        </w:rPr>
        <w:t xml:space="preserve">прави </w:t>
      </w:r>
      <w:r w:rsidRPr="00277E1C">
        <w:rPr>
          <w:rFonts w:ascii="Times New Roman" w:hAnsi="Times New Roman" w:cs="Times New Roman"/>
          <w:color w:val="4472C4" w:themeColor="accent5"/>
          <w:sz w:val="24"/>
          <w:szCs w:val="24"/>
          <w:shd w:val="clear" w:color="auto" w:fill="FFFFFF"/>
        </w:rPr>
        <w:t>допълнителни препоръки, за да я направи п</w:t>
      </w:r>
      <w:r w:rsidR="00AE67D7">
        <w:rPr>
          <w:rFonts w:ascii="Times New Roman" w:hAnsi="Times New Roman" w:cs="Times New Roman"/>
          <w:color w:val="4472C4" w:themeColor="accent5"/>
          <w:sz w:val="24"/>
          <w:szCs w:val="24"/>
          <w:shd w:val="clear" w:color="auto" w:fill="FFFFFF"/>
        </w:rPr>
        <w:t xml:space="preserve">о-устойчива в дългосрочен план, както и </w:t>
      </w:r>
      <w:r w:rsidRPr="00277E1C">
        <w:rPr>
          <w:rFonts w:ascii="Times New Roman" w:hAnsi="Times New Roman" w:cs="Times New Roman"/>
          <w:color w:val="4472C4" w:themeColor="accent5"/>
          <w:sz w:val="24"/>
          <w:szCs w:val="24"/>
          <w:shd w:val="clear" w:color="auto" w:fill="FFFFFF"/>
        </w:rPr>
        <w:t xml:space="preserve"> че </w:t>
      </w:r>
      <w:hyperlink r:id="rId34" w:tgtFrame="_blank" w:history="1">
        <w:r w:rsidRPr="00277E1C">
          <w:rPr>
            <w:rStyle w:val="Hyperlink"/>
            <w:rFonts w:ascii="Times New Roman" w:hAnsi="Times New Roman" w:cs="Times New Roman"/>
            <w:color w:val="4472C4" w:themeColor="accent5"/>
            <w:sz w:val="24"/>
            <w:szCs w:val="24"/>
            <w:u w:val="none"/>
            <w:shd w:val="clear" w:color="auto" w:fill="FFFFFF"/>
          </w:rPr>
          <w:t>плановете за зелен преход</w:t>
        </w:r>
      </w:hyperlink>
      <w:r w:rsidRPr="00277E1C">
        <w:rPr>
          <w:rFonts w:ascii="Times New Roman" w:hAnsi="Times New Roman" w:cs="Times New Roman"/>
          <w:color w:val="4472C4" w:themeColor="accent5"/>
          <w:sz w:val="24"/>
          <w:szCs w:val="24"/>
          <w:shd w:val="clear" w:color="auto" w:fill="FFFFFF"/>
        </w:rPr>
        <w:t> трябва да заложат амбициозни цели за емисиите от селското стопанство и свързаното с него ползване на земит</w:t>
      </w:r>
      <w:r>
        <w:rPr>
          <w:rFonts w:ascii="Times New Roman" w:hAnsi="Times New Roman" w:cs="Times New Roman"/>
          <w:color w:val="4472C4" w:themeColor="accent5"/>
          <w:sz w:val="24"/>
          <w:szCs w:val="24"/>
          <w:shd w:val="clear" w:color="auto" w:fill="FFFFFF"/>
        </w:rPr>
        <w:t>е.</w:t>
      </w:r>
    </w:p>
    <w:p w:rsidR="007A0407" w:rsidRPr="007A0407" w:rsidRDefault="007409AF" w:rsidP="007A0407">
      <w:pPr>
        <w:spacing w:after="0" w:line="276" w:lineRule="auto"/>
        <w:jc w:val="both"/>
        <w:rPr>
          <w:rFonts w:ascii="Times New Roman" w:eastAsia="Times New Roman" w:hAnsi="Times New Roman" w:cs="Times New Roman"/>
          <w:color w:val="000000"/>
          <w:sz w:val="24"/>
          <w:szCs w:val="24"/>
        </w:rPr>
      </w:pPr>
      <w:r w:rsidRPr="007409AF">
        <w:rPr>
          <w:rFonts w:ascii="Times New Roman" w:eastAsia="Times New Roman" w:hAnsi="Times New Roman" w:cs="Times New Roman"/>
          <w:color w:val="FF0000"/>
          <w:sz w:val="24"/>
          <w:szCs w:val="24"/>
        </w:rPr>
        <w:t xml:space="preserve"> </w:t>
      </w:r>
      <w:r w:rsidR="007A0407" w:rsidRPr="007409AF">
        <w:rPr>
          <w:rFonts w:ascii="Times New Roman" w:eastAsia="Times New Roman" w:hAnsi="Times New Roman" w:cs="Times New Roman"/>
          <w:color w:val="FF0000"/>
          <w:sz w:val="24"/>
          <w:szCs w:val="24"/>
        </w:rPr>
        <w:t xml:space="preserve">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19"/>
        </w:numPr>
        <w:shd w:val="clear" w:color="auto" w:fill="DAF0F3"/>
        <w:tabs>
          <w:tab w:val="left" w:pos="426"/>
        </w:tabs>
        <w:spacing w:after="0" w:line="276" w:lineRule="auto"/>
        <w:ind w:hanging="720"/>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Европейски алианс за акумулаторни батерии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От 2006 г. насам батериите и отпадъците от батерии се регулират на равнището на ЕС съгласно Директивата за батериите (2006/66/ЕО) . Модернизирането на рамката е необходимо поради променените социално-икономически условия, технологичното развитие, пазарите и приложенията на електрически батерии.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Търсенето на батерии нараства бързо и се очаква да нарасне 14 пъти до 2030 г. Това се дължи най-вече на електрическия транспорт, който превръща този пазар във все по-стратегически пазар на световно равнище. Такова експоненциално глобално нарастване на търсенето на батерии ще доведе до еквивалентно нарастване на търсенето на суровини, а оттам и до необходимостта от свеждане до минимум на въздействието им върху околната среда.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Модернизацията на законодателството в областта на батериите разглежда социалните, икономическите и екологичните въпроси, свързани с всички видове електрически батерии. </w:t>
      </w:r>
      <w:hyperlink r:id="rId35" w:history="1">
        <w:r w:rsidR="0020735D" w:rsidRPr="00B627CC">
          <w:rPr>
            <w:rStyle w:val="Hyperlink"/>
            <w:rFonts w:ascii="Times New Roman" w:eastAsia="Calibri" w:hAnsi="Times New Roman" w:cs="Times New Roman"/>
            <w:sz w:val="24"/>
            <w:szCs w:val="24"/>
          </w:rPr>
          <w:t>https://ec.europa.eu/commission/presscorner/detail/en/ip_20_420</w:t>
        </w:r>
      </w:hyperlink>
      <w:r w:rsidR="0020735D">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и се основава на следните основни принципи:</w:t>
      </w:r>
    </w:p>
    <w:p w:rsidR="007A0407" w:rsidRPr="007A0407" w:rsidRDefault="007A0407" w:rsidP="007A0407">
      <w:pPr>
        <w:numPr>
          <w:ilvl w:val="0"/>
          <w:numId w:val="2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Батериите, пускани на пазара на ЕС, следва да придобият устойчиво развитие и да станат високоефективни и безопасни през целия си жизнен цикъл</w:t>
      </w:r>
      <w:r w:rsidRPr="007A0407">
        <w:rPr>
          <w:rFonts w:ascii="Times New Roman" w:eastAsia="Calibri" w:hAnsi="Times New Roman" w:cs="Times New Roman"/>
          <w:color w:val="000000"/>
          <w:sz w:val="24"/>
          <w:szCs w:val="24"/>
        </w:rPr>
        <w:t xml:space="preserve"> . Това означава батерии, произвеждани с възможно най-ниско въздействие върху околната среда, като се използват материали, получени при пълно зачитане на правата на човека, както и на социалните и екологичните стандарти. Батериите трябва да бъдат дълготрайни и безопасни, а в края на експлоатационния им срок тяхното предназначение следва да бъде променено, те да бъдат обект на вторично производство или да бъдат рециклирани, връщайки ценни материали в икономиката.</w:t>
      </w:r>
    </w:p>
    <w:p w:rsidR="007A0407" w:rsidRPr="007A0407" w:rsidRDefault="007A0407" w:rsidP="007A0407">
      <w:pPr>
        <w:numPr>
          <w:ilvl w:val="0"/>
          <w:numId w:val="2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 xml:space="preserve">Насърчаване на конкурентоспособна устойчивост в Европа </w:t>
      </w:r>
      <w:r w:rsidRPr="007A0407">
        <w:rPr>
          <w:rFonts w:ascii="Times New Roman" w:eastAsia="Calibri" w:hAnsi="Times New Roman" w:cs="Times New Roman"/>
          <w:color w:val="000000"/>
          <w:sz w:val="24"/>
          <w:szCs w:val="24"/>
        </w:rPr>
        <w:t>Комисията предлага задължителни изисквания за всички електрически батерии (т.е. промишлени, автомобилни, за електрически превозни средства и преносими), пускани на пазара на ЕС. Изисквания като използване на отговорно набавяни материали с ограничено използване на опасни вещества, минимално изисквано съдържание на рециклирани материали, въглероден отпечатък, показатели, дълготрайност и етикетиране, както и постигането на целевите стойности за събиране и рециклиране са от основно значение за развиването на по-устойчив и конкурентоспособен отрасъл на батериите в цяла Европа и по света.</w:t>
      </w:r>
    </w:p>
    <w:p w:rsidR="007A0407" w:rsidRPr="007A0407" w:rsidRDefault="007A0407" w:rsidP="007A0407">
      <w:pPr>
        <w:numPr>
          <w:ilvl w:val="0"/>
          <w:numId w:val="2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Осигуряването на правна сигурност</w:t>
      </w:r>
      <w:r w:rsidRPr="007A0407">
        <w:rPr>
          <w:rFonts w:ascii="Times New Roman" w:eastAsia="Calibri" w:hAnsi="Times New Roman" w:cs="Times New Roman"/>
          <w:color w:val="000000"/>
          <w:sz w:val="24"/>
          <w:szCs w:val="24"/>
        </w:rPr>
        <w:t xml:space="preserve"> ще спомогне допълнително за отключването на широкомащабни инвестиции и за увеличаване на производствените мощности за иновативни и устойчиво развивани акумулаторни батерии в Европа и извън нея с цел да се отговори на бързо разрастващия се пазар.</w:t>
      </w:r>
    </w:p>
    <w:p w:rsidR="007A0407" w:rsidRPr="007A0407" w:rsidRDefault="007A0407" w:rsidP="007A0407">
      <w:pPr>
        <w:numPr>
          <w:ilvl w:val="0"/>
          <w:numId w:val="20"/>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Свеждане до минимум на въздействието на батериите върху околната среда </w:t>
      </w:r>
      <w:r w:rsidRPr="007A0407">
        <w:rPr>
          <w:rFonts w:ascii="Times New Roman" w:eastAsia="Calibri" w:hAnsi="Times New Roman" w:cs="Times New Roman"/>
          <w:color w:val="000000"/>
          <w:sz w:val="24"/>
          <w:szCs w:val="24"/>
        </w:rPr>
        <w:t>Мерките, които Комисията предлага, ще улеснят постигането на неутралност по отношение на климата до 2050 г. По-добрите и по-ефективни акумулаторни батерии ще имат ключов принос за електрификацията на автомобилния транспорт, което значително ще намали емисиите му, ще увеличи навлизането на електрически превозни средства и ще улесни нарастването на дела на възобновяемите източници в енергийния микс на ЕС.</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Комисията предлага да се установят нови изисквания и цели относно съдържанието на рециклирани материали и събирането, обработването и рециклирането на батериите в края на експлоатационния им срок.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 да се подобри значително събирането и рециклирането на преносими батерии, настоящата степен на събиране от 45 % следва да нарасне на 65 % през 2025 г. и на 70 % през 2030 г., така че материалите от батериите, които използваме у дома, да не бъдат изгубени за икономиката. Другите батерии — промишлени, автомобилни или такива за електрически превозни средства — трябва да се събират изцяло. Всички събрани батерии трябва да бъдат рециклирани и да се постигнат високи нива на повторно извличане, по-специално на ценни материали като кобалт, литий, никел и олово.</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Предложеният регламент определя рамка, която ще улесни промяната на предназначението на акумулаторните батерии от електрически превозни средства, така че те да могат да имат втори експлоатационен срок, например в системи за акумулиране на енергия със стационарни батерии, или да бъдат интегрирани в електроенергийните мрежи като енергийни ресурси.</w:t>
      </w:r>
    </w:p>
    <w:p w:rsidR="00192A7E" w:rsidRDefault="007A0407" w:rsidP="007A0407">
      <w:pPr>
        <w:spacing w:after="0" w:line="276" w:lineRule="auto"/>
        <w:jc w:val="both"/>
        <w:rPr>
          <w:rFonts w:ascii="Times New Roman" w:eastAsia="Calibri" w:hAnsi="Times New Roman" w:cs="Times New Roman"/>
          <w:color w:val="0070C0"/>
          <w:sz w:val="24"/>
          <w:szCs w:val="24"/>
        </w:rPr>
      </w:pPr>
      <w:r w:rsidRPr="007A0407">
        <w:rPr>
          <w:rFonts w:ascii="Times New Roman" w:eastAsia="Calibri" w:hAnsi="Times New Roman" w:cs="Times New Roman"/>
          <w:color w:val="000000"/>
          <w:sz w:val="24"/>
          <w:szCs w:val="24"/>
        </w:rPr>
        <w:t>Използването на нови информационни технологии , по-специално паспортът на батерията    и взаимосвързаното пространство за данни, ще бъде от ключово значение за безопасния обмен на данни, повишаването на прозрачността на пазара на батерии и проследимостта на големите батерии през целия им жизнен цикъл. То ще даде възможност на производителите да разработват иновативни продукти и услуги като част от двойния екологичен и цифров преход.</w:t>
      </w:r>
      <w:r w:rsidRPr="007A0407">
        <w:rPr>
          <w:rFonts w:ascii="Times New Roman" w:eastAsia="Calibri" w:hAnsi="Times New Roman" w:cs="Times New Roman"/>
          <w:color w:val="000000"/>
          <w:sz w:val="24"/>
          <w:szCs w:val="24"/>
        </w:rPr>
        <w:cr/>
      </w:r>
      <w:r w:rsidR="00192A7E" w:rsidRPr="003613B2">
        <w:rPr>
          <w:rFonts w:ascii="Times New Roman" w:eastAsia="Calibri" w:hAnsi="Times New Roman" w:cs="Times New Roman"/>
          <w:color w:val="0070C0"/>
          <w:sz w:val="24"/>
          <w:szCs w:val="24"/>
        </w:rPr>
        <w:t xml:space="preserve">През февруари 2022 г. е проведена поредна среща на високо равнище на Европейския алианс за акумулаторните батерии. По време на срещата е открита </w:t>
      </w:r>
      <w:r w:rsidR="00192A7E" w:rsidRPr="003613B2">
        <w:rPr>
          <w:rStyle w:val="Strong"/>
          <w:rFonts w:ascii="Times New Roman" w:hAnsi="Times New Roman" w:cs="Times New Roman"/>
          <w:b w:val="0"/>
          <w:color w:val="0070C0"/>
          <w:sz w:val="24"/>
          <w:szCs w:val="24"/>
        </w:rPr>
        <w:t>Европейската академия за акумулаторните батерии.</w:t>
      </w:r>
      <w:r w:rsidR="00192A7E" w:rsidRPr="003613B2">
        <w:rPr>
          <w:rFonts w:ascii="Times New Roman" w:hAnsi="Times New Roman" w:cs="Times New Roman"/>
          <w:color w:val="0070C0"/>
          <w:sz w:val="24"/>
          <w:szCs w:val="24"/>
        </w:rPr>
        <w:t xml:space="preserve"> </w:t>
      </w:r>
      <w:r w:rsidR="00192A7E" w:rsidRPr="003613B2">
        <w:rPr>
          <w:rFonts w:ascii="Times New Roman" w:eastAsia="Calibri" w:hAnsi="Times New Roman" w:cs="Times New Roman"/>
          <w:color w:val="0070C0"/>
          <w:sz w:val="24"/>
          <w:szCs w:val="24"/>
        </w:rPr>
        <w:t>С финансовата подкрепа по линия на REACT-EU Европейската академия за акумулаторните батерии ще има решаваща роля за по-бързия напредък на Европейския алианс за акумулаторните батерии. Тя е първият конкретен резултат от Европейския пакт за умения. Това ще помогне на Европа да отговори на нуждата от 800 000 работещи в сектора на акумулаторните батерии, които трябва да се преквалифицират или да повишат квалификацията си до 2025 г.</w:t>
      </w:r>
      <w:r w:rsidR="000A4BBF">
        <w:rPr>
          <w:rFonts w:ascii="Times New Roman" w:eastAsia="Calibri" w:hAnsi="Times New Roman" w:cs="Times New Roman"/>
          <w:color w:val="0070C0"/>
          <w:sz w:val="24"/>
          <w:szCs w:val="24"/>
        </w:rPr>
        <w:t xml:space="preserve"> </w:t>
      </w:r>
    </w:p>
    <w:p w:rsidR="000A4BBF" w:rsidRPr="007A0407" w:rsidRDefault="000A4BBF"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19"/>
        </w:numPr>
        <w:shd w:val="clear" w:color="auto" w:fill="DAF0F3"/>
        <w:tabs>
          <w:tab w:val="left" w:pos="426"/>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Нов европейски БАУХАУС</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Новият европейски „</w:t>
      </w:r>
      <w:proofErr w:type="spellStart"/>
      <w:r w:rsidRPr="007A0407">
        <w:rPr>
          <w:rFonts w:ascii="Times New Roman" w:eastAsia="Calibri" w:hAnsi="Times New Roman" w:cs="Times New Roman"/>
          <w:color w:val="000000"/>
          <w:sz w:val="24"/>
          <w:szCs w:val="24"/>
        </w:rPr>
        <w:t>Баухаус</w:t>
      </w:r>
      <w:proofErr w:type="spellEnd"/>
      <w:r w:rsidRPr="007A0407">
        <w:rPr>
          <w:rFonts w:ascii="Times New Roman" w:eastAsia="Calibri" w:hAnsi="Times New Roman" w:cs="Times New Roman"/>
          <w:color w:val="000000"/>
          <w:sz w:val="24"/>
          <w:szCs w:val="24"/>
        </w:rPr>
        <w:t>“ е екологичен, икономически и културен проект, насочен към съчетаване на дизайн, устойчивост, достъпност, финансова достъпност и инвестиции, за да се подпомогне осъществяването на Европейския зелен пакт.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Новият европейски „</w:t>
      </w:r>
      <w:proofErr w:type="spellStart"/>
      <w:r w:rsidRPr="007A0407">
        <w:rPr>
          <w:rFonts w:ascii="Times New Roman" w:eastAsia="Calibri" w:hAnsi="Times New Roman" w:cs="Times New Roman"/>
          <w:color w:val="000000"/>
          <w:sz w:val="24"/>
          <w:szCs w:val="24"/>
        </w:rPr>
        <w:t>Баухаус</w:t>
      </w:r>
      <w:proofErr w:type="spellEnd"/>
      <w:r w:rsidRPr="007A0407">
        <w:rPr>
          <w:rFonts w:ascii="Times New Roman" w:eastAsia="Calibri" w:hAnsi="Times New Roman" w:cs="Times New Roman"/>
          <w:color w:val="000000"/>
          <w:sz w:val="24"/>
          <w:szCs w:val="24"/>
        </w:rPr>
        <w:t xml:space="preserve">“ е творческа инициатива, която разчупва границите между науката и технологиите, изкуството, културата и социалното приобщаване, за да даде възможност за намиране на решения на ежедневните проблеми.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На специалния уебсайт, който вече е стартиран, хората на изкуството, дизайнерите, инженерите, учените, предприемачите, архитектите, студентите и всички заинтересовани лица могат да споделят примери за вдъхновяващи постижения за новия европейски „</w:t>
      </w:r>
      <w:proofErr w:type="spellStart"/>
      <w:r w:rsidRPr="007A0407">
        <w:rPr>
          <w:rFonts w:ascii="Times New Roman" w:eastAsia="Calibri" w:hAnsi="Times New Roman" w:cs="Times New Roman"/>
          <w:color w:val="000000"/>
          <w:sz w:val="24"/>
          <w:szCs w:val="24"/>
        </w:rPr>
        <w:t>Баухаус</w:t>
      </w:r>
      <w:proofErr w:type="spellEnd"/>
      <w:r w:rsidRPr="007A0407">
        <w:rPr>
          <w:rFonts w:ascii="Times New Roman" w:eastAsia="Calibri" w:hAnsi="Times New Roman" w:cs="Times New Roman"/>
          <w:color w:val="000000"/>
          <w:sz w:val="24"/>
          <w:szCs w:val="24"/>
        </w:rPr>
        <w:t>“, идеи за начина, по който той следва да бъде оформен и да се развива, както и своите тревоги и предизвикателства.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Това е началото на иновативен процес на съвместно проектиране. Организациите, които желаят да положат повече усилия за участието си в този процес, могат да станат „Партньори на новия европейски </w:t>
      </w:r>
      <w:proofErr w:type="spellStart"/>
      <w:r w:rsidRPr="007A0407">
        <w:rPr>
          <w:rFonts w:ascii="Times New Roman" w:eastAsia="Calibri" w:hAnsi="Times New Roman" w:cs="Times New Roman"/>
          <w:color w:val="000000"/>
          <w:sz w:val="24"/>
          <w:szCs w:val="24"/>
        </w:rPr>
        <w:t>Баухаус</w:t>
      </w:r>
      <w:proofErr w:type="spellEnd"/>
      <w:r w:rsidRPr="007A0407">
        <w:rPr>
          <w:rFonts w:ascii="Times New Roman" w:eastAsia="Calibri" w:hAnsi="Times New Roman" w:cs="Times New Roman"/>
          <w:color w:val="000000"/>
          <w:sz w:val="24"/>
          <w:szCs w:val="24"/>
        </w:rPr>
        <w:t>“, като отговорят на поканата на уебсайта.</w:t>
      </w:r>
    </w:p>
    <w:p w:rsidR="007F5BD1" w:rsidRDefault="007A0407" w:rsidP="007F5BD1">
      <w:pPr>
        <w:spacing w:after="0" w:line="276" w:lineRule="auto"/>
        <w:jc w:val="both"/>
        <w:rPr>
          <w:rFonts w:ascii="Times New Roman" w:hAnsi="Times New Roman"/>
          <w:color w:val="000000"/>
          <w:sz w:val="24"/>
          <w:szCs w:val="24"/>
        </w:rPr>
      </w:pPr>
      <w:r w:rsidRPr="007A0407">
        <w:rPr>
          <w:rFonts w:ascii="Times New Roman" w:eastAsia="Calibri" w:hAnsi="Times New Roman" w:cs="Times New Roman"/>
          <w:color w:val="000000"/>
          <w:sz w:val="24"/>
          <w:szCs w:val="24"/>
        </w:rPr>
        <w:t>През следващите месеци Комисията ще присъди награди на съществуващи примери, които са израз на интеграцията на ключовите ценности на инициативата и които могат да вдъхновят дискусиите и трансформацията на местата, където живеем.</w:t>
      </w:r>
      <w:r w:rsidR="007F5BD1" w:rsidRPr="007F5BD1">
        <w:t xml:space="preserve"> </w:t>
      </w:r>
      <w:r w:rsidR="007F5BD1" w:rsidRPr="007F5BD1">
        <w:rPr>
          <w:rFonts w:ascii="Times New Roman" w:eastAsia="Calibri" w:hAnsi="Times New Roman" w:cs="Times New Roman"/>
          <w:color w:val="000000"/>
          <w:sz w:val="24"/>
          <w:szCs w:val="24"/>
        </w:rPr>
        <w:t>През септември 2021 г. инициативата премина от съвместно проектиране към изпълнение със съобщение на Комисията, в което се определят политическите действия и финансирането, за да се п</w:t>
      </w:r>
      <w:r w:rsidR="007F5BD1">
        <w:rPr>
          <w:rFonts w:ascii="Times New Roman" w:eastAsia="Calibri" w:hAnsi="Times New Roman" w:cs="Times New Roman"/>
          <w:color w:val="000000"/>
          <w:sz w:val="24"/>
          <w:szCs w:val="24"/>
        </w:rPr>
        <w:t>ревърне инициативата в реалност, чрез</w:t>
      </w:r>
      <w:r w:rsidRPr="007F5BD1">
        <w:rPr>
          <w:rFonts w:ascii="Times New Roman" w:hAnsi="Times New Roman"/>
          <w:color w:val="000000"/>
          <w:sz w:val="24"/>
          <w:szCs w:val="24"/>
        </w:rPr>
        <w:t xml:space="preserve"> пет пилотни проекта за съвместно проектиране на нови устойчиви и приобщаващи решения със стил. </w:t>
      </w:r>
    </w:p>
    <w:p w:rsidR="007F5BD1" w:rsidRPr="003171CA" w:rsidRDefault="007F5BD1" w:rsidP="007F5BD1">
      <w:pPr>
        <w:spacing w:after="0" w:line="276" w:lineRule="auto"/>
        <w:jc w:val="both"/>
        <w:rPr>
          <w:rFonts w:ascii="Times New Roman" w:hAnsi="Times New Roman"/>
          <w:color w:val="0070C0"/>
          <w:sz w:val="24"/>
          <w:szCs w:val="24"/>
        </w:rPr>
      </w:pPr>
      <w:r w:rsidRPr="003171CA">
        <w:rPr>
          <w:rFonts w:ascii="Times New Roman" w:hAnsi="Times New Roman"/>
          <w:color w:val="0070C0"/>
          <w:sz w:val="24"/>
          <w:szCs w:val="24"/>
        </w:rPr>
        <w:t xml:space="preserve">В началото на януари 2022 започва приемането на кандидатури за наградите „Нов европейски </w:t>
      </w:r>
      <w:proofErr w:type="spellStart"/>
      <w:r w:rsidRPr="003171CA">
        <w:rPr>
          <w:rFonts w:ascii="Times New Roman" w:hAnsi="Times New Roman"/>
          <w:color w:val="0070C0"/>
          <w:sz w:val="24"/>
          <w:szCs w:val="24"/>
        </w:rPr>
        <w:t>Баухаус</w:t>
      </w:r>
      <w:proofErr w:type="spellEnd"/>
      <w:r w:rsidRPr="003171CA">
        <w:rPr>
          <w:rFonts w:ascii="Times New Roman" w:hAnsi="Times New Roman"/>
          <w:color w:val="0070C0"/>
          <w:sz w:val="24"/>
          <w:szCs w:val="24"/>
        </w:rPr>
        <w:t xml:space="preserve">“ за 2022 г. След успеха на първoто издание, за което бяха получени над 2000 кандидатури, през 2022 г. ще бъдат наградени нови вдъхновяващи примери за трансформациите, които инициативата иска да постигне в нашето ежедневие, жизнени пространства и преживявания. Както и при първото издание, с наградите „Нов европейски </w:t>
      </w:r>
      <w:proofErr w:type="spellStart"/>
      <w:r w:rsidRPr="003171CA">
        <w:rPr>
          <w:rFonts w:ascii="Times New Roman" w:hAnsi="Times New Roman"/>
          <w:color w:val="0070C0"/>
          <w:sz w:val="24"/>
          <w:szCs w:val="24"/>
        </w:rPr>
        <w:t>Баухаус</w:t>
      </w:r>
      <w:proofErr w:type="spellEnd"/>
      <w:r w:rsidRPr="003171CA">
        <w:rPr>
          <w:rFonts w:ascii="Times New Roman" w:hAnsi="Times New Roman"/>
          <w:color w:val="0070C0"/>
          <w:sz w:val="24"/>
          <w:szCs w:val="24"/>
        </w:rPr>
        <w:t>“ за 2022 г. ще бъдат отличени идеи на млади таланти, както и съществуващи проекти за устойчивост, приобщаване и естетика, с които Европейският зелен пакт ще достигне до хората и местните общности.</w:t>
      </w:r>
      <w:r w:rsidRPr="003171CA">
        <w:rPr>
          <w:color w:val="0070C0"/>
        </w:rPr>
        <w:t xml:space="preserve"> </w:t>
      </w:r>
      <w:r w:rsidRPr="003171CA">
        <w:rPr>
          <w:rFonts w:ascii="Times New Roman" w:hAnsi="Times New Roman"/>
          <w:color w:val="0070C0"/>
          <w:sz w:val="24"/>
          <w:szCs w:val="24"/>
        </w:rPr>
        <w:t>Награди ще бъдат присъждани на проекти и идеи, които допринасят за красиви, устойчиви и приобщаващи места в четири категории:</w:t>
      </w:r>
    </w:p>
    <w:p w:rsidR="007F5BD1" w:rsidRPr="003171CA" w:rsidRDefault="007F5BD1" w:rsidP="007F5BD1">
      <w:pPr>
        <w:pStyle w:val="ListParagraph"/>
        <w:numPr>
          <w:ilvl w:val="0"/>
          <w:numId w:val="47"/>
        </w:numPr>
        <w:spacing w:after="0"/>
        <w:jc w:val="both"/>
        <w:rPr>
          <w:rFonts w:ascii="Times New Roman" w:hAnsi="Times New Roman"/>
          <w:color w:val="0070C0"/>
          <w:sz w:val="24"/>
          <w:szCs w:val="24"/>
        </w:rPr>
      </w:pPr>
      <w:r w:rsidRPr="003171CA">
        <w:rPr>
          <w:rFonts w:ascii="Times New Roman" w:hAnsi="Times New Roman"/>
          <w:color w:val="0070C0"/>
          <w:sz w:val="24"/>
          <w:szCs w:val="24"/>
        </w:rPr>
        <w:t>възстановяване на връзката с природата,</w:t>
      </w:r>
    </w:p>
    <w:p w:rsidR="007F5BD1" w:rsidRPr="003171CA" w:rsidRDefault="007F5BD1" w:rsidP="007F5BD1">
      <w:pPr>
        <w:pStyle w:val="ListParagraph"/>
        <w:numPr>
          <w:ilvl w:val="0"/>
          <w:numId w:val="47"/>
        </w:numPr>
        <w:spacing w:after="0"/>
        <w:jc w:val="both"/>
        <w:rPr>
          <w:rFonts w:ascii="Times New Roman" w:hAnsi="Times New Roman"/>
          <w:color w:val="0070C0"/>
          <w:sz w:val="24"/>
          <w:szCs w:val="24"/>
        </w:rPr>
      </w:pPr>
      <w:r w:rsidRPr="003171CA">
        <w:rPr>
          <w:rFonts w:ascii="Times New Roman" w:hAnsi="Times New Roman"/>
          <w:color w:val="0070C0"/>
          <w:sz w:val="24"/>
          <w:szCs w:val="24"/>
        </w:rPr>
        <w:t>възстановяване на усещането за принадлежност,</w:t>
      </w:r>
    </w:p>
    <w:p w:rsidR="007F5BD1" w:rsidRPr="003171CA" w:rsidRDefault="007F5BD1" w:rsidP="007F5BD1">
      <w:pPr>
        <w:pStyle w:val="ListParagraph"/>
        <w:numPr>
          <w:ilvl w:val="0"/>
          <w:numId w:val="47"/>
        </w:numPr>
        <w:spacing w:after="0"/>
        <w:jc w:val="both"/>
        <w:rPr>
          <w:rFonts w:ascii="Times New Roman" w:hAnsi="Times New Roman"/>
          <w:color w:val="0070C0"/>
          <w:sz w:val="24"/>
          <w:szCs w:val="24"/>
        </w:rPr>
      </w:pPr>
      <w:r w:rsidRPr="003171CA">
        <w:rPr>
          <w:rFonts w:ascii="Times New Roman" w:hAnsi="Times New Roman"/>
          <w:color w:val="0070C0"/>
          <w:sz w:val="24"/>
          <w:szCs w:val="24"/>
        </w:rPr>
        <w:t>отдаване на приоритетно значение на местата и хората, които имат най-голяма нужда от това,</w:t>
      </w:r>
    </w:p>
    <w:p w:rsidR="007F5BD1" w:rsidRPr="003171CA" w:rsidRDefault="007F5BD1" w:rsidP="007F5BD1">
      <w:pPr>
        <w:pStyle w:val="ListParagraph"/>
        <w:numPr>
          <w:ilvl w:val="0"/>
          <w:numId w:val="47"/>
        </w:numPr>
        <w:spacing w:after="0"/>
        <w:jc w:val="both"/>
        <w:rPr>
          <w:rFonts w:ascii="Times New Roman" w:hAnsi="Times New Roman"/>
          <w:color w:val="0070C0"/>
          <w:sz w:val="24"/>
          <w:szCs w:val="24"/>
        </w:rPr>
      </w:pPr>
      <w:r w:rsidRPr="003171CA">
        <w:rPr>
          <w:rFonts w:ascii="Times New Roman" w:hAnsi="Times New Roman"/>
          <w:color w:val="0070C0"/>
          <w:sz w:val="24"/>
          <w:szCs w:val="24"/>
        </w:rPr>
        <w:t>насърчаване на интегрираното, дългосрочно и обхващащо целия жизнен цикъл мислене в промишлената екосистема</w:t>
      </w:r>
    </w:p>
    <w:p w:rsidR="007A0407" w:rsidRDefault="007A0407" w:rsidP="007F5BD1">
      <w:pPr>
        <w:spacing w:after="0" w:line="276" w:lineRule="auto"/>
        <w:jc w:val="both"/>
        <w:rPr>
          <w:rFonts w:ascii="Times New Roman" w:hAnsi="Times New Roman"/>
          <w:color w:val="000000"/>
          <w:sz w:val="24"/>
          <w:szCs w:val="24"/>
        </w:rPr>
      </w:pPr>
      <w:r w:rsidRPr="007F5BD1">
        <w:rPr>
          <w:rFonts w:ascii="Times New Roman" w:hAnsi="Times New Roman"/>
          <w:color w:val="000000"/>
          <w:sz w:val="24"/>
          <w:szCs w:val="24"/>
        </w:rPr>
        <w:t xml:space="preserve">Целта на третия етап — разпространението, </w:t>
      </w:r>
      <w:r w:rsidR="007F5BD1">
        <w:rPr>
          <w:rFonts w:ascii="Times New Roman" w:hAnsi="Times New Roman"/>
          <w:color w:val="000000"/>
          <w:sz w:val="24"/>
          <w:szCs w:val="24"/>
        </w:rPr>
        <w:t xml:space="preserve">е </w:t>
      </w:r>
      <w:r w:rsidR="007F5BD1" w:rsidRPr="007F5BD1">
        <w:rPr>
          <w:rFonts w:ascii="Times New Roman" w:hAnsi="Times New Roman"/>
          <w:color w:val="000000"/>
          <w:sz w:val="24"/>
          <w:szCs w:val="24"/>
        </w:rPr>
        <w:t xml:space="preserve">да се разпространят </w:t>
      </w:r>
      <w:r w:rsidRPr="007F5BD1">
        <w:rPr>
          <w:rFonts w:ascii="Times New Roman" w:hAnsi="Times New Roman"/>
          <w:color w:val="000000"/>
          <w:sz w:val="24"/>
          <w:szCs w:val="24"/>
        </w:rPr>
        <w:t>идеите и концепциите, определящи новия европейски „</w:t>
      </w:r>
      <w:proofErr w:type="spellStart"/>
      <w:r w:rsidRPr="007F5BD1">
        <w:rPr>
          <w:rFonts w:ascii="Times New Roman" w:hAnsi="Times New Roman"/>
          <w:color w:val="000000"/>
          <w:sz w:val="24"/>
          <w:szCs w:val="24"/>
        </w:rPr>
        <w:t>Баухаус</w:t>
      </w:r>
      <w:proofErr w:type="spellEnd"/>
      <w:r w:rsidRPr="007F5BD1">
        <w:rPr>
          <w:rFonts w:ascii="Times New Roman" w:hAnsi="Times New Roman"/>
          <w:color w:val="000000"/>
          <w:sz w:val="24"/>
          <w:szCs w:val="24"/>
        </w:rPr>
        <w:t>“, чрез нови проекти, изграждане на мрежи и споделяне на знания в рамките на Европа и извън нея.</w:t>
      </w:r>
    </w:p>
    <w:p w:rsidR="009B732D" w:rsidRPr="007F5BD1" w:rsidRDefault="009B732D" w:rsidP="007F5BD1">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3"/>
        </w:numPr>
        <w:shd w:val="clear" w:color="auto" w:fill="DAF0F3"/>
        <w:tabs>
          <w:tab w:val="left" w:pos="567"/>
        </w:tabs>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Пакет за кръгова икономика и други европейски актове в сферата на управлението на отпадъците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Като част от Европейската зелена сделка, през м. март 2020 г. ЕК публикува Нов план за действие към кръгова икономика с мерки, които да ускорят прехода към устойчив модел и възстановяването на природните ресурси и по този начин </w:t>
      </w:r>
      <w:r w:rsidR="00E31412">
        <w:rPr>
          <w:rFonts w:ascii="Times New Roman" w:eastAsia="Calibri" w:hAnsi="Times New Roman" w:cs="Times New Roman"/>
          <w:color w:val="000000"/>
          <w:sz w:val="24"/>
          <w:szCs w:val="24"/>
        </w:rPr>
        <w:t xml:space="preserve">да </w:t>
      </w:r>
      <w:r w:rsidRPr="007A0407">
        <w:rPr>
          <w:rFonts w:ascii="Times New Roman" w:eastAsia="Calibri" w:hAnsi="Times New Roman" w:cs="Times New Roman"/>
          <w:color w:val="000000"/>
          <w:sz w:val="24"/>
          <w:szCs w:val="24"/>
        </w:rPr>
        <w:t xml:space="preserve">се намали въздействието върху околната среда и обществото.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Новият план за действие е насочен към: установяване на рамка за устойчива продуктова политика; ключови вериги за създаване на стойност в областта на продуктите; по-ефективна политика в областта на отпадъците, </w:t>
      </w:r>
      <w:r w:rsidR="00E31412">
        <w:rPr>
          <w:rFonts w:ascii="Times New Roman" w:eastAsia="Calibri" w:hAnsi="Times New Roman" w:cs="Times New Roman"/>
          <w:color w:val="000000"/>
          <w:sz w:val="24"/>
          <w:szCs w:val="24"/>
        </w:rPr>
        <w:t xml:space="preserve">която да е </w:t>
      </w:r>
      <w:r w:rsidRPr="007A0407">
        <w:rPr>
          <w:rFonts w:ascii="Times New Roman" w:eastAsia="Calibri" w:hAnsi="Times New Roman" w:cs="Times New Roman"/>
          <w:color w:val="000000"/>
          <w:sz w:val="24"/>
          <w:szCs w:val="24"/>
        </w:rPr>
        <w:t>насочена към тяхното предотвратяване, повторно използване и оползотворяване; създаване на кръгови модели в полза на хората, регионите и градовете.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Ключови моменти в плана са:</w:t>
      </w:r>
    </w:p>
    <w:p w:rsidR="007A0407" w:rsidRPr="007A0407" w:rsidRDefault="007A0407" w:rsidP="007A0407">
      <w:pPr>
        <w:numPr>
          <w:ilvl w:val="0"/>
          <w:numId w:val="1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Превръщане на устойчивите продукти в норма в ЕС. Комисията ще предложи законодателство в областта на политиката за устойчиви продукти, за да гарантира, че продуктите на пазара на ЕС са проектирани да издържат по-дълго, по-лесни са за повторна употреба, ремонт и рециклиране, и включват възможно най-много рециклирани материали, а не първични суровини. Еднократната употреба ще бъде ограничена, преждевременното излизане от употреба ще бъде поставено под контрол, а унищожаването на непродадените дълготрайни стоки ще бъде забранено.</w:t>
      </w:r>
    </w:p>
    <w:p w:rsidR="007A0407" w:rsidRPr="007A0407" w:rsidRDefault="007A0407" w:rsidP="007A0407">
      <w:pPr>
        <w:numPr>
          <w:ilvl w:val="0"/>
          <w:numId w:val="1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Повече права за потребителите. Потребителите ще имат достъп до надеждна информация по въпроси като възможностите за ремонт и трайността на продуктите, за да могат да взимат устойчиви от екологична гледна точка решения. Те ще могат да се възползват от истинско „право на ремонт“.</w:t>
      </w:r>
    </w:p>
    <w:p w:rsidR="007A0407" w:rsidRPr="007A0407" w:rsidRDefault="007A0407" w:rsidP="007A0407">
      <w:pPr>
        <w:numPr>
          <w:ilvl w:val="0"/>
          <w:numId w:val="1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Акцент върху секторите, в които се използват най-много ресурси и където потенциалът за кръгова икономика е голям. Комисията ще предприеме конкретни действия относно: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електроника и ИКТ — инициатива за кръгова електроника за постигане на по-дълъг жизнен цикъл на продуктите и подобряване на събирането и третирането на отпадъците акумулаторни батерии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превозни средства - нова регулаторна рамка относно акумулаторните батерии с цел повишаване на устойчивостта и насърчаване на кръговия потенциал на акумулаторните батерии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опаковки - нови задължителни изисквания относно това какво се допуска на пазара на ЕС, включително намаляване на (свръх)опаковането,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пластмаси - нови задължителни изисквания за съдържанието на рециклирани материали и специален акцент върху пластмасовите микрочастици, както и пластмасите на биологична основа и биоразградимите пластмаси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текстилни изделия — нова стратегия на ЕС за текстила с цел засилване на конкурентоспособността и иновациите в</w:t>
      </w:r>
      <w:r w:rsidR="00E31412">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сектора и насърчаване на пазара на ЕС за повторна употреба на текстилните продукти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строителство и сгради — всеобхватна стратегия за устойчива архитектурна среда, с която се насърчават принципите на кръговата икономика </w:t>
      </w:r>
    </w:p>
    <w:p w:rsidR="007A0407" w:rsidRPr="007A0407" w:rsidRDefault="007A0407" w:rsidP="007A0407">
      <w:pPr>
        <w:numPr>
          <w:ilvl w:val="0"/>
          <w:numId w:val="21"/>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храни — нова законодателна инициатива относно повторната употреба с цел да бъдат заменени опаковките, съдовете и приборите за еднократна употреба в хранителния сектор с продукти за многократна употреба</w:t>
      </w:r>
    </w:p>
    <w:p w:rsidR="007A0407" w:rsidRPr="007A0407" w:rsidRDefault="007A0407" w:rsidP="007A0407">
      <w:pPr>
        <w:numPr>
          <w:ilvl w:val="0"/>
          <w:numId w:val="1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Гаранция за по-малко отпадъци. Усилията ще бъдат насочени към избягване на производството на отпадъци като цяло и преобразуването им във висококачествени вторични ресурси, за които е необходим добре функциониращ пазар на вторични суровини. Комисията ще проучи възможността за създаване на общ за ЕС хармонизиран модел за разделно събиране на отпадъци и етикетиране. Планът за действие съдържа и поредица от действия за свеждане до минимум на износа на отпадъци от ЕС и за справяне с незаконния превоз на отпадъци.</w:t>
      </w:r>
    </w:p>
    <w:p w:rsidR="00984959" w:rsidRDefault="00984959" w:rsidP="007A0407">
      <w:pPr>
        <w:spacing w:after="0" w:line="276" w:lineRule="auto"/>
        <w:ind w:left="360"/>
        <w:jc w:val="both"/>
        <w:rPr>
          <w:rFonts w:ascii="Times New Roman" w:eastAsia="Calibri" w:hAnsi="Times New Roman" w:cs="Times New Roman"/>
          <w:color w:val="000000"/>
          <w:sz w:val="24"/>
          <w:szCs w:val="24"/>
        </w:rPr>
      </w:pPr>
    </w:p>
    <w:p w:rsidR="007A0407" w:rsidRDefault="007A0407" w:rsidP="007A0407">
      <w:pPr>
        <w:spacing w:after="0" w:line="276" w:lineRule="auto"/>
        <w:ind w:left="360"/>
        <w:jc w:val="both"/>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rPr>
        <w:t xml:space="preserve"> Уебсайт на първия план за действие за кръговата икономика - </w:t>
      </w:r>
      <w:hyperlink r:id="rId36" w:history="1">
        <w:proofErr w:type="spellStart"/>
        <w:r w:rsidRPr="007A0407">
          <w:rPr>
            <w:rFonts w:ascii="Times New Roman" w:eastAsia="Calibri" w:hAnsi="Times New Roman" w:cs="Times New Roman"/>
            <w:color w:val="000000"/>
            <w:sz w:val="24"/>
            <w:szCs w:val="24"/>
            <w:u w:val="single"/>
          </w:rPr>
          <w:t>First</w:t>
        </w:r>
        <w:proofErr w:type="spellEnd"/>
        <w:r w:rsidRPr="007A0407">
          <w:rPr>
            <w:rFonts w:ascii="Times New Roman" w:eastAsia="Calibri" w:hAnsi="Times New Roman" w:cs="Times New Roman"/>
            <w:color w:val="000000"/>
            <w:sz w:val="24"/>
            <w:szCs w:val="24"/>
            <w:u w:val="single"/>
          </w:rPr>
          <w:t xml:space="preserve"> </w:t>
        </w:r>
        <w:proofErr w:type="spellStart"/>
        <w:r w:rsidRPr="007A0407">
          <w:rPr>
            <w:rFonts w:ascii="Times New Roman" w:eastAsia="Calibri" w:hAnsi="Times New Roman" w:cs="Times New Roman"/>
            <w:color w:val="000000"/>
            <w:sz w:val="24"/>
            <w:szCs w:val="24"/>
            <w:u w:val="single"/>
          </w:rPr>
          <w:t>Circular</w:t>
        </w:r>
        <w:proofErr w:type="spellEnd"/>
        <w:r w:rsidRPr="007A0407">
          <w:rPr>
            <w:rFonts w:ascii="Times New Roman" w:eastAsia="Calibri" w:hAnsi="Times New Roman" w:cs="Times New Roman"/>
            <w:color w:val="000000"/>
            <w:sz w:val="24"/>
            <w:szCs w:val="24"/>
            <w:u w:val="single"/>
          </w:rPr>
          <w:t xml:space="preserve"> </w:t>
        </w:r>
        <w:proofErr w:type="spellStart"/>
        <w:r w:rsidRPr="007A0407">
          <w:rPr>
            <w:rFonts w:ascii="Times New Roman" w:eastAsia="Calibri" w:hAnsi="Times New Roman" w:cs="Times New Roman"/>
            <w:color w:val="000000"/>
            <w:sz w:val="24"/>
            <w:szCs w:val="24"/>
            <w:u w:val="single"/>
          </w:rPr>
          <w:t>Economy</w:t>
        </w:r>
        <w:proofErr w:type="spellEnd"/>
        <w:r w:rsidRPr="007A0407">
          <w:rPr>
            <w:rFonts w:ascii="Times New Roman" w:eastAsia="Calibri" w:hAnsi="Times New Roman" w:cs="Times New Roman"/>
            <w:color w:val="000000"/>
            <w:sz w:val="24"/>
            <w:szCs w:val="24"/>
            <w:u w:val="single"/>
          </w:rPr>
          <w:t xml:space="preserve"> </w:t>
        </w:r>
        <w:proofErr w:type="spellStart"/>
        <w:r w:rsidRPr="007A0407">
          <w:rPr>
            <w:rFonts w:ascii="Times New Roman" w:eastAsia="Calibri" w:hAnsi="Times New Roman" w:cs="Times New Roman"/>
            <w:color w:val="000000"/>
            <w:sz w:val="24"/>
            <w:szCs w:val="24"/>
            <w:u w:val="single"/>
          </w:rPr>
          <w:t>Strategy</w:t>
        </w:r>
        <w:proofErr w:type="spellEnd"/>
        <w:r w:rsidRPr="007A0407">
          <w:rPr>
            <w:rFonts w:ascii="Times New Roman" w:eastAsia="Calibri" w:hAnsi="Times New Roman" w:cs="Times New Roman"/>
            <w:color w:val="000000"/>
            <w:sz w:val="24"/>
            <w:szCs w:val="24"/>
            <w:u w:val="single"/>
          </w:rPr>
          <w:t xml:space="preserve"> - </w:t>
        </w:r>
        <w:proofErr w:type="spellStart"/>
        <w:r w:rsidRPr="007A0407">
          <w:rPr>
            <w:rFonts w:ascii="Times New Roman" w:eastAsia="Calibri" w:hAnsi="Times New Roman" w:cs="Times New Roman"/>
            <w:color w:val="000000"/>
            <w:sz w:val="24"/>
            <w:szCs w:val="24"/>
            <w:u w:val="single"/>
          </w:rPr>
          <w:t>Environment</w:t>
        </w:r>
        <w:proofErr w:type="spellEnd"/>
        <w:r w:rsidRPr="007A0407">
          <w:rPr>
            <w:rFonts w:ascii="Times New Roman" w:eastAsia="Calibri" w:hAnsi="Times New Roman" w:cs="Times New Roman"/>
            <w:color w:val="000000"/>
            <w:sz w:val="24"/>
            <w:szCs w:val="24"/>
            <w:u w:val="single"/>
          </w:rPr>
          <w:t xml:space="preserve"> - </w:t>
        </w:r>
        <w:proofErr w:type="spellStart"/>
        <w:r w:rsidRPr="007A0407">
          <w:rPr>
            <w:rFonts w:ascii="Times New Roman" w:eastAsia="Calibri" w:hAnsi="Times New Roman" w:cs="Times New Roman"/>
            <w:color w:val="000000"/>
            <w:sz w:val="24"/>
            <w:szCs w:val="24"/>
            <w:u w:val="single"/>
          </w:rPr>
          <w:t>European</w:t>
        </w:r>
        <w:proofErr w:type="spellEnd"/>
        <w:r w:rsidRPr="007A0407">
          <w:rPr>
            <w:rFonts w:ascii="Times New Roman" w:eastAsia="Calibri" w:hAnsi="Times New Roman" w:cs="Times New Roman"/>
            <w:color w:val="000000"/>
            <w:sz w:val="24"/>
            <w:szCs w:val="24"/>
            <w:u w:val="single"/>
          </w:rPr>
          <w:t xml:space="preserve"> </w:t>
        </w:r>
        <w:proofErr w:type="spellStart"/>
        <w:r w:rsidRPr="007A0407">
          <w:rPr>
            <w:rFonts w:ascii="Times New Roman" w:eastAsia="Calibri" w:hAnsi="Times New Roman" w:cs="Times New Roman"/>
            <w:color w:val="000000"/>
            <w:sz w:val="24"/>
            <w:szCs w:val="24"/>
            <w:u w:val="single"/>
          </w:rPr>
          <w:t>Commission</w:t>
        </w:r>
        <w:proofErr w:type="spellEnd"/>
        <w:r w:rsidRPr="007A0407">
          <w:rPr>
            <w:rFonts w:ascii="Times New Roman" w:eastAsia="Calibri" w:hAnsi="Times New Roman" w:cs="Times New Roman"/>
            <w:color w:val="000000"/>
            <w:sz w:val="24"/>
            <w:szCs w:val="24"/>
            <w:u w:val="single"/>
          </w:rPr>
          <w:t xml:space="preserve"> (europa.eu)</w:t>
        </w:r>
      </w:hyperlink>
    </w:p>
    <w:p w:rsidR="00984959" w:rsidRPr="007A0407" w:rsidRDefault="00984959" w:rsidP="007A0407">
      <w:pPr>
        <w:spacing w:after="0" w:line="276" w:lineRule="auto"/>
        <w:ind w:left="360"/>
        <w:jc w:val="both"/>
        <w:rPr>
          <w:rFonts w:ascii="Times New Roman" w:eastAsia="Calibri" w:hAnsi="Times New Roman" w:cs="Times New Roman"/>
          <w:color w:val="000000"/>
          <w:sz w:val="24"/>
          <w:szCs w:val="24"/>
        </w:rPr>
      </w:pPr>
    </w:p>
    <w:p w:rsidR="007A0407" w:rsidRPr="007A0407" w:rsidRDefault="007A0407" w:rsidP="007A0407">
      <w:pPr>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Запознавайки се с горните ключови моменти, следва да дадем определение на това какво е кръгова икономика!</w:t>
      </w:r>
    </w:p>
    <w:p w:rsidR="007A0407" w:rsidRPr="007A0407" w:rsidRDefault="007A0407" w:rsidP="007A0407">
      <w:pPr>
        <w:shd w:val="clear" w:color="auto" w:fill="DAF0F3"/>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Какво е кръгова икономика?</w:t>
      </w:r>
      <w:r w:rsidRPr="007A0407">
        <w:rPr>
          <w:rFonts w:ascii="Times New Roman" w:eastAsia="Calibri" w:hAnsi="Times New Roman" w:cs="Times New Roman"/>
          <w:color w:val="000000"/>
          <w:sz w:val="24"/>
          <w:szCs w:val="24"/>
        </w:rPr>
        <w:t xml:space="preserve"> Кръговата икономика е модел, насочен към удължаване на жизнения цикъл на продуктите. На практика това означава възможно най-дълго споделено ползване, заемане, повторно използване, поправка и рециклиране на съществуващи материали и продукти. Когато един продукт достигне края на живота си, материалите, от които той е съставен, продължават да се ползват по друг начин. Така се намалява до минимум образуването на отпадъци.</w:t>
      </w:r>
    </w:p>
    <w:p w:rsidR="007A0407" w:rsidRPr="007A0407" w:rsidRDefault="007A0407" w:rsidP="007A0407">
      <w:pPr>
        <w:shd w:val="clear" w:color="auto" w:fill="DAF0F3"/>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Т.</w:t>
      </w:r>
      <w:r w:rsidRPr="007A0407">
        <w:rPr>
          <w:rFonts w:ascii="Times New Roman" w:eastAsia="Calibri" w:hAnsi="Times New Roman" w:cs="Times New Roman"/>
          <w:color w:val="000000"/>
          <w:sz w:val="24"/>
          <w:szCs w:val="24"/>
        </w:rPr>
        <w:t xml:space="preserve">е. по-горе описаното е синтезирано като определение в ДОКЛАД относно политиката на сближаване и кръговата икономика </w:t>
      </w:r>
      <w:r w:rsidR="006E3277">
        <w:rPr>
          <w:rFonts w:ascii="Times New Roman" w:eastAsia="Calibri" w:hAnsi="Times New Roman" w:cs="Times New Roman"/>
          <w:color w:val="000000"/>
          <w:sz w:val="24"/>
          <w:szCs w:val="24"/>
        </w:rPr>
        <w:t xml:space="preserve">на </w:t>
      </w:r>
      <w:r w:rsidRPr="007A0407">
        <w:rPr>
          <w:rFonts w:ascii="Times New Roman" w:eastAsia="Calibri" w:hAnsi="Times New Roman" w:cs="Times New Roman"/>
          <w:color w:val="000000"/>
          <w:sz w:val="24"/>
          <w:szCs w:val="24"/>
        </w:rPr>
        <w:t>Комисия по регионално развитие на ЕК от 2018г. - Кръговата икономика е преход на нашата икономика от модел „вземи, направи, изхвърли“ към цикличен модел, който съответства в по-голяма степен на живата система.</w:t>
      </w:r>
    </w:p>
    <w:p w:rsidR="007A0407" w:rsidRPr="007A0407" w:rsidRDefault="007A0407" w:rsidP="007A0407">
      <w:pPr>
        <w:spacing w:after="0" w:line="276" w:lineRule="auto"/>
        <w:ind w:left="360"/>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Защо е необходимо да преминем към кръгова икономика?</w:t>
      </w:r>
      <w:r w:rsidRPr="007A0407">
        <w:rPr>
          <w:rFonts w:ascii="Times New Roman" w:eastAsia="Calibri" w:hAnsi="Times New Roman" w:cs="Times New Roman"/>
          <w:color w:val="000000"/>
          <w:sz w:val="24"/>
          <w:szCs w:val="24"/>
        </w:rPr>
        <w:t xml:space="preserve"> Търсенето на суровини и енергийни ресурси расте, но много от тях са ограничени по количество. Често те не достигат в рамките на ЕС и европейските страни стават зависими от внос от други държави. Не трябва да се подценява и ефектът върху околната среда - добивът и потреблението на суровини увеличава потреблението на енергия и емисиите на парникови газове. По-разумното използване на суровини е мярка и срещу промените в климата.</w:t>
      </w:r>
    </w:p>
    <w:p w:rsidR="007A0407" w:rsidRPr="007A0407" w:rsidRDefault="007A0407" w:rsidP="007A0407">
      <w:pPr>
        <w:spacing w:after="0" w:line="276" w:lineRule="auto"/>
        <w:ind w:left="360"/>
        <w:jc w:val="both"/>
        <w:rPr>
          <w:rFonts w:ascii="Times New Roman" w:eastAsia="Calibri" w:hAnsi="Times New Roman" w:cs="Times New Roman"/>
          <w:color w:val="000000"/>
          <w:sz w:val="24"/>
          <w:szCs w:val="24"/>
        </w:rPr>
      </w:pPr>
    </w:p>
    <w:p w:rsidR="007A0407" w:rsidRPr="007A0407" w:rsidRDefault="007A0407" w:rsidP="007A0407">
      <w:pPr>
        <w:spacing w:after="0" w:line="276" w:lineRule="auto"/>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Национален контекст на кръговата икономика</w:t>
      </w:r>
    </w:p>
    <w:p w:rsidR="007A0407" w:rsidRPr="007A0407" w:rsidRDefault="007A0407" w:rsidP="007A0407">
      <w:pPr>
        <w:numPr>
          <w:ilvl w:val="0"/>
          <w:numId w:val="25"/>
        </w:numPr>
        <w:spacing w:after="0" w:line="276" w:lineRule="auto"/>
        <w:contextualSpacing/>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Нова политика</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България поставя кръговата икономика като дългосрочен приоритет на политиката си за развитие. Националната програма за развитие: България 2030 извежда като приоритет „кръговата и нисковъглеродна икономика“. Настоящата стратегия за преход към кръгова икономика е първата и важна стъпка в тази посока. Общата политика на Европейския съюз относно кръговата икономика е в развитие и страната ни си дава сметка за предизвикателствата, които предстоят, както и за продължителността на една такава трансформация на обществени нагласи, икономически процеси и институционални приоритети. Преходът към кръгова икономика ще осигури на страната икономически растеж и по-добра околна среда. За целта ще бъдат мобилизирани необходимите институционални, финансови и човешки ресурси.</w:t>
      </w:r>
    </w:p>
    <w:p w:rsidR="007A0407" w:rsidRPr="007A0407" w:rsidRDefault="007A0407" w:rsidP="007A0407">
      <w:pPr>
        <w:keepNext/>
        <w:keepLines/>
        <w:numPr>
          <w:ilvl w:val="0"/>
          <w:numId w:val="25"/>
        </w:numPr>
        <w:spacing w:after="0" w:line="276" w:lineRule="auto"/>
        <w:ind w:left="714" w:hanging="357"/>
        <w:jc w:val="both"/>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Нова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Преходът към кръгова икономика изисква създаването на по-устойчиви модели на производство и потребление. </w:t>
      </w:r>
      <w:r w:rsidRPr="006E3277">
        <w:rPr>
          <w:rFonts w:ascii="Times New Roman" w:eastAsia="Calibri" w:hAnsi="Times New Roman" w:cs="Times New Roman"/>
          <w:color w:val="0070C0"/>
          <w:sz w:val="24"/>
          <w:szCs w:val="24"/>
        </w:rPr>
        <w:t xml:space="preserve">С </w:t>
      </w:r>
      <w:r w:rsidR="006E3277" w:rsidRPr="006E3277">
        <w:rPr>
          <w:rFonts w:ascii="Times New Roman" w:eastAsia="Calibri" w:hAnsi="Times New Roman" w:cs="Times New Roman"/>
          <w:color w:val="0070C0"/>
          <w:sz w:val="24"/>
          <w:szCs w:val="24"/>
        </w:rPr>
        <w:t xml:space="preserve">изготвянето на </w:t>
      </w:r>
      <w:r w:rsidR="00A5036F">
        <w:rPr>
          <w:rFonts w:ascii="Times New Roman" w:eastAsia="Calibri" w:hAnsi="Times New Roman" w:cs="Times New Roman"/>
          <w:color w:val="0070C0"/>
          <w:sz w:val="24"/>
          <w:szCs w:val="24"/>
        </w:rPr>
        <w:t>Проекта на Стратегия и план</w:t>
      </w:r>
      <w:r w:rsidR="006E3277" w:rsidRPr="006E3277">
        <w:rPr>
          <w:rFonts w:ascii="Times New Roman" w:eastAsia="Calibri" w:hAnsi="Times New Roman" w:cs="Times New Roman"/>
          <w:color w:val="0070C0"/>
          <w:sz w:val="24"/>
          <w:szCs w:val="24"/>
        </w:rPr>
        <w:t xml:space="preserve"> за действие за прехода към кръгова икономика в Република България за периода 2021 -2027 г., </w:t>
      </w:r>
      <w:r w:rsidRPr="007A0407">
        <w:rPr>
          <w:rFonts w:ascii="Times New Roman" w:eastAsia="Calibri" w:hAnsi="Times New Roman" w:cs="Times New Roman"/>
          <w:color w:val="000000"/>
          <w:sz w:val="24"/>
          <w:szCs w:val="24"/>
        </w:rPr>
        <w:t>правителството предприема решителни действия в тази насока, като се ангажира да осигури ресур</w:t>
      </w:r>
      <w:r w:rsidR="006E3277">
        <w:rPr>
          <w:rFonts w:ascii="Times New Roman" w:eastAsia="Calibri" w:hAnsi="Times New Roman" w:cs="Times New Roman"/>
          <w:color w:val="000000"/>
          <w:sz w:val="24"/>
          <w:szCs w:val="24"/>
        </w:rPr>
        <w:t>си и средства за изпълнение на мерките</w:t>
      </w:r>
      <w:r w:rsidRPr="007A0407">
        <w:rPr>
          <w:rFonts w:ascii="Times New Roman" w:eastAsia="Calibri" w:hAnsi="Times New Roman" w:cs="Times New Roman"/>
          <w:color w:val="000000"/>
          <w:sz w:val="24"/>
          <w:szCs w:val="24"/>
        </w:rPr>
        <w:t>.</w:t>
      </w:r>
      <w:r w:rsidR="00A5036F">
        <w:rPr>
          <w:rFonts w:ascii="Times New Roman" w:eastAsia="Calibri" w:hAnsi="Times New Roman" w:cs="Times New Roman"/>
          <w:color w:val="000000"/>
          <w:sz w:val="24"/>
          <w:szCs w:val="24"/>
        </w:rPr>
        <w:t xml:space="preserve"> </w:t>
      </w:r>
      <w:r w:rsidR="00A5036F" w:rsidRPr="00A5036F">
        <w:rPr>
          <w:rFonts w:ascii="Times New Roman" w:eastAsia="Calibri" w:hAnsi="Times New Roman" w:cs="Times New Roman"/>
          <w:color w:val="0070C0"/>
          <w:sz w:val="24"/>
          <w:szCs w:val="24"/>
        </w:rPr>
        <w:t>Към момента все още текат обществени обсъждания на проекта на Стратегията</w:t>
      </w:r>
      <w:r w:rsidR="00A5036F" w:rsidRPr="009C5E45">
        <w:rPr>
          <w:rFonts w:ascii="Times New Roman" w:eastAsia="Calibri" w:hAnsi="Times New Roman" w:cs="Times New Roman"/>
          <w:color w:val="0070C0"/>
          <w:sz w:val="24"/>
          <w:szCs w:val="24"/>
        </w:rPr>
        <w:t xml:space="preserve">. </w:t>
      </w:r>
      <w:r w:rsidR="009C5E45" w:rsidRPr="009C5E45">
        <w:rPr>
          <w:rFonts w:ascii="Times New Roman" w:eastAsia="Calibri" w:hAnsi="Times New Roman" w:cs="Times New Roman"/>
          <w:color w:val="0070C0"/>
          <w:sz w:val="24"/>
          <w:szCs w:val="24"/>
        </w:rPr>
        <w:t>В проекта на стратегията са формулирани три стратегически цели: зелена и конкурентноспособна икономика; по-малко отпадъци и повече ресурси; икономика в полза на потребителите</w:t>
      </w:r>
      <w:r w:rsidR="009C5E45" w:rsidRPr="009C5E45">
        <w:rPr>
          <w:rFonts w:ascii="Times New Roman" w:eastAsia="Calibri" w:hAnsi="Times New Roman" w:cs="Times New Roman"/>
          <w:color w:val="000000"/>
          <w:sz w:val="24"/>
          <w:szCs w:val="24"/>
        </w:rPr>
        <w:t>.</w:t>
      </w:r>
      <w:r w:rsidR="009C5E45">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Мерките, заложени в този документ, са насочени </w:t>
      </w:r>
      <w:r w:rsidR="006E3277">
        <w:rPr>
          <w:rFonts w:ascii="Times New Roman" w:eastAsia="Calibri" w:hAnsi="Times New Roman" w:cs="Times New Roman"/>
          <w:color w:val="000000"/>
          <w:sz w:val="24"/>
          <w:szCs w:val="24"/>
        </w:rPr>
        <w:t xml:space="preserve">да повишат </w:t>
      </w:r>
      <w:r w:rsidRPr="007A0407">
        <w:rPr>
          <w:rFonts w:ascii="Times New Roman" w:eastAsia="Calibri" w:hAnsi="Times New Roman" w:cs="Times New Roman"/>
          <w:color w:val="000000"/>
          <w:sz w:val="24"/>
          <w:szCs w:val="24"/>
        </w:rPr>
        <w:t>производителността на ресурсите и да водят до свързаност в икономиката чрез въвеждане на нови бизнес модели. „Отпадъците“ започват</w:t>
      </w:r>
      <w:r w:rsidR="009C5E45">
        <w:rPr>
          <w:rFonts w:ascii="Times New Roman" w:eastAsia="Calibri" w:hAnsi="Times New Roman" w:cs="Times New Roman"/>
          <w:color w:val="000000"/>
          <w:sz w:val="24"/>
          <w:szCs w:val="24"/>
        </w:rPr>
        <w:t xml:space="preserve"> да се разглеждат като „ресурс“ з</w:t>
      </w:r>
      <w:r w:rsidRPr="007A0407">
        <w:rPr>
          <w:rFonts w:ascii="Times New Roman" w:eastAsia="Calibri" w:hAnsi="Times New Roman" w:cs="Times New Roman"/>
          <w:color w:val="000000"/>
          <w:sz w:val="24"/>
          <w:szCs w:val="24"/>
        </w:rPr>
        <w:t>а икономиката. Целта е материалите да се задържат максимално дълго в производството и да се рециклира с високо качество, да се произвеждат по-качествени суровини, да се намалява зависимостта на икономиката на страната от вноса на суровини.</w:t>
      </w:r>
    </w:p>
    <w:p w:rsidR="007A0407" w:rsidRPr="007A0407" w:rsidRDefault="007A0407" w:rsidP="007A0407">
      <w:pPr>
        <w:keepNext/>
        <w:keepLines/>
        <w:numPr>
          <w:ilvl w:val="0"/>
          <w:numId w:val="25"/>
        </w:numPr>
        <w:spacing w:after="0" w:line="276" w:lineRule="auto"/>
        <w:ind w:left="714" w:hanging="357"/>
        <w:jc w:val="both"/>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Нови потребители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Кръговата икономика има нужда от нова и по-активна роля на потребителите. Потребителската информираност и интерес към кръговата икономика e с решаваща роля за успеха на прехода към кръгова икономика.  Необходимо</w:t>
      </w:r>
      <w:r w:rsidR="007B27ED">
        <w:rPr>
          <w:rFonts w:ascii="Times New Roman" w:eastAsia="Calibri" w:hAnsi="Times New Roman" w:cs="Times New Roman"/>
          <w:color w:val="000000"/>
          <w:sz w:val="24"/>
          <w:szCs w:val="24"/>
        </w:rPr>
        <w:t xml:space="preserve"> е</w:t>
      </w:r>
      <w:r w:rsidRPr="007A0407">
        <w:rPr>
          <w:rFonts w:ascii="Times New Roman" w:eastAsia="Calibri" w:hAnsi="Times New Roman" w:cs="Times New Roman"/>
          <w:color w:val="000000"/>
          <w:sz w:val="24"/>
          <w:szCs w:val="24"/>
        </w:rPr>
        <w:t xml:space="preserve"> потребителите да получават възможно най-обективната информация за вземане на решения, включително за социалния и екологичния отпечатък на продуктите Потребителите играят важна роля и в предотвратяването на отпадъци и рециклирането. Мерките в Стратегията са насочени към информирано, отговорно и активно общество.</w:t>
      </w:r>
    </w:p>
    <w:p w:rsidR="00AD6F06" w:rsidRDefault="00AD6F06" w:rsidP="00AD6F06">
      <w:pPr>
        <w:spacing w:after="0" w:line="276" w:lineRule="auto"/>
        <w:jc w:val="both"/>
        <w:rPr>
          <w:rFonts w:ascii="Times New Roman" w:hAnsi="Times New Roman" w:cs="Times New Roman"/>
          <w:i/>
          <w:iCs/>
          <w:color w:val="0070C0"/>
          <w:sz w:val="24"/>
          <w:szCs w:val="24"/>
        </w:rPr>
      </w:pPr>
      <w:r w:rsidRPr="00AD6F06">
        <w:rPr>
          <w:rFonts w:ascii="Times New Roman" w:eastAsia="Calibri" w:hAnsi="Times New Roman" w:cs="Times New Roman"/>
          <w:bCs/>
          <w:color w:val="0070C0"/>
          <w:sz w:val="24"/>
          <w:szCs w:val="24"/>
        </w:rPr>
        <w:t xml:space="preserve">При изготвянето на Стратегията и плана за действие за преход към кръгова икономика за периода 2021-2027 г. са съобразени действащи планове, програми и други стратегически документи, основно на европейско и национално ниво, като например: Европейската зелена сделка, новия План за действие към кръговата икономика от 2020 г. на Европейската комисия, Стратегията за пластмасите в кръговата икономика от 2018 г., Национална програма за развитие България 2030. </w:t>
      </w:r>
      <w:r w:rsidRPr="00AD6F06">
        <w:rPr>
          <w:rFonts w:ascii="Times New Roman" w:hAnsi="Times New Roman" w:cs="Times New Roman"/>
          <w:color w:val="0070C0"/>
          <w:sz w:val="24"/>
          <w:szCs w:val="24"/>
        </w:rPr>
        <w:t xml:space="preserve">Предложенията за мерки са координирани с проектите на </w:t>
      </w:r>
      <w:r w:rsidRPr="00AD6F06">
        <w:rPr>
          <w:rFonts w:ascii="Times New Roman" w:hAnsi="Times New Roman" w:cs="Times New Roman"/>
          <w:i/>
          <w:iCs/>
          <w:color w:val="0070C0"/>
          <w:sz w:val="24"/>
          <w:szCs w:val="24"/>
        </w:rPr>
        <w:t>Националния план за управление на отпадъците за периода 2021-2028 г</w:t>
      </w:r>
      <w:r w:rsidRPr="00AD6F06">
        <w:rPr>
          <w:rFonts w:ascii="Times New Roman" w:hAnsi="Times New Roman" w:cs="Times New Roman"/>
          <w:color w:val="0070C0"/>
          <w:sz w:val="24"/>
          <w:szCs w:val="24"/>
        </w:rPr>
        <w:t xml:space="preserve">., както и с проекта на </w:t>
      </w:r>
      <w:r w:rsidRPr="00AD6F06">
        <w:rPr>
          <w:rFonts w:ascii="Times New Roman" w:hAnsi="Times New Roman" w:cs="Times New Roman"/>
          <w:i/>
          <w:iCs/>
          <w:color w:val="0070C0"/>
          <w:sz w:val="24"/>
          <w:szCs w:val="24"/>
        </w:rPr>
        <w:t>Националната стратегия за малки и средни предприятия 2021-2027 г</w:t>
      </w:r>
      <w:r>
        <w:rPr>
          <w:rFonts w:ascii="Times New Roman" w:hAnsi="Times New Roman" w:cs="Times New Roman"/>
          <w:i/>
          <w:iCs/>
          <w:color w:val="0070C0"/>
          <w:sz w:val="24"/>
          <w:szCs w:val="24"/>
        </w:rPr>
        <w:t>.</w:t>
      </w:r>
    </w:p>
    <w:p w:rsidR="00AD6F06" w:rsidRPr="00AD6F06" w:rsidRDefault="00AD6F06" w:rsidP="00AD6F06">
      <w:pPr>
        <w:spacing w:after="0" w:line="276" w:lineRule="auto"/>
        <w:jc w:val="both"/>
        <w:rPr>
          <w:rFonts w:ascii="Times New Roman" w:eastAsia="Calibri" w:hAnsi="Times New Roman" w:cs="Times New Roman"/>
          <w:bCs/>
          <w:color w:val="0070C0"/>
          <w:sz w:val="24"/>
          <w:szCs w:val="24"/>
        </w:rPr>
      </w:pPr>
    </w:p>
    <w:p w:rsidR="007A0407" w:rsidRDefault="007A0407" w:rsidP="007A0407">
      <w:pPr>
        <w:spacing w:after="0" w:line="276" w:lineRule="auto"/>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Кръговата икономика в контекста на производството</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Преходът на производството към кръгова икономика се оценява от комплекс от показатели като ресурсна производителност, принос на рециклираните материали към търсенето на суровини, размер на инвестиции и добавена стойност в секторите, свързани с кръговата икономика, иновации, екоиновации и резултати от тях и др.</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Ресурсната производителност на страната, измерена като отношение на БВП и количеството употребени природни ресурси, е от най-ниските в ЕС. Количеството на употребяваните ресурси зависи от разнородни фактори, като структура на икономиката (сравнително висок дял на минната промишленост у нас), използването на горива за производство на енергия, реализацията на мащабни инфраструктурни проекти след присъединяването на страната към ЕС, а също и от преимущественото използване на първични суровини и ресурси, от използване на остаряло оборудване и технологии.</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Показателите за относителен дял на добавената стойност и на брутните инвестиции в ДМА в сектори рециклиране  и ремонт и повторна употреба за България са по-високи от средните за ЕС, а за брой заети – равни на средните за ЕС. В проекта на стратегия за кръгова икономика на България се констатира, че страната ни няма патенти, свързани с рециклирането и вторичните суровини. Това на практика не отговаря на действителността. Само Еко</w:t>
      </w:r>
      <w:r w:rsidR="00A42EF8">
        <w:rPr>
          <w:rFonts w:ascii="Times New Roman" w:eastAsia="Calibri" w:hAnsi="Times New Roman" w:cs="Times New Roman"/>
          <w:bCs/>
          <w:color w:val="000000"/>
          <w:sz w:val="24"/>
          <w:szCs w:val="24"/>
        </w:rPr>
        <w:t xml:space="preserve"> </w:t>
      </w:r>
      <w:r w:rsidRPr="007A0407">
        <w:rPr>
          <w:rFonts w:ascii="Times New Roman" w:eastAsia="Calibri" w:hAnsi="Times New Roman" w:cs="Times New Roman"/>
          <w:bCs/>
          <w:color w:val="000000"/>
          <w:sz w:val="24"/>
          <w:szCs w:val="24"/>
        </w:rPr>
        <w:t>Логистик</w:t>
      </w:r>
      <w:r w:rsidR="00A42EF8">
        <w:rPr>
          <w:rFonts w:ascii="Times New Roman" w:eastAsia="Calibri" w:hAnsi="Times New Roman" w:cs="Times New Roman"/>
          <w:bCs/>
          <w:color w:val="000000"/>
          <w:sz w:val="24"/>
          <w:szCs w:val="24"/>
        </w:rPr>
        <w:t xml:space="preserve"> </w:t>
      </w:r>
      <w:r w:rsidRPr="007A0407">
        <w:rPr>
          <w:rFonts w:ascii="Times New Roman" w:eastAsia="Calibri" w:hAnsi="Times New Roman" w:cs="Times New Roman"/>
          <w:bCs/>
          <w:color w:val="000000"/>
          <w:sz w:val="24"/>
          <w:szCs w:val="24"/>
        </w:rPr>
        <w:t>А ЕООД има три регистрирани на европейско и национално ниво в съответните патентни ведомства полезни модели за рециклиране на отпадъчни плоско стъкло и текстил.</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Развитието на иновациите и в частност на екоиновациите e  основна част от концепцията за постигане на Кръгова икономика. По данните на ЕК и Евростат България се нарежда на предпоследно място в ЕС по стойност на индекса на екоиновациите.</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В страната съществува значителен потенциал за добив и рециклиране на много от суровините от критично значение за ЕС. Много отпадъци от добивната и металургичната промишленост са богати на суровини от критично значение и трябва да се помисли за тяхното оползотворяване с цел създаване на нови икономически дейности, като същевременно се подобри околната среда</w:t>
      </w:r>
      <w:r w:rsidR="00AD6F06">
        <w:rPr>
          <w:rFonts w:ascii="Times New Roman" w:eastAsia="Calibri" w:hAnsi="Times New Roman" w:cs="Times New Roman"/>
          <w:bCs/>
          <w:color w:val="000000"/>
          <w:sz w:val="24"/>
          <w:szCs w:val="24"/>
        </w:rPr>
        <w:t>.</w:t>
      </w:r>
    </w:p>
    <w:p w:rsidR="007A0407" w:rsidRPr="007A0407" w:rsidRDefault="007A0407" w:rsidP="007A0407">
      <w:pPr>
        <w:spacing w:after="0" w:line="276" w:lineRule="auto"/>
        <w:jc w:val="both"/>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Кръговата икономика в контекста на потреблението</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Едва 40% от потребителите в страната разпознават задължителните маркировки за енергийна ефективност и само 10% - доброволните екологични маркировки. Не се познават правилата за ползването им, сертификационните схеми и възможностите за контрол. Това налага необходимостта от допълнителна информация и обучения за екологичните маркировки и тяхното значение. Обученията трябва да бъдат насочени целево към различните възрастови и социални групи. Това дава възможност в тези дейности да се включат както училищата, университетите, така и организациите за защита на потребителите.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Наличието на информационна асиметрия от своя страна пречи на развитието на пазара на продукти с екологични характеристики в страната. Потребителите проявяват слаб интерес към екологичните продукти, в резултат на което предлагането им е твърде ниско. Ограниченото проникване на пазара на екологични продукти, в съчетание със слабата информираност на българските потребители, открива вратата за появата на нерегламентирани екомаркировки.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Високите нагласи на обществото към необходимостта от опазване на околната среда могат да бъдат използвани за повишаване ангажираността към такива дейности водещи към кръгова икономика, като закупуване на продукти втора ръка, ремонт, споделяне или наемане на продукти.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Един от начините това да бъде направено е чрез информационни кампании или дейности фокусирани върху образованието на младите хора, като включване на подходящи теми в учебните програми в училищата. Повишаване на информираността на потребителите за пазара на продукти втора употреба, отдаване под наем/лизинг и ремонт може да бъде постигнато и чрез създаване на електронни платформи.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Потребителите обикновено са готови да ремонтират повредени продукти, но могат лесно да се откажат от тези си намерения, ако ремонтът е свързан с повече усилия в сравнение с подмяната на продукта. Разширяване пазара на услуги за поправка и ремонт чрез стимулиране на фирмите с подобни дейности, както и чрез осигуряване на услуги за поправка и ремонт на ключови места в градовете, в т. нар центрове за повторна употреба, ще направи този тип услуги достъпни и предпочитани. В същото време, това е възможност да се подобри достъпа до заетост и обучения за придобиване или усъвършенстване на професионалната квалификация за ремонтна дейност на хора от уязвимите групи.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Публичният сектор чрез прилагането на „зелени“ критерии в обществените поръчки би могъл да стимулира пазара на екологични продукти в страната. В същото време относителният дял на ‚зелени“ обществени поръчки е едва между 5 – 7%. Основните проблеми се свързват със слабата информираност у възложителите, които не са добре запознати с изискванията за екологични стоки, услуги и системи за управление на околната среда. За решаването на проблема могат да се организират обучения на служители на централната и местна власт по отношение на включване на „зелени“ критерии по продуктови групи в обществените поръчки, както и създаване на виртуално пространство за обмяна на добри практики.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Проучванията показват, че гражданите имат положителни нагласи към разделното събиране на отпадъци, но с реалните си действия не ги потвърждават. Едва около една четвърт от жителите в общините обхванати от тези системи събират разделно натрупаните отпадъци от опаковки. В голяма част от случаите гражданите не са информирани за съществуването на площадките за разделно събиране в общината и не предприемат действия да се възползват от тази възможност за изхвърляне на едрогабаритни отпадъци. Слабата мотивация на гражданите може да бъде коригирана чрез финансови инструменти, ако таксата битов отпадък се обвърже с реалното количество и обем на изхвърления отпадък. Ефективното разделно събиране може да се постигне и чрез подобряване на инфраструктурата, като се предвиди възможност за разделяне на биологичните отпадъци и се популяризира дейността на площадките за разделно събиране.  </w:t>
      </w:r>
    </w:p>
    <w:p w:rsidR="007A0407" w:rsidRPr="007A0407" w:rsidRDefault="007A0407" w:rsidP="007A0407">
      <w:pPr>
        <w:spacing w:after="0" w:line="276" w:lineRule="auto"/>
        <w:jc w:val="both"/>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Кръговата икономика в контекста на управлението на отпадъците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A42EF8">
        <w:rPr>
          <w:rFonts w:ascii="Times New Roman" w:eastAsia="Calibri" w:hAnsi="Times New Roman" w:cs="Times New Roman"/>
          <w:color w:val="000000"/>
          <w:sz w:val="24"/>
          <w:szCs w:val="24"/>
        </w:rPr>
        <w:t>През 2018 година в България са образувани 129.7 милиона тона отпадъци, което поставя страната на едно от първите места в Европейския съюз по образувани отпадъци на глав</w:t>
      </w:r>
      <w:r w:rsidR="00714BD1" w:rsidRPr="00A42EF8">
        <w:rPr>
          <w:rFonts w:ascii="Times New Roman" w:eastAsia="Calibri" w:hAnsi="Times New Roman" w:cs="Times New Roman"/>
          <w:color w:val="000000"/>
          <w:sz w:val="24"/>
          <w:szCs w:val="24"/>
        </w:rPr>
        <w:t xml:space="preserve">а от населението и единица БВП </w:t>
      </w:r>
      <w:r w:rsidR="004056E6" w:rsidRPr="00A42EF8">
        <w:rPr>
          <w:rFonts w:ascii="Times New Roman" w:eastAsia="Calibri" w:hAnsi="Times New Roman" w:cs="Times New Roman"/>
          <w:color w:val="000000"/>
          <w:sz w:val="24"/>
          <w:szCs w:val="24"/>
        </w:rPr>
        <w:t xml:space="preserve">(данни </w:t>
      </w:r>
      <w:r w:rsidR="00714BD1" w:rsidRPr="00A42EF8">
        <w:rPr>
          <w:rFonts w:ascii="Times New Roman" w:eastAsia="Calibri" w:hAnsi="Times New Roman" w:cs="Times New Roman"/>
          <w:color w:val="000000"/>
          <w:sz w:val="24"/>
          <w:szCs w:val="24"/>
        </w:rPr>
        <w:t>съгласно НПУО 2021г.-2028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Въпреки сравнително добре развитата рециклираща промишленост, страната отбелязва ниски нива на рецикли</w:t>
      </w:r>
      <w:r w:rsidR="004056E6">
        <w:rPr>
          <w:rFonts w:ascii="Times New Roman" w:eastAsia="Calibri" w:hAnsi="Times New Roman" w:cs="Times New Roman"/>
          <w:color w:val="000000"/>
          <w:sz w:val="24"/>
          <w:szCs w:val="24"/>
        </w:rPr>
        <w:t xml:space="preserve">ране на битови отпадъци </w:t>
      </w:r>
      <w:r w:rsidR="004056E6" w:rsidRPr="004056E6">
        <w:rPr>
          <w:rFonts w:ascii="Times New Roman" w:eastAsia="Calibri" w:hAnsi="Times New Roman" w:cs="Times New Roman"/>
          <w:color w:val="0070C0"/>
          <w:sz w:val="24"/>
          <w:szCs w:val="24"/>
        </w:rPr>
        <w:t>- 31.5%, за 2018 г, нарастват през 2019 до 41 %,</w:t>
      </w:r>
      <w:r w:rsidR="004056E6">
        <w:rPr>
          <w:rFonts w:ascii="Times New Roman" w:eastAsia="Calibri" w:hAnsi="Times New Roman" w:cs="Times New Roman"/>
          <w:color w:val="0070C0"/>
          <w:sz w:val="24"/>
          <w:szCs w:val="24"/>
        </w:rPr>
        <w:t xml:space="preserve"> н</w:t>
      </w:r>
      <w:r w:rsidR="00A42EF8">
        <w:rPr>
          <w:rFonts w:ascii="Times New Roman" w:eastAsia="Calibri" w:hAnsi="Times New Roman" w:cs="Times New Roman"/>
          <w:color w:val="0070C0"/>
          <w:sz w:val="24"/>
          <w:szCs w:val="24"/>
        </w:rPr>
        <w:t>о</w:t>
      </w:r>
      <w:r w:rsidR="004056E6">
        <w:rPr>
          <w:rFonts w:ascii="Times New Roman" w:eastAsia="Calibri" w:hAnsi="Times New Roman" w:cs="Times New Roman"/>
          <w:color w:val="0070C0"/>
          <w:sz w:val="24"/>
          <w:szCs w:val="24"/>
        </w:rPr>
        <w:t xml:space="preserve"> въпреки повишението не се достига националната цел от 50 %. В сравнение </w:t>
      </w:r>
      <w:r w:rsidRPr="004056E6">
        <w:rPr>
          <w:rFonts w:ascii="Times New Roman" w:eastAsia="Calibri" w:hAnsi="Times New Roman" w:cs="Times New Roman"/>
          <w:color w:val="0070C0"/>
          <w:sz w:val="24"/>
          <w:szCs w:val="24"/>
        </w:rPr>
        <w:t>със средните за ЕС</w:t>
      </w:r>
      <w:r w:rsidR="004056E6" w:rsidRPr="004056E6">
        <w:rPr>
          <w:rFonts w:ascii="Times New Roman" w:eastAsia="Calibri" w:hAnsi="Times New Roman" w:cs="Times New Roman"/>
          <w:color w:val="0070C0"/>
          <w:sz w:val="24"/>
          <w:szCs w:val="24"/>
        </w:rPr>
        <w:t xml:space="preserve"> - </w:t>
      </w:r>
      <w:r w:rsidRPr="004056E6">
        <w:rPr>
          <w:rFonts w:ascii="Times New Roman" w:eastAsia="Calibri" w:hAnsi="Times New Roman" w:cs="Times New Roman"/>
          <w:color w:val="0070C0"/>
          <w:sz w:val="24"/>
          <w:szCs w:val="24"/>
        </w:rPr>
        <w:t xml:space="preserve"> </w:t>
      </w:r>
      <w:r w:rsidR="004056E6" w:rsidRPr="004056E6">
        <w:rPr>
          <w:rFonts w:ascii="Times New Roman" w:eastAsia="Calibri" w:hAnsi="Times New Roman" w:cs="Times New Roman"/>
          <w:color w:val="0070C0"/>
          <w:sz w:val="24"/>
          <w:szCs w:val="24"/>
        </w:rPr>
        <w:t>47.4%</w:t>
      </w:r>
      <w:r w:rsidRPr="004056E6">
        <w:rPr>
          <w:rFonts w:ascii="Times New Roman" w:eastAsia="Calibri" w:hAnsi="Times New Roman" w:cs="Times New Roman"/>
          <w:color w:val="0070C0"/>
          <w:sz w:val="24"/>
          <w:szCs w:val="24"/>
        </w:rPr>
        <w:t xml:space="preserve"> за 2018 г</w:t>
      </w:r>
      <w:r w:rsidR="004056E6">
        <w:rPr>
          <w:rFonts w:ascii="Times New Roman" w:eastAsia="Calibri" w:hAnsi="Times New Roman" w:cs="Times New Roman"/>
          <w:color w:val="0070C0"/>
          <w:sz w:val="24"/>
          <w:szCs w:val="24"/>
        </w:rPr>
        <w:t>, показателите на България остават ниски.</w:t>
      </w:r>
      <w:r w:rsidRPr="007A0407">
        <w:rPr>
          <w:rFonts w:ascii="Times New Roman" w:eastAsia="Calibri" w:hAnsi="Times New Roman" w:cs="Times New Roman"/>
          <w:color w:val="000000"/>
          <w:sz w:val="24"/>
          <w:szCs w:val="24"/>
        </w:rPr>
        <w:t xml:space="preserve">. </w:t>
      </w:r>
      <w:r w:rsidR="004056E6">
        <w:rPr>
          <w:rFonts w:ascii="Times New Roman" w:eastAsia="Calibri" w:hAnsi="Times New Roman" w:cs="Times New Roman"/>
          <w:color w:val="000000"/>
          <w:sz w:val="24"/>
          <w:szCs w:val="24"/>
        </w:rPr>
        <w:t xml:space="preserve">Съгласно данни на ИАОС, от </w:t>
      </w:r>
      <w:r w:rsidR="004056E6" w:rsidRPr="004056E6">
        <w:rPr>
          <w:rFonts w:ascii="Times New Roman" w:eastAsia="Calibri" w:hAnsi="Times New Roman" w:cs="Times New Roman"/>
          <w:color w:val="000000"/>
          <w:sz w:val="24"/>
          <w:szCs w:val="24"/>
        </w:rPr>
        <w:t>2000 г. насам се регистрира тенденция на намаление на битови отпадъци в България, като през 2019 г. са образувани 2 838 хил. тона битови отпадъци, а за 2020 г. – 2 826 хил. тона. През 2020 г. битови отпадъци са с 3</w:t>
      </w:r>
      <w:r w:rsidR="004056E6">
        <w:rPr>
          <w:rFonts w:ascii="Times New Roman" w:eastAsia="Calibri" w:hAnsi="Times New Roman" w:cs="Times New Roman"/>
          <w:color w:val="000000"/>
          <w:sz w:val="24"/>
          <w:szCs w:val="24"/>
        </w:rPr>
        <w:t>3.4% по-малко спрямо 2000 година. А</w:t>
      </w:r>
      <w:r w:rsidRPr="007A0407">
        <w:rPr>
          <w:rFonts w:ascii="Times New Roman" w:eastAsia="Calibri" w:hAnsi="Times New Roman" w:cs="Times New Roman"/>
          <w:color w:val="000000"/>
          <w:sz w:val="24"/>
          <w:szCs w:val="24"/>
        </w:rPr>
        <w:t>ко се разглежда общото равнище на рециклиране, с изкл. на отпадъци от добивната промишленост и от строителството, то през 2016 г. в България това равнище е 27%, докато средното за ЕС е 57%. Притеснителен факт е, че по данни на НСИ в 202 общини в страната разделно събраните и предадени за рециклиране битови отпадъци са по-малко от 5%.</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Същевременно, Рамковата директива за отпадъци от 2018 г. поставя нови и по-високи цели за повторна употреба и рециклиране на битови отпадъци и отпадъци от опаковки, които следва да се постигнат поетапно до 2035 г., както и цел за ограничаване депонирането на битови отпадъци до 10% от общо образуваните. Наличната и изграждаща се инфраструктура за третиране на битови отпадъци не биха могли да обезпечат постигането на тези цели за подготовка за повторна употреба и отклоняване на битови отпадъци от депониране. Привличането на частния сектор в дейностите по управление на битовите отпадъци се явява необходимост за постигането на тези високи цели в дългосрочен план.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Предстои сериозно предизвикателство пред местните власти -  въвеждане на задължително разделно събиране на биоотпадъц</w:t>
      </w:r>
      <w:r w:rsidR="00714BD1">
        <w:rPr>
          <w:rFonts w:ascii="Times New Roman" w:eastAsia="Calibri" w:hAnsi="Times New Roman" w:cs="Times New Roman"/>
          <w:color w:val="000000"/>
          <w:sz w:val="24"/>
          <w:szCs w:val="24"/>
        </w:rPr>
        <w:t>и от домакинствата през 2023 г., както и на отпадъци от текстил и обувки от 2025 година.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Необходими са координирани действия между общините, бизнеса, системите за разширена отговорност на производителите и гражданите за изграждане на удобни и икономически ефективни системи за разделно събиране на отпадъци от домакинства и значително повишаване на ангажираността и участието на последните в тези системи.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Постигането на по-ефективно използване на ресурсите, намаляването на количествата образувани отпадъци при различните производствени процеси и постигането на по-високи нива за рециклиране и оползотворяване изисква значителни инвестиции и усилия от страна на българските компании. </w:t>
      </w:r>
    </w:p>
    <w:p w:rsidR="007A0407" w:rsidRPr="007A0407" w:rsidRDefault="007A0407" w:rsidP="007A0407">
      <w:pPr>
        <w:spacing w:after="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Приоритетни области в областта на отпадъците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Пластмаси</w:t>
      </w:r>
      <w:r w:rsidRPr="007A0407">
        <w:rPr>
          <w:rFonts w:ascii="Times New Roman" w:eastAsia="Calibri" w:hAnsi="Times New Roman" w:cs="Times New Roman"/>
          <w:color w:val="000000"/>
          <w:sz w:val="24"/>
          <w:szCs w:val="24"/>
        </w:rPr>
        <w:t xml:space="preserve"> - Производството на пластмаси в първична форма в България през 2019 г. е възлизало на 175 хил. тона, докато производството на пластмасови изделия е значително по-голямо и надхвърля 500 хил. тона. Значителното производство на пластмасови продукти и изделия в страната, предоставят възможност за влагане на рециклирани пластмаси.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Страната има дългогодишни традиции и опит в рециклирането на пластмасови отпадъци. През последните години бяха направени значителни инвестиции в сектора, в резултат на което които капацитетът за рециклиране нарасна съществено, и по оценки надвишава 150,000 тона. Това дава възможност за рециклиране на цялото количество събрани пластмасови отпадъци в страната и същевременно осигурява възможностите за преработка на основните категории материали – LDPE, HDPE, PET, PE.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Независимо от постигнатите резултати са необходими допълнителни усилия за намаляване на количествата образувани пласт</w:t>
      </w:r>
      <w:r w:rsidR="00617254">
        <w:rPr>
          <w:rFonts w:ascii="Times New Roman" w:eastAsia="Calibri" w:hAnsi="Times New Roman" w:cs="Times New Roman"/>
          <w:color w:val="000000"/>
          <w:sz w:val="24"/>
          <w:szCs w:val="24"/>
        </w:rPr>
        <w:t>масови отпадъци, като приоритет са</w:t>
      </w:r>
      <w:r w:rsidRPr="007A0407">
        <w:rPr>
          <w:rFonts w:ascii="Times New Roman" w:eastAsia="Calibri" w:hAnsi="Times New Roman" w:cs="Times New Roman"/>
          <w:color w:val="000000"/>
          <w:sz w:val="24"/>
          <w:szCs w:val="24"/>
        </w:rPr>
        <w:t xml:space="preserve"> пластмасите за еднократна употреба, подобряване на разделното събиране в домакинствата, намаляване на нежеланите примеси в произвежданите и предлагани на пазара пластмасови изделия и опаковки, които затрудняват последващото им рециклиране. </w:t>
      </w:r>
    </w:p>
    <w:p w:rsidR="007A0407" w:rsidRPr="007A0407" w:rsidRDefault="007A0407" w:rsidP="007A0407">
      <w:p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 xml:space="preserve">Отпадъци от строителство и разрушаване - </w:t>
      </w:r>
      <w:r w:rsidRPr="007A0407">
        <w:rPr>
          <w:rFonts w:ascii="Times New Roman" w:eastAsia="Times New Roman" w:hAnsi="Times New Roman" w:cs="Times New Roman"/>
          <w:color w:val="000000"/>
          <w:sz w:val="24"/>
          <w:szCs w:val="24"/>
        </w:rPr>
        <w:t>Понастоящем изискванията на Наредбата за управление на строителните отпадъци и за влагане на рециклирани строителни материали, която определя процентът на рециклирани строителни материали, които следва да се влагат в определени строителни дейности се изпълнява частично. Инфраструктурата за рециклиране на отпадъци от строителство и разрушаване е недостатъчно изградена. Наблюдава се спад в равнището на рециклиране на отпадъци от строителство и разрушаване – от 90% през 2016 г. до 24% през 2018 г. Нерегламентираното депониране на този вид отпадъци продължава да бъде практика в страната. Необходимо е строителният сектор да поеме водеща роля при предотвратяването и повторната употреба на строителни отпадъци в партньорство с местните власти. Публичните институции също следва да играят много по-сериозна роля като използват обществените поръчки за проектиране на строителни обекти със залагането на рециклирани строителни материали. Липсата на платформа за обмен на информация и добри практики не позволява да се направи връзка между източниците на образуване на различни по вид отпадъци от строителство и разрушаване, наличието на различни по вид рециклирани строителни материали на регионалните съоръжения за рециклиране и строителния сектор в страната.</w:t>
      </w:r>
    </w:p>
    <w:p w:rsidR="00FB376F" w:rsidRPr="00FB376F" w:rsidRDefault="007A0407" w:rsidP="00FB376F">
      <w:pPr>
        <w:keepLines/>
        <w:widowControl w:val="0"/>
        <w:spacing w:after="0" w:line="276" w:lineRule="auto"/>
        <w:jc w:val="both"/>
        <w:rPr>
          <w:rFonts w:ascii="Times New Roman" w:eastAsia="Calibri" w:hAnsi="Times New Roman" w:cs="Times New Roman"/>
          <w:color w:val="0070C0"/>
          <w:sz w:val="24"/>
          <w:szCs w:val="24"/>
        </w:rPr>
      </w:pPr>
      <w:r w:rsidRPr="007A0407">
        <w:rPr>
          <w:rFonts w:ascii="Times New Roman" w:eastAsia="Calibri" w:hAnsi="Times New Roman" w:cs="Times New Roman"/>
          <w:b/>
          <w:color w:val="000000"/>
          <w:sz w:val="24"/>
          <w:szCs w:val="24"/>
        </w:rPr>
        <w:t xml:space="preserve">Хранителни отпадъци - </w:t>
      </w:r>
      <w:r w:rsidRPr="007A0407">
        <w:rPr>
          <w:rFonts w:ascii="Times New Roman" w:eastAsia="Calibri" w:hAnsi="Times New Roman" w:cs="Times New Roman"/>
          <w:color w:val="000000"/>
          <w:sz w:val="24"/>
          <w:szCs w:val="24"/>
        </w:rPr>
        <w:t>Общите количества на образувани хранителни отпадъци в страната е значително – около 500 хил.</w:t>
      </w:r>
      <w:r w:rsidR="007E05BA">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тона – като подобрение в производствените процеси и общото им управление може да доведе до повишена ресурсна ефективност и значително намаляване на въглеродните емисии. </w:t>
      </w:r>
      <w:r w:rsidR="00FB376F">
        <w:rPr>
          <w:rFonts w:ascii="Times New Roman" w:eastAsia="Calibri" w:hAnsi="Times New Roman" w:cs="Times New Roman"/>
          <w:color w:val="000000"/>
          <w:sz w:val="24"/>
          <w:szCs w:val="24"/>
        </w:rPr>
        <w:t xml:space="preserve"> </w:t>
      </w:r>
      <w:r w:rsidR="00FB376F" w:rsidRPr="00FB376F">
        <w:rPr>
          <w:rFonts w:ascii="Times New Roman" w:eastAsia="Calibri" w:hAnsi="Times New Roman" w:cs="Times New Roman"/>
          <w:color w:val="0070C0"/>
          <w:sz w:val="24"/>
          <w:szCs w:val="24"/>
        </w:rPr>
        <w:t xml:space="preserve">Изготвена е </w:t>
      </w:r>
      <w:r w:rsidRPr="00FB376F">
        <w:rPr>
          <w:rFonts w:ascii="Times New Roman" w:eastAsia="Calibri" w:hAnsi="Times New Roman" w:cs="Times New Roman"/>
          <w:color w:val="0070C0"/>
          <w:sz w:val="24"/>
          <w:szCs w:val="24"/>
        </w:rPr>
        <w:t>Национална програма за предотвратяване и намаляване на загубата на храни</w:t>
      </w:r>
      <w:r w:rsidR="008E12A9">
        <w:rPr>
          <w:rFonts w:ascii="Times New Roman" w:eastAsia="Calibri" w:hAnsi="Times New Roman" w:cs="Times New Roman"/>
          <w:color w:val="0070C0"/>
          <w:sz w:val="24"/>
          <w:szCs w:val="24"/>
        </w:rPr>
        <w:t xml:space="preserve"> 2021г.-</w:t>
      </w:r>
      <w:r w:rsidR="00FB376F" w:rsidRPr="00FB376F">
        <w:rPr>
          <w:rFonts w:ascii="Times New Roman" w:eastAsia="Calibri" w:hAnsi="Times New Roman" w:cs="Times New Roman"/>
          <w:color w:val="0070C0"/>
          <w:sz w:val="24"/>
          <w:szCs w:val="24"/>
        </w:rPr>
        <w:t>2026 г.</w:t>
      </w:r>
      <w:r w:rsidRPr="00FB376F">
        <w:rPr>
          <w:rFonts w:ascii="Times New Roman" w:eastAsia="Calibri" w:hAnsi="Times New Roman" w:cs="Times New Roman"/>
          <w:color w:val="0070C0"/>
          <w:sz w:val="24"/>
          <w:szCs w:val="24"/>
        </w:rPr>
        <w:t>,</w:t>
      </w:r>
      <w:r w:rsidR="00AC0CAF">
        <w:rPr>
          <w:rFonts w:ascii="Times New Roman" w:eastAsia="Calibri" w:hAnsi="Times New Roman" w:cs="Times New Roman"/>
          <w:color w:val="0070C0"/>
          <w:sz w:val="24"/>
          <w:szCs w:val="24"/>
        </w:rPr>
        <w:t xml:space="preserve"> (</w:t>
      </w:r>
      <w:hyperlink r:id="rId37" w:history="1">
        <w:r w:rsidR="00AC0CAF" w:rsidRPr="00E8296E">
          <w:rPr>
            <w:rStyle w:val="Hyperlink"/>
            <w:rFonts w:ascii="Times New Roman" w:eastAsia="Calibri" w:hAnsi="Times New Roman" w:cs="Times New Roman"/>
            <w:sz w:val="24"/>
            <w:szCs w:val="24"/>
          </w:rPr>
          <w:t>https://www.mzh.government.bg/bg/politiki-i-programi/politiki-i-strategii/nacionalna-programa-za-predotvratyavane-i-namalyavane-na-zagubat/</w:t>
        </w:r>
      </w:hyperlink>
      <w:r w:rsidR="00AC0CAF">
        <w:rPr>
          <w:rFonts w:ascii="Times New Roman" w:eastAsia="Calibri" w:hAnsi="Times New Roman" w:cs="Times New Roman"/>
          <w:color w:val="0070C0"/>
          <w:sz w:val="24"/>
          <w:szCs w:val="24"/>
        </w:rPr>
        <w:t xml:space="preserve">), </w:t>
      </w:r>
      <w:r w:rsidRPr="00FB376F">
        <w:rPr>
          <w:rFonts w:ascii="Times New Roman" w:eastAsia="Calibri" w:hAnsi="Times New Roman" w:cs="Times New Roman"/>
          <w:color w:val="0070C0"/>
          <w:sz w:val="24"/>
          <w:szCs w:val="24"/>
        </w:rPr>
        <w:t>която</w:t>
      </w:r>
      <w:r w:rsidR="00FB376F" w:rsidRPr="00FB376F">
        <w:rPr>
          <w:rFonts w:ascii="Times New Roman" w:eastAsia="Calibri" w:hAnsi="Times New Roman" w:cs="Times New Roman"/>
          <w:color w:val="0070C0"/>
          <w:sz w:val="24"/>
          <w:szCs w:val="24"/>
        </w:rPr>
        <w:t xml:space="preserve"> е разработена с цел намаляване загубите и разхищението на храни в съответствие с Цел 12.3 на ООН, както и в изпълнение на рамковата директива за отпадъците  2008/98/ЕО на Европейския парламент и на Съвета, изменена с директива (ЕС) 2018/851 на Европейския парламент и на Съвета от 30 май 2018 г. Националната програма за предотвратяване и намаляване на загубата на храни включва следните области на действие: </w:t>
      </w:r>
    </w:p>
    <w:p w:rsidR="00FB376F" w:rsidRPr="00FB376F" w:rsidRDefault="00FB376F" w:rsidP="00FB376F">
      <w:pPr>
        <w:keepLines/>
        <w:widowControl w:val="0"/>
        <w:spacing w:after="0" w:line="276" w:lineRule="auto"/>
        <w:jc w:val="both"/>
        <w:rPr>
          <w:rFonts w:ascii="Times New Roman" w:eastAsia="Calibri" w:hAnsi="Times New Roman" w:cs="Times New Roman"/>
          <w:color w:val="0070C0"/>
          <w:sz w:val="24"/>
          <w:szCs w:val="24"/>
        </w:rPr>
      </w:pPr>
      <w:r w:rsidRPr="00FB376F">
        <w:rPr>
          <w:rFonts w:ascii="Times New Roman" w:eastAsia="Calibri" w:hAnsi="Times New Roman" w:cs="Times New Roman"/>
          <w:color w:val="0070C0"/>
          <w:sz w:val="24"/>
          <w:szCs w:val="24"/>
        </w:rPr>
        <w:t>•</w:t>
      </w:r>
      <w:r w:rsidRPr="00FB376F">
        <w:rPr>
          <w:rFonts w:ascii="Times New Roman" w:eastAsia="Calibri" w:hAnsi="Times New Roman" w:cs="Times New Roman"/>
          <w:color w:val="0070C0"/>
          <w:sz w:val="24"/>
          <w:szCs w:val="24"/>
        </w:rPr>
        <w:tab/>
        <w:t xml:space="preserve">предотвратяване (превенция) загуби (нереализиран излишък) на храни; </w:t>
      </w:r>
    </w:p>
    <w:p w:rsidR="00FB376F" w:rsidRPr="00FB376F" w:rsidRDefault="00FB376F" w:rsidP="00FB376F">
      <w:pPr>
        <w:keepLines/>
        <w:widowControl w:val="0"/>
        <w:spacing w:after="0" w:line="276" w:lineRule="auto"/>
        <w:jc w:val="both"/>
        <w:rPr>
          <w:rFonts w:ascii="Times New Roman" w:eastAsia="Calibri" w:hAnsi="Times New Roman" w:cs="Times New Roman"/>
          <w:color w:val="0070C0"/>
          <w:sz w:val="24"/>
          <w:szCs w:val="24"/>
        </w:rPr>
      </w:pPr>
      <w:r w:rsidRPr="00FB376F">
        <w:rPr>
          <w:rFonts w:ascii="Times New Roman" w:eastAsia="Calibri" w:hAnsi="Times New Roman" w:cs="Times New Roman"/>
          <w:color w:val="0070C0"/>
          <w:sz w:val="24"/>
          <w:szCs w:val="24"/>
        </w:rPr>
        <w:t>•</w:t>
      </w:r>
      <w:r w:rsidRPr="00FB376F">
        <w:rPr>
          <w:rFonts w:ascii="Times New Roman" w:eastAsia="Calibri" w:hAnsi="Times New Roman" w:cs="Times New Roman"/>
          <w:color w:val="0070C0"/>
          <w:sz w:val="24"/>
          <w:szCs w:val="24"/>
        </w:rPr>
        <w:tab/>
        <w:t xml:space="preserve">преразпределение на нереализирани годни храни за консумация от нуждаещи се лица;  </w:t>
      </w:r>
    </w:p>
    <w:p w:rsidR="00FB376F" w:rsidRPr="00FB376F" w:rsidRDefault="00FB376F" w:rsidP="00FB376F">
      <w:pPr>
        <w:keepLines/>
        <w:widowControl w:val="0"/>
        <w:spacing w:after="0" w:line="276" w:lineRule="auto"/>
        <w:jc w:val="both"/>
        <w:rPr>
          <w:rFonts w:ascii="Times New Roman" w:eastAsia="Calibri" w:hAnsi="Times New Roman" w:cs="Times New Roman"/>
          <w:color w:val="0070C0"/>
          <w:sz w:val="24"/>
          <w:szCs w:val="24"/>
        </w:rPr>
      </w:pPr>
      <w:r w:rsidRPr="00FB376F">
        <w:rPr>
          <w:rFonts w:ascii="Times New Roman" w:eastAsia="Calibri" w:hAnsi="Times New Roman" w:cs="Times New Roman"/>
          <w:color w:val="0070C0"/>
          <w:sz w:val="24"/>
          <w:szCs w:val="24"/>
        </w:rPr>
        <w:t>•</w:t>
      </w:r>
      <w:r w:rsidRPr="00FB376F">
        <w:rPr>
          <w:rFonts w:ascii="Times New Roman" w:eastAsia="Calibri" w:hAnsi="Times New Roman" w:cs="Times New Roman"/>
          <w:color w:val="0070C0"/>
          <w:sz w:val="24"/>
          <w:szCs w:val="24"/>
        </w:rPr>
        <w:tab/>
        <w:t xml:space="preserve">осведоменост и информиране на обществото за проблема със загубата и разхищението на храни. </w:t>
      </w:r>
    </w:p>
    <w:p w:rsidR="006807EB" w:rsidRPr="006807EB" w:rsidRDefault="00FB376F" w:rsidP="006807EB">
      <w:pPr>
        <w:keepLines/>
        <w:widowControl w:val="0"/>
        <w:spacing w:after="0" w:line="276" w:lineRule="auto"/>
        <w:jc w:val="both"/>
        <w:rPr>
          <w:rFonts w:ascii="Times New Roman" w:eastAsia="Calibri" w:hAnsi="Times New Roman" w:cs="Times New Roman"/>
          <w:color w:val="000000"/>
          <w:sz w:val="24"/>
          <w:szCs w:val="24"/>
        </w:rPr>
      </w:pPr>
      <w:r w:rsidRPr="00FB376F">
        <w:rPr>
          <w:rFonts w:ascii="Times New Roman" w:eastAsia="Calibri" w:hAnsi="Times New Roman" w:cs="Times New Roman"/>
          <w:color w:val="0070C0"/>
          <w:sz w:val="24"/>
          <w:szCs w:val="24"/>
        </w:rPr>
        <w:t>За изпълнение на Националната програма е изготвен План за действие, съдържащ конкретни мерки за намаляване на загубите и разхищението на храни, срокове за изпълнение и отговорни институции</w:t>
      </w:r>
      <w:r w:rsidR="00371A8E">
        <w:rPr>
          <w:rFonts w:ascii="Times New Roman" w:eastAsia="Calibri" w:hAnsi="Times New Roman" w:cs="Times New Roman"/>
          <w:color w:val="0070C0"/>
          <w:sz w:val="24"/>
          <w:szCs w:val="24"/>
        </w:rPr>
        <w:t>.</w:t>
      </w:r>
      <w:r w:rsidR="00371A8E">
        <w:rPr>
          <w:rFonts w:ascii="Times New Roman" w:eastAsia="Calibri" w:hAnsi="Times New Roman" w:cs="Times New Roman"/>
          <w:color w:val="000000"/>
          <w:sz w:val="24"/>
          <w:szCs w:val="24"/>
        </w:rPr>
        <w:t xml:space="preserve"> Той обхваща </w:t>
      </w:r>
      <w:r w:rsidR="007A0407" w:rsidRPr="007A0407">
        <w:rPr>
          <w:rFonts w:ascii="Times New Roman" w:eastAsia="Calibri" w:hAnsi="Times New Roman" w:cs="Times New Roman"/>
          <w:color w:val="000000"/>
          <w:sz w:val="24"/>
          <w:szCs w:val="24"/>
        </w:rPr>
        <w:t xml:space="preserve">всички етапи на хранителната верига: първично производство; преработка и производство; търговия на дребно и дистрибуция по друг начин; ресторанти и кетъринг услуги; и домакинства. По отношение на хранителните отпадъци от домакинства, много малка част от тях понастоящем се отклоняват от депониране. </w:t>
      </w:r>
      <w:r w:rsidR="006807EB" w:rsidRPr="008913DF">
        <w:rPr>
          <w:rFonts w:ascii="Times New Roman" w:eastAsia="Calibri" w:hAnsi="Times New Roman" w:cs="Times New Roman"/>
          <w:color w:val="0070C0"/>
          <w:sz w:val="24"/>
          <w:szCs w:val="24"/>
        </w:rPr>
        <w:t>Намаляването на загубите и разхищението на храни може да допринесе съществено за: справяне с недохранването чрез преразпределение на излишъка от храни към хора в нужда; намаляване на разходите на селскостопанските производители, преработвателите и дистрибутори на храни, както и на домакинствата, както и в борбата</w:t>
      </w:r>
      <w:r w:rsidR="008E7B03">
        <w:rPr>
          <w:rFonts w:ascii="Times New Roman" w:eastAsia="Calibri" w:hAnsi="Times New Roman" w:cs="Times New Roman"/>
          <w:color w:val="0070C0"/>
          <w:sz w:val="24"/>
          <w:szCs w:val="24"/>
        </w:rPr>
        <w:t xml:space="preserve"> срещу изменението на климата.  Една от </w:t>
      </w:r>
      <w:r w:rsidR="00D50029">
        <w:rPr>
          <w:rFonts w:ascii="Times New Roman" w:eastAsia="Calibri" w:hAnsi="Times New Roman" w:cs="Times New Roman"/>
          <w:color w:val="0070C0"/>
          <w:sz w:val="24"/>
          <w:szCs w:val="24"/>
        </w:rPr>
        <w:t>стратегическите цели</w:t>
      </w:r>
      <w:r w:rsidR="008E7B03">
        <w:rPr>
          <w:rFonts w:ascii="Times New Roman" w:eastAsia="Calibri" w:hAnsi="Times New Roman" w:cs="Times New Roman"/>
          <w:color w:val="0070C0"/>
          <w:sz w:val="24"/>
          <w:szCs w:val="24"/>
        </w:rPr>
        <w:t xml:space="preserve"> на националната програма е намаляване на загубите и разхищението  на храна с 25 % до 2026 година.</w:t>
      </w:r>
    </w:p>
    <w:p w:rsidR="007A0407" w:rsidRPr="00371A8E" w:rsidRDefault="007A0407" w:rsidP="007A0407">
      <w:pPr>
        <w:keepLines/>
        <w:widowControl w:val="0"/>
        <w:spacing w:after="0" w:line="276" w:lineRule="auto"/>
        <w:jc w:val="both"/>
        <w:rPr>
          <w:rFonts w:ascii="Times New Roman" w:eastAsia="Calibri" w:hAnsi="Times New Roman" w:cs="Times New Roman"/>
          <w:color w:val="0070C0"/>
          <w:sz w:val="24"/>
          <w:szCs w:val="24"/>
        </w:rPr>
      </w:pPr>
      <w:r w:rsidRPr="007A0407">
        <w:rPr>
          <w:rFonts w:ascii="Times New Roman" w:eastAsia="Calibri" w:hAnsi="Times New Roman" w:cs="Times New Roman"/>
          <w:color w:val="000000"/>
          <w:sz w:val="24"/>
          <w:szCs w:val="24"/>
        </w:rPr>
        <w:t>Въвеждане на задължително разделно събиране на био-отпадъци от домакинствата, едновременно с доизграждане на общинските системи за третиране на био-отпадъци, ще позволи оползотворяването на около 200 хил.</w:t>
      </w:r>
      <w:r w:rsidR="00CD0202">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тона хранителни отпадъци на година.</w:t>
      </w:r>
    </w:p>
    <w:p w:rsidR="007A0407" w:rsidRPr="007A0407" w:rsidRDefault="007A0407" w:rsidP="007A0407">
      <w:pPr>
        <w:keepLines/>
        <w:widowControl w:val="0"/>
        <w:spacing w:after="0" w:line="276" w:lineRule="auto"/>
        <w:jc w:val="both"/>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 xml:space="preserve">Биомаса и продукти на биологична основа - </w:t>
      </w:r>
      <w:r w:rsidRPr="007A0407">
        <w:rPr>
          <w:rFonts w:ascii="Times New Roman" w:eastAsia="Times New Roman" w:hAnsi="Times New Roman" w:cs="Times New Roman"/>
          <w:color w:val="000000"/>
          <w:sz w:val="24"/>
          <w:szCs w:val="24"/>
        </w:rPr>
        <w:t>Произведена енергия от биомаса надхвърля 1 млн.</w:t>
      </w:r>
      <w:r w:rsidR="00CD0202">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color w:val="000000"/>
          <w:sz w:val="24"/>
          <w:szCs w:val="24"/>
        </w:rPr>
        <w:t>тона, което представлява над 10% от общото потребление на енергия в страната. В България домакинствата потребяват 70% от енергията произведена от биомаса. Макар потенциалът за използване на отпадна дървесина за производство на енергия да позволява още по-висок дял на биомасата в енергийния баланс на страната, приоритет следва да бъде нейната преработка, а не енергийно оползотворяване. В същото време има много голям неизползван потенциал в оползотворяването на твърди селскостопански отпадъци от стъбла от царевица за зърно, слънчоглед и други. Количествата твърди селскостопански отпадъци в страната се изчисляват на над 2 млн.</w:t>
      </w:r>
      <w:r w:rsidR="00CD0202">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color w:val="000000"/>
          <w:sz w:val="24"/>
          <w:szCs w:val="24"/>
        </w:rPr>
        <w:t>тона годишно. Сегашната практика за неоползотворяване на голяма част от тези селскостопански отпадъци представлява загуба на ресурс за преработка и производство. Липсата на платформа за обмен на информация и добри практики не позволява да се направи връзка между източниците на образуване на биомаса в страната и производители и преработватели, които биха искали да оползотворят наличната биомаса в производството на различни продукти.</w:t>
      </w:r>
    </w:p>
    <w:p w:rsidR="007A0407" w:rsidRPr="007A0407" w:rsidRDefault="007A0407" w:rsidP="007A0407">
      <w:pPr>
        <w:keepNext/>
        <w:keepLines/>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b/>
          <w:bCs/>
          <w:color w:val="000000"/>
          <w:sz w:val="24"/>
          <w:szCs w:val="24"/>
        </w:rPr>
        <w:t xml:space="preserve">Основни суровини - </w:t>
      </w:r>
      <w:r w:rsidRPr="007A0407">
        <w:rPr>
          <w:rFonts w:ascii="Times New Roman" w:eastAsia="Times New Roman" w:hAnsi="Times New Roman" w:cs="Times New Roman"/>
          <w:color w:val="000000"/>
          <w:sz w:val="24"/>
          <w:szCs w:val="24"/>
        </w:rPr>
        <w:t xml:space="preserve">Минно-добивната и преработвателната промишленост и металургията в България са много-добре развити и предоставят основен принос за националната икономика. Някои от суровините от критично значение за ЕС присъстват на територията на страната като основни полезни изкопаеми, а други компоненти се намират като изоморфни примеси в минералите на други минерали. Проучване на потенциала за добив на суровини от критично значение при експлоатацията на съществуващи находища и при бъдещи проучвателни дейности може да доведе до значителни икономически ползи.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spacing w:after="0" w:line="276" w:lineRule="auto"/>
        <w:rPr>
          <w:rFonts w:ascii="Times New Roman" w:eastAsia="Calibri" w:hAnsi="Times New Roman" w:cs="Times New Roman"/>
          <w:color w:val="000000"/>
          <w:sz w:val="24"/>
          <w:szCs w:val="24"/>
        </w:rPr>
      </w:pPr>
    </w:p>
    <w:p w:rsidR="007A0407" w:rsidRPr="007A0407" w:rsidRDefault="007A0407" w:rsidP="007A0407">
      <w:pPr>
        <w:spacing w:after="0" w:line="276" w:lineRule="auto"/>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УЧАСТНИЦИ В ПРОЦЕСА ПО КРЪГОВА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Преходът към кръговата икономика е свързан с промяна на съществуващия линеен икономически модел и изисква участието на всички засегнати страни – потребители, бизнес и държава. Всеки един трябва да осъзнае необходимостта от спешни действия в посока промяна на статуквото и създаване на една устойчива и екологосъобразна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 xml:space="preserve">Общество </w:t>
      </w:r>
      <w:r w:rsidRPr="007A0407">
        <w:rPr>
          <w:rFonts w:ascii="Times New Roman" w:eastAsia="Calibri" w:hAnsi="Times New Roman" w:cs="Times New Roman"/>
          <w:color w:val="000000"/>
          <w:sz w:val="24"/>
          <w:szCs w:val="24"/>
        </w:rPr>
        <w:t xml:space="preserve">трябва да започне да потребява по един по-устойчив начин като отчита влиянието на използваните стоки и услуги върху природата. Без активното участие на домакинствата в системите </w:t>
      </w:r>
      <w:r w:rsidR="00A66F48">
        <w:rPr>
          <w:rFonts w:ascii="Times New Roman" w:eastAsia="Calibri" w:hAnsi="Times New Roman" w:cs="Times New Roman"/>
          <w:color w:val="000000"/>
          <w:sz w:val="24"/>
          <w:szCs w:val="24"/>
        </w:rPr>
        <w:t xml:space="preserve">за </w:t>
      </w:r>
      <w:r w:rsidRPr="007A0407">
        <w:rPr>
          <w:rFonts w:ascii="Times New Roman" w:eastAsia="Calibri" w:hAnsi="Times New Roman" w:cs="Times New Roman"/>
          <w:color w:val="000000"/>
          <w:sz w:val="24"/>
          <w:szCs w:val="24"/>
        </w:rPr>
        <w:t xml:space="preserve">разделно събиране на отпадъци, усилията за постигане на висококачествено рециклиране и връщане на вторични материали за производство не биха дали резултат. От основна важност са усилията, които следва да се насочат към повишаване на осведомеността на обществото за неговата роля в прехода към кръгова икономика. В тази насока са насочени и мерките, заложени в Стратегията.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 xml:space="preserve">Бизнесът </w:t>
      </w:r>
      <w:r w:rsidRPr="007A0407">
        <w:rPr>
          <w:rFonts w:ascii="Times New Roman" w:eastAsia="Calibri" w:hAnsi="Times New Roman" w:cs="Times New Roman"/>
          <w:color w:val="000000"/>
          <w:sz w:val="24"/>
          <w:szCs w:val="24"/>
        </w:rPr>
        <w:t>следва да бъде двигател на прехода към кръгова икономика чрез разработване и прилагане на ресурсно ефективни решения, които да го направят по</w:t>
      </w:r>
      <w:r w:rsidR="00A66F48">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конкуре</w:t>
      </w:r>
      <w:r w:rsidR="00A66F48">
        <w:rPr>
          <w:rFonts w:ascii="Times New Roman" w:eastAsia="Calibri" w:hAnsi="Times New Roman" w:cs="Times New Roman"/>
          <w:color w:val="000000"/>
          <w:sz w:val="24"/>
          <w:szCs w:val="24"/>
        </w:rPr>
        <w:t>н</w:t>
      </w:r>
      <w:r w:rsidRPr="007A0407">
        <w:rPr>
          <w:rFonts w:ascii="Times New Roman" w:eastAsia="Calibri" w:hAnsi="Times New Roman" w:cs="Times New Roman"/>
          <w:color w:val="000000"/>
          <w:sz w:val="24"/>
          <w:szCs w:val="24"/>
        </w:rPr>
        <w:t>тоспособен, но същевременно да намалят отпечатъка от дейността му върху околната среда и климата. Освен в оптимизацията на производствените процеси и суровините от критична важност за ЕС, Стратегията предвижда бизнесът да има водеща роля в рециклирането на отпадъци,  както и оползотворяването на отпадъците от строителство и разрушаване и твърди селскостопански отпадъци.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 xml:space="preserve">Правителство </w:t>
      </w:r>
      <w:r w:rsidRPr="007A0407">
        <w:rPr>
          <w:rFonts w:ascii="Times New Roman" w:eastAsia="Calibri" w:hAnsi="Times New Roman" w:cs="Times New Roman"/>
          <w:color w:val="000000"/>
          <w:sz w:val="24"/>
          <w:szCs w:val="24"/>
        </w:rPr>
        <w:t>разработва и провежда държавната политика в областта на кръговата икономика. Настоящата Стратегия се явява съществена част от тази политика. Освен това, то следва да създаде необходимите законови рамки, стимули и мотивация у бизнеса и обществото за промяна на моделите на поведение към устойчивост.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bCs/>
          <w:color w:val="000000"/>
          <w:sz w:val="24"/>
          <w:szCs w:val="24"/>
        </w:rPr>
        <w:t>Местните власти</w:t>
      </w:r>
      <w:r w:rsidRPr="007A0407">
        <w:rPr>
          <w:rFonts w:ascii="Times New Roman" w:eastAsia="Calibri" w:hAnsi="Times New Roman" w:cs="Times New Roman"/>
          <w:color w:val="000000"/>
          <w:sz w:val="24"/>
          <w:szCs w:val="24"/>
        </w:rPr>
        <w:t xml:space="preserve"> следва да имат много по-активна роля в усилията за насърчаване на кръговостта в икономиката. Като основен ползвател на обществените поръчки, те могат да залагат изисквания за екологични стоки, услуги и системи за управление на околната среда. Законови инструменти като отчисленията за насърчаване на рециклиране и оползотворяване на отпадъците следва да се използват по предназначение. </w:t>
      </w:r>
    </w:p>
    <w:p w:rsid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Общинските програми за управление на отпадъците за периода 2021-2028 година, следва да </w:t>
      </w:r>
      <w:r w:rsidRPr="00AC0CAF">
        <w:rPr>
          <w:rFonts w:ascii="Times New Roman" w:eastAsia="Calibri" w:hAnsi="Times New Roman" w:cs="Times New Roman"/>
          <w:color w:val="0070C0"/>
          <w:sz w:val="24"/>
          <w:szCs w:val="24"/>
        </w:rPr>
        <w:t>дават я</w:t>
      </w:r>
      <w:r w:rsidRPr="007A0407">
        <w:rPr>
          <w:rFonts w:ascii="Times New Roman" w:eastAsia="Calibri" w:hAnsi="Times New Roman" w:cs="Times New Roman"/>
          <w:color w:val="000000"/>
          <w:sz w:val="24"/>
          <w:szCs w:val="24"/>
        </w:rPr>
        <w:t>сен приоритет на предотвратяването, повторната употреба и рециклирането на битови отпадъци.</w:t>
      </w:r>
    </w:p>
    <w:p w:rsidR="00346C4F" w:rsidRDefault="00346C4F" w:rsidP="00346C4F">
      <w:pPr>
        <w:spacing w:after="0" w:line="276" w:lineRule="auto"/>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Стратегията за кръгова икономика си поставя три стратегически цели – зелена и конкурентноспособна икономика, икономика в полза на потребителите и по-малко отпадъци, повече ресурси.</w:t>
      </w:r>
    </w:p>
    <w:p w:rsidR="008101DC" w:rsidRPr="007A0407" w:rsidRDefault="008101DC"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spacing w:after="0" w:line="276" w:lineRule="auto"/>
        <w:rPr>
          <w:rFonts w:ascii="Times New Roman" w:eastAsia="Calibri" w:hAnsi="Times New Roman" w:cs="Times New Roman"/>
          <w:b/>
          <w:bCs/>
          <w:color w:val="000000"/>
          <w:sz w:val="24"/>
          <w:szCs w:val="24"/>
          <w:u w:val="single"/>
        </w:rPr>
      </w:pPr>
      <w:r w:rsidRPr="007A0407">
        <w:rPr>
          <w:rFonts w:ascii="Times New Roman" w:eastAsia="Calibri" w:hAnsi="Times New Roman" w:cs="Times New Roman"/>
          <w:b/>
          <w:bCs/>
          <w:color w:val="000000"/>
          <w:sz w:val="24"/>
          <w:szCs w:val="24"/>
          <w:u w:val="single"/>
        </w:rPr>
        <w:t>Стратегически цели:</w:t>
      </w:r>
    </w:p>
    <w:p w:rsidR="007A0407" w:rsidRPr="007A0407" w:rsidRDefault="007A0407" w:rsidP="007A0407">
      <w:pPr>
        <w:numPr>
          <w:ilvl w:val="0"/>
          <w:numId w:val="24"/>
        </w:numPr>
        <w:spacing w:after="0" w:line="276" w:lineRule="auto"/>
        <w:contextualSpacing/>
        <w:rPr>
          <w:rFonts w:ascii="Times New Roman" w:eastAsia="Calibri" w:hAnsi="Times New Roman" w:cs="Times New Roman"/>
          <w:b/>
          <w:i/>
          <w:color w:val="000000"/>
          <w:sz w:val="24"/>
          <w:szCs w:val="24"/>
        </w:rPr>
      </w:pPr>
      <w:bookmarkStart w:id="1" w:name="_Hlk54014634"/>
      <w:r w:rsidRPr="007A0407">
        <w:rPr>
          <w:rFonts w:ascii="Times New Roman" w:eastAsia="Calibri" w:hAnsi="Times New Roman" w:cs="Times New Roman"/>
          <w:b/>
          <w:i/>
          <w:color w:val="000000"/>
          <w:sz w:val="24"/>
          <w:szCs w:val="24"/>
        </w:rPr>
        <w:t>Стратегическа цел 1: Зелена и конкурентоспособна икономика</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1.1: По-висока производителност на ресурсите</w:t>
      </w:r>
    </w:p>
    <w:p w:rsidR="007A0407" w:rsidRPr="007A0407" w:rsidRDefault="00CD4D43" w:rsidP="007A0407">
      <w:pPr>
        <w:keepNext/>
        <w:keepLines/>
        <w:spacing w:after="0" w:line="276" w:lineRule="auto"/>
        <w:jc w:val="both"/>
        <w:rPr>
          <w:rFonts w:ascii="Times New Roman" w:eastAsia="Times New Roman" w:hAnsi="Times New Roman" w:cs="Times New Roman"/>
          <w:bCs/>
          <w:color w:val="000000"/>
          <w:sz w:val="24"/>
          <w:szCs w:val="24"/>
        </w:rPr>
      </w:pPr>
      <w:r>
        <w:rPr>
          <w:rFonts w:ascii="Times New Roman" w:eastAsia="Calibri" w:hAnsi="Times New Roman" w:cs="Times New Roman"/>
          <w:color w:val="000000"/>
          <w:sz w:val="24"/>
          <w:szCs w:val="24"/>
        </w:rPr>
        <w:t>Залага се на с</w:t>
      </w:r>
      <w:r w:rsidR="007A0407" w:rsidRPr="007A0407">
        <w:rPr>
          <w:rFonts w:ascii="Times New Roman" w:eastAsia="Calibri" w:hAnsi="Times New Roman" w:cs="Times New Roman"/>
          <w:color w:val="000000"/>
          <w:sz w:val="24"/>
          <w:szCs w:val="24"/>
        </w:rPr>
        <w:t xml:space="preserve">тимули за ефективното използване на природните ресурси и повишаването на производителността им в промишлеността, като се поставя приоритет върху ключовите вериги за стойност в производството на електроника и ИКТ, храни, текстил, акумулатори и автомобилни части и в строителството. </w:t>
      </w:r>
    </w:p>
    <w:p w:rsidR="007A0407" w:rsidRPr="007A0407" w:rsidRDefault="007A0407" w:rsidP="007A0407">
      <w:pPr>
        <w:keepNext/>
        <w:keepLines/>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Предприемането на действия за оптимизация и ускоряване на процеса по издаване на разрешения за производствена дейност и завишаване на контрола върху спазването на изискванията на екологичното законодателство се очаква да подпомогнат прехода към кръгова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И за да се затвори кръга от мерки, ще се вложат усилия в информирането на предприятията и земеделските производители за възможностите за понижаване на количествата ресурси, които използват.</w:t>
      </w:r>
    </w:p>
    <w:p w:rsidR="007A0407" w:rsidRPr="007A0407" w:rsidRDefault="007A0407" w:rsidP="007A0407">
      <w:pPr>
        <w:spacing w:after="0" w:line="276" w:lineRule="auto"/>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1.2: Нови бизнес модели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Кръговите бизнес модели служат за намаляването на добива и по-слабото използване на природни ресурси. В резултат образуването на промишлени и битови отпадъци също спада. Те представляват ключовите дейности, необходими за прехода към по-ефективно използване на ресурсите и кръгова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Кръговите бизнес модели използват вече съществуващи материали и продукти като входящи материали и следователно техният отпечатък върху околната среда е значително по-малък от този за традиционните бизнес модели.</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1.3: Свързаност в икономиката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Създаването на партньорства, съвместната работа и обмен на материали  между предприятията могат да увеличат устойчивостта и икономическите печалби, като същевременно намалят въздействието върху околната среда и разходите.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 постигането на свързаност в икономиката ще бъдат създадени и популяризирани платформи за пазар на ресурси. Споделянето на ефекта от вече внедрени технологии ще даде увереност на предприятията от преработващата промишленост, че стъпките към кръгова икономика имат икономически полза. Ще се осигурят условия за пазар за материалите, на който доставчиците и потребителите на материалите за последващо производство да осъществяват контакт, чрез технологии за онлайн информация и комуникация. Ще се предоставят площите в индустриалните зони и паркове с приоритет на групи от предприятия, които участват в индустриална симбиоза.</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1.4: България допринася за доставките на критични суровини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Тези суровини, които са от най-голямо икономическо значение и при които има висок риск по отношение на доставките, се наричат суровини от критично значение. Достъпът до ресурси и устойчивото развитие са от ключово значение за устойчивостта на ЕС по отношение на суровините. Постигането на сигурност на ресурсите изисква действие за диверсификация на доставките както от първични, така и от вторични източници, намаляване на зависимостите и подобряване на ефективността и кръговостта на ресурсите, включително производството на устойчиви, надеждни и дълготрайни продукти. Това важи за всички суровини, включително неблагородни метали, промишлени минерали, агрегати и биотични материали, но е дори по-необходимо, когато се отнася до суровините, които са от критично значение за ЕС и в частност България.</w:t>
      </w:r>
      <w:r w:rsidRPr="007A0407">
        <w:rPr>
          <w:rFonts w:ascii="Times New Roman" w:eastAsia="Calibri" w:hAnsi="Times New Roman" w:cs="Times New Roman"/>
          <w:b/>
          <w:bCs/>
          <w:color w:val="000000"/>
          <w:sz w:val="24"/>
          <w:szCs w:val="24"/>
        </w:rPr>
        <w:t xml:space="preserve"> Изготвяне на национален списък на суровините от критично значение</w:t>
      </w:r>
      <w:r w:rsidRPr="007A0407">
        <w:rPr>
          <w:rFonts w:ascii="Times New Roman" w:eastAsia="Calibri" w:hAnsi="Times New Roman" w:cs="Times New Roman"/>
          <w:color w:val="000000"/>
          <w:sz w:val="24"/>
          <w:szCs w:val="24"/>
        </w:rPr>
        <w:t>, включващо както суровини съдържащи се списъка на ЕС, така и допълнителни минерални суровини ще послужи като основа за бъдещото развитие на сектора.</w:t>
      </w:r>
    </w:p>
    <w:p w:rsidR="007A0407" w:rsidRPr="007A0407" w:rsidRDefault="007A0407" w:rsidP="007A0407">
      <w:pPr>
        <w:numPr>
          <w:ilvl w:val="0"/>
          <w:numId w:val="24"/>
        </w:numPr>
        <w:spacing w:after="0" w:line="276" w:lineRule="auto"/>
        <w:contextualSpacing/>
        <w:rPr>
          <w:rFonts w:ascii="Times New Roman" w:eastAsia="Calibri" w:hAnsi="Times New Roman" w:cs="Times New Roman"/>
          <w:b/>
          <w:i/>
          <w:color w:val="000000"/>
          <w:sz w:val="24"/>
          <w:szCs w:val="24"/>
        </w:rPr>
      </w:pPr>
      <w:r w:rsidRPr="007A0407">
        <w:rPr>
          <w:rFonts w:ascii="Times New Roman" w:eastAsia="Calibri" w:hAnsi="Times New Roman" w:cs="Times New Roman"/>
          <w:b/>
          <w:i/>
          <w:color w:val="000000"/>
          <w:sz w:val="24"/>
          <w:szCs w:val="24"/>
        </w:rPr>
        <w:t>Стратегическа цел 2: По-малко отпадъци, повече ресурси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Целта е да се образуват все по-малко отпадъци, чрез насърчаване на дейности по повторна употреба, поправка, ремонт и преработка на продуктите. Ще се осигурят стимули за изграждането на центрове за повторна употреба в градовете.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Ще бъдат въведени нови схеми на отговорност, които да насърчат екологичното поведение на предприятията. Ще се насърчава висококачественото рециклиране, чрез насърчаване на разделното събиране и предоставяне на повече и по-качествени вторични суровини за преработващите предприятия.</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Депонираните отпадъци ще се сведат до минимум, чрез разширяване на системите за разделно събиране и нови технологии и инсталации за преработка на останалите отпадъци.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Депонираните отпадъци ще се намалят и чрез промяна в начина на събиране на битовите отпадъци и въвеждане на справедливо заплащане на услугите в зависимост от количеството на отпадъците. </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 xml:space="preserve">Специфична цел 2.1: По-малко отпадъци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Предотвратяването на отпадъци е най-предпочитаната възможност в националната политика по управление на отпадъци.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Отчитаните високи количества образувани битови отпадъци от някои общини налагат въвеждане на мерки на общинско ниво за предотвратяване образуването на отпадъци. Общинските програми за развитие и програмите за управление на отпадъците, следва да отделят по-голямо внимание на предотвратяването на отпадъци, възможните решения и ползите за местните общности, свързани с прехода към кръгова икономика. Тъй като общините ще играят ключова роля в прехода към кръгова икономика, те ще следва да разработят общински програми за преход към кръгова икономика като самостоятелни документи или като част от техните програми за развитие.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По-рационалното използване на материални ресурси и подобряването на логистиката на доставките и дистрибуцията следва да допринесат за намаляване образуването на отпадъци при производствени процеси.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Прилагането на нови бизнес модели насочени към удължаване на полезния живот на продукта, предоставянето на повече възможности за поправка и ремонт, използването на платформи за споделяне от потребителите, в т.ч. в резултат на по-голямата дигитализация в сектора на услугите, също следва да допринесат за намаляване на количествата образувани отпадъци.</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 рамките на стратегията приоритетно внимание ще бъде отделено на намаляването на хранителните отпадъци и някои категории пластмасови изделия и опаковки за еднократна употреба.</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2.2: Повече възможности за устойчива употреба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Необходимо е повече продукти да бъдат проектирани за по-дълъг живот, готови да бъдат разглобени, ремонтирани и евентуално рециклирани.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Системите за разделно събиране на едрогабаритни отпадъци, най-вече в големите общини следва да отчитат възможностите за повторна употреба на стари мебели и електрическо оборудване, както и други категории продукти използвани в бита.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Ще се разчита на волята на строителните предприемачи за постигането на доброволно споразумение с централната и местна администрации във връзка с ангажиментите им за използването на устойчиви материали.</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2.3: Повече рециклирани отпадъци, по-качествени суровини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Разделното събиране на отпадъците трябва да стане обща и осъзната практика и начин на поведение, а не действие с пожелателен и доброволен характер.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Разделното събиране на рециклируеми фракции, био-отпадъци и опасни отпадъци от домакинствата ще стане задължително и ще бъде подкрепено с прилагането на нови и по-ефективни методи за разделно събиране и разработването на стимули, насърчаващи участието на домакинствата.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В подкрепа на разделното събиране е необходима и цялостна промяна в начина на събиране на смесени битови отпадъци и преминаване към заплащане на услугите пропорционално на количеството и/или обема на отпадъците.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Общините трябва да ускорят изграждането на площадки за предаване на отпадъци от домакинствата, с което да бъдат осигурени допълнителни възможности за повторна употреба и рециклиране на отпадъци, които в момента не са обхванати в системите за разделно събиране.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Системите за разширена отговорност на производителя ще продължат да имат водеща роля за организиране и финансиране на разделното събиране, рециклирането и оползотворяването на масово разпространени отпадъци. За различните категории отпадъци трябва да бъдат разгледани нови по-амбициозни цели за рециклиране, както и въвеждането на нови иновативни модели за управление, отчитащи развитието на технологиите в сектора.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Рециклирането на пластмасови отпадъци е един от секторите, в които страната отчита постигането на по-добри резултати от средните за ЕС. Независимо от сравнително малкия пазар, страната може да играе водеща роля, където секторите, произвеждащи пластмаси, пластмасови изделия и опаковки, потреблението на пластмаси, разделното събиране и рециклирането на пластмасови отпадъци, подкрепени от системите за образование и научни изследвания, оказват минимално въздействие върху околната среда.</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2.4: Без депонирани отпадъци</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Постигането на по-високи цели за рециклиране и намаляване на количествата депонирани битови отпадъци, налагат изграждането на нови инсталации за третиране. </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Постигането на високи нива на повторна употреба и рециклиране и изграждането на нови инсталации за третиране на битови отпадъци ще изисква допълнителни и по-високи разходи. За целта е нужно да бъде осигурено допълнително финансиране от публичния и частния сектор, както и да се гарантира, че събраните средства ще бъдат разходвани разумно и ефективно.</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Строителството на нови ПСОВ предполага нарастване на количествата образувани утайки и изисква прилагането на мерки за ограничаване на съдържащите се в тях опасни вещества и осигуряване на подходящи възможности за оползотворяване.  Необходимо е увеличаване на количествата вторични суровини влагани в производството на продукти и изделия, разширяване на пазара на вторични суровини, чрез включване на нови материали и производства, ефективно прилагане на национални критерии за край на отпадъка за определени категории материали и други мерки за повишаване качеството на вторичните суровини.</w:t>
      </w:r>
    </w:p>
    <w:p w:rsidR="007A0407" w:rsidRPr="007A0407" w:rsidRDefault="007A0407" w:rsidP="007A0407">
      <w:pPr>
        <w:numPr>
          <w:ilvl w:val="0"/>
          <w:numId w:val="24"/>
        </w:numPr>
        <w:spacing w:after="0" w:line="276" w:lineRule="auto"/>
        <w:contextualSpacing/>
        <w:rPr>
          <w:rFonts w:ascii="Times New Roman" w:eastAsia="Calibri" w:hAnsi="Times New Roman" w:cs="Times New Roman"/>
          <w:b/>
          <w:i/>
          <w:color w:val="000000"/>
          <w:sz w:val="24"/>
          <w:szCs w:val="24"/>
        </w:rPr>
      </w:pPr>
      <w:r w:rsidRPr="007A0407">
        <w:rPr>
          <w:rFonts w:ascii="Times New Roman" w:eastAsia="Calibri" w:hAnsi="Times New Roman" w:cs="Times New Roman"/>
          <w:b/>
          <w:i/>
          <w:color w:val="000000"/>
          <w:sz w:val="24"/>
          <w:szCs w:val="24"/>
        </w:rPr>
        <w:t>Стратегическа цел 3: Икономика в полза на потребителите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Ежедневният избор на продукти и услуги определя бъдещето на следващите поколения. Кръговата икономика ще стимулира потребителите да се възползват от възможността да правят информиран избор и да вземат дейно участие в екологичния преход. Надеждната, съпоставима и проверима информация за продуктите ще е значим фактор по отношение на възможността за по-устойчиви решения.</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Моделите на потребление, основани на наем и споделяне на стоки и услуги, или избора на продукти за многократна употреба, които подлежат на поправка, ще се подкрепят, доколкото те са наистина устойчиви и достъпни.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Постигането на устойчиво потребление е свързано не само с действията на гражданите. Публичните органи, включително държавните институции, като значим потребител на стоки и услуги също няма да правят изключение и ще прилагат повече „зелени“ критерии в обществените си поръчки.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Промяната в моделите на поведение изисква постоянство и в дейностите за намаляване на отпадъците. Гражданите имат основна роля в разделното събиране на отпадъци и ще бъдат информирани и обучени как да се ангажират да правят това по-добре.</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Кръговата икономика предоставя възможност за икономическа активност и откриването на нови работни места при съчетаване на социалните и икономическите ползи.</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Специфична цел 3.1:  По – добре информирани потребители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Това означава участниците по веригата – производители, търговци и потребители да са ангажирани с въпроса.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Производителите ще бъдат насърчавани да проектират, произвеждат и рекламират продукти, на които е направена оценка по отношение въздействието върху околната среда на всички етапи от жизнения цикъл.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Търговците ще предлагат тези продукти по подходящ начин, като предоставят надеждна и полезна информация относно показателите им за устойчивост в търговските обекти.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Потребителите ще бъдат информирани относно правилата за ползването на екологичните маркировки и прилаганите сертификационни схеми, така че да бъде създадено доверие и предпочитания към продуктите щадящи околната среда. Предоставяната информация трябва да бъде насочена целево към различните възрастови и социални групи. Това ще даде възможност в тези дейности да се включат както училищата, университетите, така и организациите за защита на потребителите/НПО.</w:t>
      </w:r>
    </w:p>
    <w:p w:rsidR="007A0407" w:rsidRPr="007A0407" w:rsidRDefault="007A0407" w:rsidP="007A0407">
      <w:pPr>
        <w:spacing w:after="0" w:line="276" w:lineRule="auto"/>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 xml:space="preserve">Специфична цел 3.2: Устойчиви модели на поведение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Кръговата икономика означава устойчиви модели на поведение на администрацията, бизнеса и потребителите.  Популяризирането на възможностите за ремонт, отдаване под наем и съвместното ползване на продукти  или закупуване на услуга вместо продукт чрез електронни платформи и информационни кампании е стъпка в правилната посока за увеличаване продължителността на живот на продуктите. Създаването на центрове за повторна употреба на ключови места в градовете с цел улесняване на достъпа на гражданите до такъв тип услуги би подпомогнало устойчивото поведение.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Преходът към кръгова икономика изисква силна ангажираност на гражданите в процесите на управление на битови отпадъци. Предоставянето на допълнителна информация от общините за дейността на площадките за разделно събиране и подобряване на разделното събиране биха подпомогнали оползотворяването на отпадъците.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Производителите, държавните, публичните и частни организации са също потребители, които могат значително да повлияят на пазара на устойчиви продукти и услуги. Прилагане на Практическото помагало за възлагане на „зелени“ обществени поръчки и повишаването на компетентността чрез организиране на информационни кампании сред широк кръг експерти в организациите - възложители за запознаване с изискванията за „зелени“ критерии ще стимулира производството на екологични на продукти.</w:t>
      </w:r>
    </w:p>
    <w:p w:rsidR="007A0407" w:rsidRPr="007A0407" w:rsidRDefault="007A0407" w:rsidP="007A0407">
      <w:pPr>
        <w:spacing w:after="0" w:line="276" w:lineRule="auto"/>
        <w:contextualSpacing/>
        <w:rPr>
          <w:rFonts w:ascii="Times New Roman" w:eastAsia="Calibri" w:hAnsi="Times New Roman" w:cs="Times New Roman"/>
          <w:color w:val="000000"/>
          <w:sz w:val="24"/>
          <w:szCs w:val="24"/>
          <w:u w:val="single"/>
        </w:rPr>
      </w:pPr>
      <w:r w:rsidRPr="007A0407">
        <w:rPr>
          <w:rFonts w:ascii="Times New Roman" w:eastAsia="Calibri" w:hAnsi="Times New Roman" w:cs="Times New Roman"/>
          <w:color w:val="000000"/>
          <w:sz w:val="24"/>
          <w:szCs w:val="24"/>
          <w:u w:val="single"/>
        </w:rPr>
        <w:t xml:space="preserve">Специфична цел 3.3: </w:t>
      </w:r>
      <w:bookmarkEnd w:id="1"/>
      <w:r w:rsidRPr="007A0407">
        <w:rPr>
          <w:rFonts w:ascii="Times New Roman" w:eastAsia="Calibri" w:hAnsi="Times New Roman" w:cs="Times New Roman"/>
          <w:color w:val="000000"/>
          <w:sz w:val="24"/>
          <w:szCs w:val="24"/>
          <w:u w:val="single"/>
        </w:rPr>
        <w:t>Социална зелена икономика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bookmarkStart w:id="2" w:name="_Hlk53891184"/>
      <w:bookmarkStart w:id="3" w:name="_Hlk53891185"/>
      <w:r w:rsidRPr="007A0407">
        <w:rPr>
          <w:rFonts w:ascii="Times New Roman" w:eastAsia="Calibri" w:hAnsi="Times New Roman" w:cs="Times New Roman"/>
          <w:color w:val="000000"/>
          <w:sz w:val="24"/>
          <w:szCs w:val="24"/>
        </w:rPr>
        <w:t xml:space="preserve">Преходът към кръгова икономика ще окаже положителен ефект върху създаването на работни места. Потенциал в тази област има за фирмите, ангажирани с дейности по поправка и ремонт, които ще бъдат подпомогнати да присъстват на ключови места и в центрове за повторна употреба в градовете.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Ползите от кръговата икономика ще се разширят чрез насърчаване на социалното предприемачество и засилване на социалното приобщаване. Това е възможност да се подобри достъпа до заетост и обучения за придобиване или усъвършенстване на професионалната квалификация на хора от уязвимите групи.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Обществото ще обедини усилия за приобщаването на всички социални групи в рамките на зеленото предприемачество.</w:t>
      </w:r>
      <w:bookmarkEnd w:id="2"/>
      <w:bookmarkEnd w:id="3"/>
    </w:p>
    <w:p w:rsidR="007A0407" w:rsidRPr="007A0407" w:rsidRDefault="007A0407" w:rsidP="007A0407">
      <w:pPr>
        <w:spacing w:after="0" w:line="276" w:lineRule="auto"/>
        <w:ind w:left="360"/>
        <w:jc w:val="both"/>
        <w:rPr>
          <w:rFonts w:ascii="Times New Roman" w:eastAsia="Calibri" w:hAnsi="Times New Roman" w:cs="Times New Roman"/>
          <w:color w:val="000000"/>
          <w:sz w:val="24"/>
          <w:szCs w:val="24"/>
        </w:rPr>
      </w:pPr>
    </w:p>
    <w:p w:rsidR="007A0407" w:rsidRPr="007A0407" w:rsidRDefault="007A0407" w:rsidP="007A0407">
      <w:pPr>
        <w:numPr>
          <w:ilvl w:val="0"/>
          <w:numId w:val="3"/>
        </w:numPr>
        <w:shd w:val="clear" w:color="auto" w:fill="DAF0F3"/>
        <w:tabs>
          <w:tab w:val="left" w:pos="426"/>
        </w:tabs>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Национални нормативни и стратегически актове за управление на отпадъците (новите моменти приети след 2018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32"/>
        </w:numPr>
        <w:tabs>
          <w:tab w:val="left" w:pos="426"/>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Закон за управление на отпадъците</w:t>
      </w:r>
      <w:r w:rsidRPr="007A0407">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i/>
          <w:color w:val="000000"/>
          <w:sz w:val="24"/>
          <w:szCs w:val="24"/>
        </w:rPr>
        <w:t>ДВ, бр. 53 от 13.07.2012 г., посл. изм. ДВ, бр. 19 от 05.03.2021 г.</w:t>
      </w:r>
      <w:r w:rsidRPr="007A0407">
        <w:rPr>
          <w:rFonts w:ascii="Times New Roman" w:eastAsia="Calibri" w:hAnsi="Times New Roman" w:cs="Times New Roman"/>
          <w:color w:val="000000"/>
          <w:sz w:val="24"/>
          <w:szCs w:val="24"/>
        </w:rPr>
        <w:t>)</w:t>
      </w:r>
    </w:p>
    <w:p w:rsidR="007A0407" w:rsidRPr="007A0407" w:rsidRDefault="007A0407" w:rsidP="007A0407">
      <w:pPr>
        <w:spacing w:after="0" w:line="276" w:lineRule="auto"/>
        <w:ind w:firstLine="708"/>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Закона за управление на отпадъците (ЗУО) е приет през 2012 г., като от тогава до сега е изменян общо 20 пъти в рамките на 9 години. Към момента на приемане на България като страна член на ЕС през 2007г., законодателството в сектора е хармонизирано с европейското право. С допълненията в закона през 2010 г. се въведоха икономически стимули за предприемане на реални действия от местните власти за намаляване на депонираните отпадъци, както и за преминаване към регионален принцип на управление на битовите отпадъци.</w:t>
      </w:r>
    </w:p>
    <w:p w:rsidR="007A0407" w:rsidRPr="007A0407" w:rsidRDefault="007A0407" w:rsidP="007A0407">
      <w:pPr>
        <w:spacing w:after="0" w:line="276" w:lineRule="auto"/>
        <w:ind w:firstLine="708"/>
        <w:jc w:val="both"/>
        <w:rPr>
          <w:rFonts w:ascii="Times New Roman" w:eastAsia="Calibri" w:hAnsi="Times New Roman" w:cs="Times New Roman"/>
          <w:color w:val="000000"/>
          <w:spacing w:val="-4"/>
          <w:sz w:val="24"/>
          <w:szCs w:val="24"/>
        </w:rPr>
      </w:pPr>
      <w:r w:rsidRPr="007A0407">
        <w:rPr>
          <w:rFonts w:ascii="Times New Roman" w:eastAsia="Calibri" w:hAnsi="Times New Roman" w:cs="Times New Roman"/>
          <w:color w:val="000000"/>
          <w:spacing w:val="-4"/>
          <w:sz w:val="24"/>
          <w:szCs w:val="24"/>
        </w:rPr>
        <w:t>ЗУО,</w:t>
      </w:r>
      <w:r w:rsidRPr="007A0407">
        <w:rPr>
          <w:rFonts w:ascii="Times New Roman" w:eastAsia="Calibri" w:hAnsi="Times New Roman" w:cs="Times New Roman"/>
          <w:b/>
          <w:color w:val="000000"/>
          <w:spacing w:val="-4"/>
          <w:sz w:val="24"/>
          <w:szCs w:val="24"/>
        </w:rPr>
        <w:t xml:space="preserve"> </w:t>
      </w:r>
      <w:r w:rsidRPr="007A0407">
        <w:rPr>
          <w:rFonts w:ascii="Times New Roman" w:eastAsia="Calibri" w:hAnsi="Times New Roman" w:cs="Times New Roman"/>
          <w:color w:val="000000"/>
          <w:spacing w:val="-4"/>
          <w:sz w:val="24"/>
          <w:szCs w:val="24"/>
        </w:rPr>
        <w:t>въвежда изискванията на Рамковата директива за отпадъци (РДО) 2008/98/ЕО, включително принципите „замърсителят плаща”, „разширена отговорност на производителя” и йерархията на управление на отпадъците. Той въвежда за първи път конкретно адресирани  оперативни цели за рециклиране на битови и строителни отпадъци, изисквания към съоръженията и инсталациите за отпадъци, въвежда икономически и регулаторни механизми и инструменти за прилагане на законодателството; правила за управление на масово разпространените отпадъци; урежда подхода за „край на отпадъка” и „странични продукти”, определя детайлно контролните функции на институциите и конкретните глоби и санкции за неспазване на закона.</w:t>
      </w:r>
    </w:p>
    <w:p w:rsidR="007A0407" w:rsidRPr="007A0407" w:rsidRDefault="00D14785" w:rsidP="007A0407">
      <w:pPr>
        <w:spacing w:after="0"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приетия на 02.12.2015</w:t>
      </w:r>
      <w:r w:rsidR="007A0407" w:rsidRPr="007A0407">
        <w:rPr>
          <w:rFonts w:ascii="Times New Roman" w:eastAsia="Calibri" w:hAnsi="Times New Roman" w:cs="Times New Roman"/>
          <w:color w:val="000000"/>
          <w:sz w:val="24"/>
          <w:szCs w:val="24"/>
        </w:rPr>
        <w:t>г. План за действие на ЕС за кръговата икономика са поставени рамките на европейската политика за преход към икономика, доближаваща се в по-голяма степен до кръгова икономика, при която стойността на стоките, материалите и ресурсите се запазва възможно най-дълго в икономиката, а генерирането на отпадъци е сведено до минимум. Основната цел е изграждане на устойчива, нисковъглеродна и конкурентоспособна икономика с ефективно използване на ресурсите на ниво ЕС.</w:t>
      </w:r>
    </w:p>
    <w:p w:rsidR="007A0407" w:rsidRPr="007A0407" w:rsidRDefault="007A0407" w:rsidP="007A0407">
      <w:pPr>
        <w:spacing w:after="0" w:line="276" w:lineRule="auto"/>
        <w:ind w:firstLine="708"/>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цел да се постигнат унифицирани общи резултати и действия от всички държави-членки, с общ законодателен пакет „Кръгова икономика“, са направени законодателни промени в Рамковата директива за отпадъците 2008/98/ЕС, Директива 1999/31/ЕО относно депонирането на отпадъци, Директива 94/62/ЕО относно опаковките и отпадъците от опаковки, Директива 2000/53/ЕО относно излезлите от употреба превозни средства, Директива 2006/66/ЕО относно батерии и акумулатори и отпадъци от батерии и акумулатори и Директива 2012/19/ЕС относно отпадъци от електрическо и електронно оборудване. Ключовите елементи в изменения на законодателството на ЕС в областта на отпадъците са:</w:t>
      </w:r>
    </w:p>
    <w:p w:rsidR="007A0407" w:rsidRPr="007A0407" w:rsidRDefault="007A0407" w:rsidP="007A0407">
      <w:pPr>
        <w:numPr>
          <w:ilvl w:val="0"/>
          <w:numId w:val="2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По-ясни дефиниции на основните концепции за отпадъци (битови отпадъци, биоотпадъци, отпадъци от строителство и разрушаване (ОСР) и др.)</w:t>
      </w:r>
    </w:p>
    <w:p w:rsidR="007A0407" w:rsidRPr="007A0407" w:rsidRDefault="007A0407" w:rsidP="007A0407">
      <w:pPr>
        <w:numPr>
          <w:ilvl w:val="0"/>
          <w:numId w:val="2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Нови задължителни цели за рециклиране към 2025 г., 2030 г. и 2035 г.;</w:t>
      </w:r>
    </w:p>
    <w:p w:rsidR="007A0407" w:rsidRPr="007A0407" w:rsidRDefault="007A0407" w:rsidP="007A0407">
      <w:pPr>
        <w:numPr>
          <w:ilvl w:val="0"/>
          <w:numId w:val="2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Забрана за депониране на разделно събрани отпадъци;</w:t>
      </w:r>
    </w:p>
    <w:p w:rsidR="007A0407" w:rsidRPr="007A0407" w:rsidRDefault="007A0407" w:rsidP="007A0407">
      <w:pPr>
        <w:numPr>
          <w:ilvl w:val="0"/>
          <w:numId w:val="2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Унифициран метод за изчисляване степента за постигане на целите;</w:t>
      </w:r>
    </w:p>
    <w:p w:rsidR="007A0407" w:rsidRPr="007A0407" w:rsidRDefault="007A0407" w:rsidP="007A0407">
      <w:pPr>
        <w:numPr>
          <w:ilvl w:val="0"/>
          <w:numId w:val="29"/>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Въвеждане на нови мерки за насърчаване предотвратяването на отпадъци, (включително по отношение на хранителните отпадъци) и на повторната употреба.</w:t>
      </w:r>
    </w:p>
    <w:p w:rsidR="007A0407" w:rsidRPr="007A0407" w:rsidRDefault="007A0407" w:rsidP="007A0407">
      <w:pPr>
        <w:spacing w:after="0" w:line="276" w:lineRule="auto"/>
        <w:ind w:firstLine="708"/>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последните изменения на ЗУО (</w:t>
      </w:r>
      <w:r w:rsidRPr="007A0407">
        <w:rPr>
          <w:rFonts w:ascii="Times New Roman" w:eastAsia="Calibri" w:hAnsi="Times New Roman" w:cs="Times New Roman"/>
          <w:i/>
          <w:color w:val="000000"/>
          <w:sz w:val="24"/>
          <w:szCs w:val="24"/>
        </w:rPr>
        <w:t>ДВ, бр. 19 от 05.03.2021 г</w:t>
      </w:r>
      <w:r w:rsidRPr="007A0407">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lang w:eastAsia="bg-BG"/>
        </w:rPr>
        <w:t>се въведоха изискванията на приетия на ниво ЕС през 2018 г. т.нар. законодателен пакет „Отпадъци“, и по специално изменението на: Директива (ЕС) 2018/851 на Европейския парламент и на Съвета от 30 май 2018 година за изменение на Директива 2008/98/ЕО относно отпадъците и частично да транспонира Директива (ЕС) 2018/850 на Европейския парламент и на Съвета от 30 май 2018 година за изменение на Директива 1999/31/ЕО относно депонирането на отпадъци.</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Пакет „Отпадъци“ въведе следните основни законодателни промени в ЗУО от март 2021 г.:</w:t>
      </w:r>
    </w:p>
    <w:p w:rsidR="007A0407" w:rsidRPr="007A0407" w:rsidRDefault="007A0407" w:rsidP="007A0407">
      <w:pPr>
        <w:numPr>
          <w:ilvl w:val="0"/>
          <w:numId w:val="30"/>
        </w:numPr>
        <w:tabs>
          <w:tab w:val="left" w:pos="284"/>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   Целта за подготовка за повторна употреба и рециклиране на битовите отпадъци е завишена до 65% през 2035 г., с което могат да бъдат извлечени съществени екологични, икономически и социални ползи и да се ускори преходът към кръгова икономика. (</w:t>
      </w:r>
      <w:r w:rsidRPr="007A0407">
        <w:rPr>
          <w:rFonts w:ascii="Times New Roman" w:eastAsia="Calibri" w:hAnsi="Times New Roman" w:cs="Times New Roman"/>
          <w:i/>
          <w:color w:val="000000"/>
          <w:sz w:val="24"/>
          <w:szCs w:val="24"/>
          <w:lang w:eastAsia="bg-BG"/>
        </w:rPr>
        <w:t>чл. 31. ал. 1, т.5 от ЗУО</w:t>
      </w:r>
      <w:r w:rsidRPr="007A0407">
        <w:rPr>
          <w:rFonts w:ascii="Times New Roman" w:eastAsia="Calibri" w:hAnsi="Times New Roman" w:cs="Times New Roman"/>
          <w:color w:val="000000"/>
          <w:sz w:val="24"/>
          <w:szCs w:val="24"/>
          <w:lang w:eastAsia="bg-BG"/>
        </w:rPr>
        <w:t>). Въведени са и междинни цели от 55% и 60% съответно за 2025 г. и 2030 г.; (</w:t>
      </w:r>
      <w:r w:rsidRPr="007A0407">
        <w:rPr>
          <w:rFonts w:ascii="Times New Roman" w:eastAsia="Calibri" w:hAnsi="Times New Roman" w:cs="Times New Roman"/>
          <w:i/>
          <w:color w:val="000000"/>
          <w:sz w:val="24"/>
          <w:szCs w:val="24"/>
          <w:lang w:eastAsia="bg-BG"/>
        </w:rPr>
        <w:t>чл. 31, ал. 1, т.3 и 4 от ЗУО</w:t>
      </w:r>
      <w:r w:rsidRPr="007A0407">
        <w:rPr>
          <w:rFonts w:ascii="Times New Roman" w:eastAsia="Calibri" w:hAnsi="Times New Roman" w:cs="Times New Roman"/>
          <w:color w:val="000000"/>
          <w:sz w:val="24"/>
          <w:szCs w:val="24"/>
          <w:lang w:eastAsia="bg-BG"/>
        </w:rPr>
        <w:t>).</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Преценено е, че вариант с поетапно нарастващи междинни цели за всяка година ще е по-ефективен от гледна точка планиране на разходи, инвестиции и развиване на системите за разделно събиране на отпадъци от опаковки от страна на организациите по оползотворяване. Такъв подход е вече познат на заинтересованите страни при предходно поетапно въвеждане на целите по рециклиране на отпадъци от опаковки.</w:t>
      </w:r>
    </w:p>
    <w:p w:rsidR="007A0407" w:rsidRPr="007A0407" w:rsidRDefault="007A0407" w:rsidP="007A0407">
      <w:pPr>
        <w:spacing w:after="0" w:line="276" w:lineRule="auto"/>
        <w:contextualSpacing/>
        <w:jc w:val="both"/>
        <w:rPr>
          <w:rFonts w:ascii="Times New Roman" w:eastAsia="Calibri" w:hAnsi="Times New Roman" w:cs="Times New Roman"/>
          <w:color w:val="000000"/>
          <w:sz w:val="24"/>
          <w:szCs w:val="24"/>
          <w:lang w:eastAsia="bg-BG"/>
        </w:rPr>
      </w:pPr>
    </w:p>
    <w:p w:rsidR="007A0407" w:rsidRPr="007A0407" w:rsidRDefault="007A0407" w:rsidP="007A0407">
      <w:pPr>
        <w:numPr>
          <w:ilvl w:val="0"/>
          <w:numId w:val="30"/>
        </w:numPr>
        <w:tabs>
          <w:tab w:val="left" w:pos="284"/>
        </w:tabs>
        <w:spacing w:after="0" w:line="276" w:lineRule="auto"/>
        <w:contextualSpacing/>
        <w:jc w:val="both"/>
        <w:rPr>
          <w:rFonts w:ascii="Times New Roman" w:eastAsia="Calibri" w:hAnsi="Times New Roman" w:cs="Times New Roman"/>
          <w:i/>
          <w:color w:val="000000"/>
          <w:sz w:val="24"/>
          <w:szCs w:val="24"/>
          <w:lang w:eastAsia="bg-BG"/>
        </w:rPr>
      </w:pPr>
      <w:r w:rsidRPr="007A0407">
        <w:rPr>
          <w:rFonts w:ascii="Times New Roman" w:eastAsia="Calibri" w:hAnsi="Times New Roman" w:cs="Times New Roman"/>
          <w:color w:val="000000"/>
          <w:sz w:val="24"/>
          <w:szCs w:val="24"/>
          <w:lang w:eastAsia="bg-BG"/>
        </w:rPr>
        <w:t xml:space="preserve">   С цел допълнително стимулиране на прехода към кръгова икономика в ЗУО е въведена цел за намаляване до 10 % на депонираните битови отпадъци до 2035 г. (</w:t>
      </w:r>
      <w:r w:rsidRPr="007A0407">
        <w:rPr>
          <w:rFonts w:ascii="Times New Roman" w:eastAsia="Calibri" w:hAnsi="Times New Roman" w:cs="Times New Roman"/>
          <w:i/>
          <w:color w:val="000000"/>
          <w:sz w:val="24"/>
          <w:szCs w:val="24"/>
          <w:lang w:eastAsia="bg-BG"/>
        </w:rPr>
        <w:t>чл. 31, ал. 1, т.6 от ЗУО</w:t>
      </w:r>
      <w:r w:rsidRPr="007A0407">
        <w:rPr>
          <w:rFonts w:ascii="Times New Roman" w:eastAsia="Calibri" w:hAnsi="Times New Roman" w:cs="Times New Roman"/>
          <w:color w:val="000000"/>
          <w:sz w:val="24"/>
          <w:szCs w:val="24"/>
          <w:lang w:eastAsia="bg-BG"/>
        </w:rPr>
        <w:t xml:space="preserve">), която може да бъде отложена с 5 г., при условие, че държавата е постигнала намаление до 25 % </w:t>
      </w:r>
      <w:r w:rsidRPr="007A0407">
        <w:rPr>
          <w:rFonts w:ascii="Times New Roman" w:eastAsia="Calibri" w:hAnsi="Times New Roman" w:cs="Times New Roman"/>
          <w:i/>
          <w:color w:val="000000"/>
          <w:sz w:val="24"/>
          <w:szCs w:val="24"/>
          <w:lang w:eastAsia="bg-BG"/>
        </w:rPr>
        <w:t>(§15, ал.3 от ЗУО).</w:t>
      </w:r>
    </w:p>
    <w:p w:rsidR="007A0407" w:rsidRPr="007A0407" w:rsidRDefault="007A0407" w:rsidP="007A0407">
      <w:pPr>
        <w:numPr>
          <w:ilvl w:val="0"/>
          <w:numId w:val="30"/>
        </w:numPr>
        <w:tabs>
          <w:tab w:val="left" w:pos="284"/>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С цел съпоставимост на резултатите между държавите-членки значително е стеснен обхватът на възможните методи на изчисляване на целта по рециклиране. Въвеждат се правила за изчисляването на целите въз основа на теглото на битовите отпадъци, които постъпват за рециклиране (</w:t>
      </w:r>
      <w:r w:rsidRPr="007A0407">
        <w:rPr>
          <w:rFonts w:ascii="Times New Roman" w:eastAsia="Calibri" w:hAnsi="Times New Roman" w:cs="Times New Roman"/>
          <w:i/>
          <w:color w:val="000000"/>
          <w:sz w:val="24"/>
          <w:szCs w:val="24"/>
          <w:lang w:eastAsia="bg-BG"/>
        </w:rPr>
        <w:t>чл.31, ал. 4 от ЗУО</w:t>
      </w:r>
      <w:r w:rsidRPr="007A0407">
        <w:rPr>
          <w:rFonts w:ascii="Times New Roman" w:eastAsia="Calibri" w:hAnsi="Times New Roman" w:cs="Times New Roman"/>
          <w:color w:val="000000"/>
          <w:sz w:val="24"/>
          <w:szCs w:val="24"/>
          <w:lang w:eastAsia="bg-BG"/>
        </w:rPr>
        <w:t>).</w:t>
      </w:r>
    </w:p>
    <w:p w:rsidR="007A0407" w:rsidRPr="007A0407" w:rsidRDefault="007A0407" w:rsidP="007A0407">
      <w:pPr>
        <w:numPr>
          <w:ilvl w:val="0"/>
          <w:numId w:val="26"/>
        </w:numPr>
        <w:spacing w:after="0" w:line="276" w:lineRule="auto"/>
        <w:contextualSpacing/>
        <w:jc w:val="both"/>
        <w:rPr>
          <w:rFonts w:ascii="Times New Roman" w:eastAsia="Times New Roman" w:hAnsi="Times New Roman" w:cs="Times New Roman"/>
          <w:i/>
          <w:color w:val="000000"/>
          <w:sz w:val="24"/>
          <w:szCs w:val="24"/>
          <w:lang w:eastAsia="en-GB"/>
        </w:rPr>
      </w:pPr>
      <w:r w:rsidRPr="007A0407">
        <w:rPr>
          <w:rFonts w:ascii="Times New Roman" w:eastAsia="Calibri" w:hAnsi="Times New Roman" w:cs="Times New Roman"/>
          <w:i/>
          <w:color w:val="000000"/>
          <w:sz w:val="24"/>
          <w:szCs w:val="24"/>
          <w:lang w:eastAsia="bg-BG"/>
        </w:rPr>
        <w:t>чл. 31, ал. 4, т.1 „</w:t>
      </w:r>
      <w:r w:rsidRPr="007A0407">
        <w:rPr>
          <w:rFonts w:ascii="Times New Roman" w:eastAsia="Times New Roman" w:hAnsi="Times New Roman" w:cs="Times New Roman"/>
          <w:i/>
          <w:color w:val="000000"/>
          <w:sz w:val="24"/>
          <w:szCs w:val="24"/>
          <w:lang w:eastAsia="en-GB"/>
        </w:rPr>
        <w:t>Теглото на подготвените за повторна употреба битови отпадъци е теглото на продуктите или компонентите на продукти, които са се превърнали в битови отпадъци и са били подложени на всички необходими дейности по проверка, почистване или ремонт, така че повторната им употреба да е възможна без допълнително сортиране или предварително третиране“;</w:t>
      </w:r>
    </w:p>
    <w:p w:rsidR="007A0407" w:rsidRPr="007A0407" w:rsidRDefault="007A0407" w:rsidP="007A0407">
      <w:pPr>
        <w:numPr>
          <w:ilvl w:val="0"/>
          <w:numId w:val="26"/>
        </w:numPr>
        <w:spacing w:after="0" w:line="276" w:lineRule="auto"/>
        <w:contextualSpacing/>
        <w:jc w:val="both"/>
        <w:rPr>
          <w:rFonts w:ascii="Times New Roman" w:eastAsia="Times New Roman" w:hAnsi="Times New Roman" w:cs="Times New Roman"/>
          <w:i/>
          <w:color w:val="000000"/>
          <w:sz w:val="24"/>
          <w:szCs w:val="24"/>
          <w:lang w:eastAsia="en-GB"/>
        </w:rPr>
      </w:pPr>
      <w:r w:rsidRPr="007A0407">
        <w:rPr>
          <w:rFonts w:ascii="Times New Roman" w:eastAsia="Times New Roman" w:hAnsi="Times New Roman" w:cs="Times New Roman"/>
          <w:i/>
          <w:color w:val="000000"/>
          <w:sz w:val="24"/>
          <w:szCs w:val="24"/>
          <w:lang w:eastAsia="en-GB"/>
        </w:rPr>
        <w:t xml:space="preserve"> чл. 31. ал. 4, т.2. „Теглото на рециклираните битови отпадъци е теглото на отпадъците, които, след като са били подложени на всички необходими дейности по проверка, сортиране и други предварителни дейности по отстраняване на отпадъчни материали, които не са обект на по-нататъшно третиране, и за да се гарантира висококачествено рециклиране, се включват в процес на рециклиране, при което отпадъчните материали се преработват в продукти, материали или вещества.“</w:t>
      </w:r>
    </w:p>
    <w:p w:rsidR="007A0407" w:rsidRPr="007A0407" w:rsidRDefault="007A0407" w:rsidP="007A0407">
      <w:pPr>
        <w:shd w:val="clear" w:color="auto" w:fill="FEFEFE"/>
        <w:spacing w:after="0" w:line="276" w:lineRule="auto"/>
        <w:jc w:val="both"/>
        <w:rPr>
          <w:rFonts w:ascii="Times New Roman" w:eastAsia="Times New Roman" w:hAnsi="Times New Roman" w:cs="Times New Roman"/>
          <w:color w:val="000000"/>
          <w:sz w:val="24"/>
          <w:szCs w:val="24"/>
          <w:lang w:eastAsia="en-GB"/>
        </w:rPr>
      </w:pPr>
      <w:r w:rsidRPr="007A0407">
        <w:rPr>
          <w:rFonts w:ascii="Times New Roman" w:eastAsia="Times New Roman" w:hAnsi="Times New Roman" w:cs="Times New Roman"/>
          <w:color w:val="000000"/>
          <w:sz w:val="24"/>
          <w:szCs w:val="24"/>
          <w:lang w:eastAsia="en-GB"/>
        </w:rPr>
        <w:t>Съгласно последните изменения в ЗУО за изчисляване на целите по рециклиране, е необходимо да се вземат предвид:</w:t>
      </w:r>
    </w:p>
    <w:p w:rsidR="007A0407" w:rsidRPr="007A0407" w:rsidRDefault="007A0407" w:rsidP="007A0407">
      <w:pPr>
        <w:numPr>
          <w:ilvl w:val="0"/>
          <w:numId w:val="27"/>
        </w:numPr>
        <w:shd w:val="clear" w:color="auto" w:fill="FEFEFE"/>
        <w:spacing w:after="0" w:line="276" w:lineRule="auto"/>
        <w:contextualSpacing/>
        <w:jc w:val="both"/>
        <w:rPr>
          <w:rFonts w:ascii="Times New Roman" w:eastAsia="Times New Roman" w:hAnsi="Times New Roman" w:cs="Times New Roman"/>
          <w:color w:val="000000"/>
          <w:sz w:val="24"/>
          <w:szCs w:val="24"/>
          <w:lang w:eastAsia="en-GB"/>
        </w:rPr>
      </w:pPr>
      <w:r w:rsidRPr="007A0407">
        <w:rPr>
          <w:rFonts w:ascii="Times New Roman" w:eastAsia="Times New Roman" w:hAnsi="Times New Roman" w:cs="Times New Roman"/>
          <w:i/>
          <w:color w:val="000000"/>
          <w:sz w:val="24"/>
          <w:szCs w:val="24"/>
          <w:lang w:eastAsia="en-GB"/>
        </w:rPr>
        <w:t>чл. 31, ал. 9, т.1 „Теглото на битовите отпадъци, образувани и предназначени за депониране, което се изчислява за дадена календарна година“;</w:t>
      </w:r>
    </w:p>
    <w:p w:rsidR="007A0407" w:rsidRPr="007A0407" w:rsidRDefault="007A0407" w:rsidP="007A0407">
      <w:pPr>
        <w:numPr>
          <w:ilvl w:val="0"/>
          <w:numId w:val="27"/>
        </w:numPr>
        <w:shd w:val="clear" w:color="auto" w:fill="FEFEFE"/>
        <w:spacing w:after="0" w:line="276" w:lineRule="auto"/>
        <w:contextualSpacing/>
        <w:jc w:val="both"/>
        <w:rPr>
          <w:rFonts w:ascii="Times New Roman" w:eastAsia="Times New Roman" w:hAnsi="Times New Roman" w:cs="Times New Roman"/>
          <w:color w:val="000000"/>
          <w:sz w:val="24"/>
          <w:szCs w:val="24"/>
          <w:lang w:eastAsia="en-GB"/>
        </w:rPr>
      </w:pPr>
      <w:r w:rsidRPr="007A0407">
        <w:rPr>
          <w:rFonts w:ascii="Times New Roman" w:eastAsia="Times New Roman" w:hAnsi="Times New Roman" w:cs="Times New Roman"/>
          <w:i/>
          <w:color w:val="000000"/>
          <w:sz w:val="24"/>
          <w:szCs w:val="24"/>
          <w:lang w:eastAsia="en-GB"/>
        </w:rPr>
        <w:t>чл. 31, ал. 9, т.2 „Теглото на отпадъците от действия по третиране преди рециклирането или друго оползотворяване на битови отпадъци, като сортиране или механично биологично третиране, които впоследствие се депонират, което се включва в теглото на битовите отпадъци, отчитани като депонирани;</w:t>
      </w:r>
    </w:p>
    <w:p w:rsidR="007A0407" w:rsidRPr="007A0407" w:rsidRDefault="007A0407" w:rsidP="007A0407">
      <w:pPr>
        <w:numPr>
          <w:ilvl w:val="0"/>
          <w:numId w:val="27"/>
        </w:numPr>
        <w:shd w:val="clear" w:color="auto" w:fill="FEFEFE"/>
        <w:spacing w:after="0" w:line="276" w:lineRule="auto"/>
        <w:contextualSpacing/>
        <w:jc w:val="both"/>
        <w:rPr>
          <w:rFonts w:ascii="Times New Roman" w:eastAsia="Times New Roman" w:hAnsi="Times New Roman" w:cs="Times New Roman"/>
          <w:color w:val="000000"/>
          <w:sz w:val="24"/>
          <w:szCs w:val="24"/>
          <w:lang w:eastAsia="en-GB"/>
        </w:rPr>
      </w:pPr>
      <w:r w:rsidRPr="007A0407">
        <w:rPr>
          <w:rFonts w:ascii="Times New Roman" w:eastAsia="Times New Roman" w:hAnsi="Times New Roman" w:cs="Times New Roman"/>
          <w:i/>
          <w:color w:val="000000"/>
          <w:sz w:val="24"/>
          <w:szCs w:val="24"/>
          <w:lang w:eastAsia="en-GB"/>
        </w:rPr>
        <w:t>чл. 31, ал. 9, т.3 “Теглото на битовите отпадъци, които влизат в дейности по обезвреждане чрез изгаряне, и теглото на отпадъците, образувани при дейности по стабилизиране на биоразградимата част от битовите отпадъци, за да бъдат впоследствие депонирани, което се отчита като депониране“;</w:t>
      </w:r>
    </w:p>
    <w:p w:rsidR="007A0407" w:rsidRPr="007A0407" w:rsidRDefault="007A0407" w:rsidP="007A0407">
      <w:pPr>
        <w:numPr>
          <w:ilvl w:val="0"/>
          <w:numId w:val="27"/>
        </w:numPr>
        <w:shd w:val="clear" w:color="auto" w:fill="FEFEFE"/>
        <w:spacing w:after="0" w:line="276" w:lineRule="auto"/>
        <w:contextualSpacing/>
        <w:jc w:val="both"/>
        <w:rPr>
          <w:rFonts w:ascii="Times New Roman" w:eastAsia="Times New Roman" w:hAnsi="Times New Roman" w:cs="Times New Roman"/>
          <w:color w:val="000000"/>
          <w:sz w:val="24"/>
          <w:szCs w:val="24"/>
          <w:lang w:eastAsia="en-GB"/>
        </w:rPr>
      </w:pPr>
      <w:r w:rsidRPr="007A0407">
        <w:rPr>
          <w:rFonts w:ascii="Times New Roman" w:eastAsia="Times New Roman" w:hAnsi="Times New Roman" w:cs="Times New Roman"/>
          <w:i/>
          <w:color w:val="000000"/>
          <w:sz w:val="24"/>
          <w:szCs w:val="24"/>
          <w:lang w:eastAsia="en-GB"/>
        </w:rPr>
        <w:t>чл. 31, ал. 9, т.4 “Теглото на отпадъците, образувани по време на дейности по рециклиране или други дейности по оползотворяване на битови отпадъци, които впоследствие се депонират, което не се включва в теглото на битовите отпадъци, отчитани като депонирани”.</w:t>
      </w:r>
    </w:p>
    <w:p w:rsidR="007A0407" w:rsidRPr="007A0407" w:rsidRDefault="007A0407" w:rsidP="007A0407">
      <w:pPr>
        <w:numPr>
          <w:ilvl w:val="0"/>
          <w:numId w:val="31"/>
        </w:numPr>
        <w:tabs>
          <w:tab w:val="left" w:pos="284"/>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 С измененията в ЗУО са въведени определения за „неопасни отпадъци“, „битови отпадъци“, „биоотпадъци“, „отпадъци от строителство и разрушаване“, „хранителни отпадъци“, „оползотворяване на материали“ и „насипване“, за да се внесе яснота относно обхвата на тези понятия  и да се постигне съпоставимост между обхвата на дейностите с отпадъците в отделните държави-членки;</w:t>
      </w:r>
    </w:p>
    <w:p w:rsidR="007A0407" w:rsidRPr="007A0407" w:rsidRDefault="007A0407" w:rsidP="007A0407">
      <w:pPr>
        <w:spacing w:after="0" w:line="276" w:lineRule="auto"/>
        <w:jc w:val="both"/>
        <w:rPr>
          <w:rFonts w:ascii="Times New Roman" w:eastAsia="Calibri" w:hAnsi="Times New Roman" w:cs="Times New Roman"/>
          <w:i/>
          <w:color w:val="000000"/>
          <w:sz w:val="24"/>
          <w:szCs w:val="24"/>
          <w:u w:val="single"/>
          <w:lang w:eastAsia="bg-BG"/>
        </w:rPr>
      </w:pPr>
      <w:r w:rsidRPr="007A0407">
        <w:rPr>
          <w:rFonts w:ascii="Times New Roman" w:eastAsia="Calibri" w:hAnsi="Times New Roman" w:cs="Times New Roman"/>
          <w:i/>
          <w:color w:val="000000"/>
          <w:sz w:val="24"/>
          <w:szCs w:val="24"/>
          <w:u w:val="single"/>
          <w:lang w:eastAsia="bg-BG"/>
        </w:rPr>
        <w:t>Допълнителните разпоредби на ЗУО (НОВО)</w:t>
      </w:r>
    </w:p>
    <w:p w:rsidR="007A0407" w:rsidRPr="007A0407" w:rsidRDefault="007A0407" w:rsidP="007A0407">
      <w:pPr>
        <w:spacing w:after="0" w:line="276" w:lineRule="auto"/>
        <w:jc w:val="both"/>
        <w:rPr>
          <w:rFonts w:ascii="Times New Roman" w:eastAsia="Calibri" w:hAnsi="Times New Roman" w:cs="Times New Roman"/>
          <w:i/>
          <w:color w:val="000000"/>
          <w:sz w:val="24"/>
          <w:szCs w:val="24"/>
          <w:shd w:val="clear" w:color="auto" w:fill="FEFEFE"/>
        </w:rPr>
      </w:pPr>
      <w:r w:rsidRPr="007A0407">
        <w:rPr>
          <w:rFonts w:ascii="Times New Roman" w:eastAsia="Calibri" w:hAnsi="Times New Roman" w:cs="Times New Roman"/>
          <w:b/>
          <w:i/>
          <w:color w:val="000000"/>
          <w:sz w:val="24"/>
          <w:szCs w:val="24"/>
          <w:lang w:eastAsia="bg-BG"/>
        </w:rPr>
        <w:t>§1, т.49</w:t>
      </w:r>
      <w:r w:rsidRPr="007A0407">
        <w:rPr>
          <w:rFonts w:ascii="Times New Roman" w:eastAsia="Calibri" w:hAnsi="Times New Roman" w:cs="Times New Roman"/>
          <w:i/>
          <w:color w:val="000000"/>
          <w:sz w:val="24"/>
          <w:szCs w:val="24"/>
          <w:lang w:eastAsia="bg-BG"/>
        </w:rPr>
        <w:t xml:space="preserve"> </w:t>
      </w:r>
      <w:r w:rsidRPr="007A0407">
        <w:rPr>
          <w:rFonts w:ascii="Times New Roman" w:eastAsia="Calibri" w:hAnsi="Times New Roman" w:cs="Times New Roman"/>
          <w:i/>
          <w:color w:val="000000"/>
          <w:sz w:val="24"/>
          <w:szCs w:val="24"/>
          <w:shd w:val="clear" w:color="auto" w:fill="FEFEFE"/>
        </w:rPr>
        <w:t>(нова - ДВ, бр. 19 от 2021 г., в сила от 05.03.2021 г.) "</w:t>
      </w:r>
      <w:r w:rsidRPr="007A0407">
        <w:rPr>
          <w:rFonts w:ascii="Times New Roman" w:eastAsia="Calibri" w:hAnsi="Times New Roman" w:cs="Times New Roman"/>
          <w:b/>
          <w:i/>
          <w:color w:val="000000"/>
          <w:sz w:val="24"/>
          <w:szCs w:val="24"/>
          <w:shd w:val="clear" w:color="auto" w:fill="FEFEFE"/>
        </w:rPr>
        <w:t>Неопасни отпадъци</w:t>
      </w:r>
      <w:r w:rsidRPr="007A0407">
        <w:rPr>
          <w:rFonts w:ascii="Times New Roman" w:eastAsia="Calibri" w:hAnsi="Times New Roman" w:cs="Times New Roman"/>
          <w:i/>
          <w:color w:val="000000"/>
          <w:sz w:val="24"/>
          <w:szCs w:val="24"/>
          <w:shd w:val="clear" w:color="auto" w:fill="FEFEFE"/>
        </w:rPr>
        <w:t>" са отпадъци, които не попадат в приложното поле на т. 12. от ДР (не притежават опасни свойства, посочени в Приложение №3 на ЗУО);</w:t>
      </w: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r w:rsidRPr="007A0407">
        <w:rPr>
          <w:rFonts w:ascii="Times New Roman" w:eastAsia="Calibri" w:hAnsi="Times New Roman" w:cs="Times New Roman"/>
          <w:b/>
          <w:i/>
          <w:color w:val="000000"/>
          <w:sz w:val="24"/>
          <w:szCs w:val="24"/>
          <w:lang w:eastAsia="bg-BG"/>
        </w:rPr>
        <w:t xml:space="preserve">§1, т. 4 </w:t>
      </w:r>
      <w:r w:rsidRPr="007A0407">
        <w:rPr>
          <w:rFonts w:ascii="Times New Roman" w:eastAsia="Times New Roman" w:hAnsi="Times New Roman" w:cs="Times New Roman"/>
          <w:i/>
          <w:color w:val="000000"/>
          <w:sz w:val="24"/>
          <w:szCs w:val="24"/>
          <w:lang w:eastAsia="en-GB"/>
        </w:rPr>
        <w:t>(изм. - ДВ, бр. 19 от 2021 г., в сила от 05.03.2021 г.) "</w:t>
      </w:r>
      <w:r w:rsidRPr="007A0407">
        <w:rPr>
          <w:rFonts w:ascii="Times New Roman" w:eastAsia="Times New Roman" w:hAnsi="Times New Roman" w:cs="Times New Roman"/>
          <w:b/>
          <w:i/>
          <w:color w:val="000000"/>
          <w:sz w:val="24"/>
          <w:szCs w:val="24"/>
          <w:lang w:eastAsia="en-GB"/>
        </w:rPr>
        <w:t>Битови отпадъци</w:t>
      </w:r>
      <w:r w:rsidRPr="007A0407">
        <w:rPr>
          <w:rFonts w:ascii="Times New Roman" w:eastAsia="Times New Roman" w:hAnsi="Times New Roman" w:cs="Times New Roman"/>
          <w:i/>
          <w:color w:val="000000"/>
          <w:sz w:val="24"/>
          <w:szCs w:val="24"/>
          <w:lang w:eastAsia="en-GB"/>
        </w:rPr>
        <w:t>" са:</w:t>
      </w: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r w:rsidRPr="007A0407">
        <w:rPr>
          <w:rFonts w:ascii="Times New Roman" w:eastAsia="Times New Roman" w:hAnsi="Times New Roman" w:cs="Times New Roman"/>
          <w:i/>
          <w:color w:val="000000"/>
          <w:sz w:val="24"/>
          <w:szCs w:val="24"/>
          <w:lang w:eastAsia="en-GB"/>
        </w:rPr>
        <w:t>а) смесени отпадъци или разделно събирани отпадъци от домакинства, включително хартия и картон, стъкло, метали, пластмаса, биоотпадъци, дървесина, текстил, опаковки, отпадъци от електрическо и електронно оборудване, отпадъци от батерии и акумулатори, както и едрогабаритни отпадъци, включително дюшеци и мебели;</w:t>
      </w: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r w:rsidRPr="007A0407">
        <w:rPr>
          <w:rFonts w:ascii="Times New Roman" w:eastAsia="Times New Roman" w:hAnsi="Times New Roman" w:cs="Times New Roman"/>
          <w:i/>
          <w:color w:val="000000"/>
          <w:sz w:val="24"/>
          <w:szCs w:val="24"/>
          <w:lang w:eastAsia="en-GB"/>
        </w:rPr>
        <w:t>б) смесени отпадъци или разделно събирани отпадъци от други източници, когато тези отпадъци са сходни по естество и състав с отпадъците от домакинства;</w:t>
      </w: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r w:rsidRPr="007A0407">
        <w:rPr>
          <w:rFonts w:ascii="Times New Roman" w:eastAsia="Times New Roman" w:hAnsi="Times New Roman" w:cs="Times New Roman"/>
          <w:i/>
          <w:color w:val="000000"/>
          <w:sz w:val="24"/>
          <w:szCs w:val="24"/>
          <w:lang w:eastAsia="en-GB"/>
        </w:rPr>
        <w:t>Битовите отпадъци не включват отпадъците от производството, селското стопанство, горското стопанство, рибарството, септичните ями и канализационната система и от третирането на отпадъчните води, включително утайки от пречистване на отпадъчни води, излезли от употреба моторни превозни средства или отпадъци от строителство и разрушаване.</w:t>
      </w:r>
    </w:p>
    <w:p w:rsidR="007A0407" w:rsidRPr="007A0407" w:rsidRDefault="007A0407" w:rsidP="007A0407">
      <w:pPr>
        <w:shd w:val="clear" w:color="auto" w:fill="FEFEFE"/>
        <w:spacing w:after="0" w:line="276" w:lineRule="auto"/>
        <w:jc w:val="both"/>
        <w:rPr>
          <w:rFonts w:ascii="Times New Roman" w:eastAsia="Calibri" w:hAnsi="Times New Roman" w:cs="Times New Roman"/>
          <w:i/>
          <w:color w:val="000000"/>
          <w:sz w:val="24"/>
          <w:szCs w:val="24"/>
          <w:lang w:eastAsia="bg-BG"/>
        </w:rPr>
      </w:pP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r w:rsidRPr="007A0407">
        <w:rPr>
          <w:rFonts w:ascii="Times New Roman" w:eastAsia="Calibri" w:hAnsi="Times New Roman" w:cs="Times New Roman"/>
          <w:b/>
          <w:i/>
          <w:color w:val="000000"/>
          <w:sz w:val="24"/>
          <w:szCs w:val="24"/>
          <w:lang w:eastAsia="bg-BG"/>
        </w:rPr>
        <w:t xml:space="preserve">§1, т. </w:t>
      </w:r>
      <w:r w:rsidRPr="007A0407">
        <w:rPr>
          <w:rFonts w:ascii="Times New Roman" w:eastAsia="Times New Roman" w:hAnsi="Times New Roman" w:cs="Times New Roman"/>
          <w:b/>
          <w:i/>
          <w:color w:val="000000"/>
          <w:sz w:val="24"/>
          <w:szCs w:val="24"/>
          <w:lang w:eastAsia="en-GB"/>
        </w:rPr>
        <w:t>2.</w:t>
      </w:r>
      <w:r w:rsidRPr="007A0407">
        <w:rPr>
          <w:rFonts w:ascii="Times New Roman" w:eastAsia="Times New Roman" w:hAnsi="Times New Roman" w:cs="Times New Roman"/>
          <w:i/>
          <w:color w:val="000000"/>
          <w:sz w:val="24"/>
          <w:szCs w:val="24"/>
          <w:lang w:eastAsia="en-GB"/>
        </w:rPr>
        <w:t xml:space="preserve"> (изм. - ДВ, бр. 19 от 2021 г., в сила от 05.03.2021 г.) "</w:t>
      </w:r>
      <w:r w:rsidRPr="007A0407">
        <w:rPr>
          <w:rFonts w:ascii="Times New Roman" w:eastAsia="Times New Roman" w:hAnsi="Times New Roman" w:cs="Times New Roman"/>
          <w:b/>
          <w:i/>
          <w:color w:val="000000"/>
          <w:sz w:val="24"/>
          <w:szCs w:val="24"/>
          <w:lang w:eastAsia="en-GB"/>
        </w:rPr>
        <w:t>Биоотпадъци</w:t>
      </w:r>
      <w:r w:rsidRPr="007A0407">
        <w:rPr>
          <w:rFonts w:ascii="Times New Roman" w:eastAsia="Times New Roman" w:hAnsi="Times New Roman" w:cs="Times New Roman"/>
          <w:i/>
          <w:color w:val="000000"/>
          <w:sz w:val="24"/>
          <w:szCs w:val="24"/>
          <w:lang w:eastAsia="en-GB"/>
        </w:rPr>
        <w:t>" са биоразградими отпадъци от парковете и градините, хранителни и кухненски отпадъци от домакинствата,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p>
    <w:p w:rsidR="007A0407" w:rsidRPr="007A0407" w:rsidRDefault="007A0407" w:rsidP="007A0407">
      <w:pPr>
        <w:shd w:val="clear" w:color="auto" w:fill="FEFEFE"/>
        <w:spacing w:after="0" w:line="276" w:lineRule="auto"/>
        <w:jc w:val="both"/>
        <w:rPr>
          <w:rFonts w:ascii="Times New Roman" w:eastAsia="Times New Roman" w:hAnsi="Times New Roman" w:cs="Times New Roman"/>
          <w:i/>
          <w:color w:val="000000"/>
          <w:sz w:val="24"/>
          <w:szCs w:val="24"/>
          <w:lang w:eastAsia="en-GB"/>
        </w:rPr>
      </w:pPr>
      <w:r w:rsidRPr="007A0407">
        <w:rPr>
          <w:rFonts w:ascii="Times New Roman" w:eastAsia="Calibri" w:hAnsi="Times New Roman" w:cs="Times New Roman"/>
          <w:b/>
          <w:i/>
          <w:color w:val="000000"/>
          <w:sz w:val="24"/>
          <w:szCs w:val="24"/>
          <w:lang w:eastAsia="bg-BG"/>
        </w:rPr>
        <w:t>§1, т.</w:t>
      </w:r>
      <w:r w:rsidRPr="007A0407">
        <w:rPr>
          <w:rFonts w:ascii="Times New Roman" w:eastAsia="Calibri" w:hAnsi="Times New Roman" w:cs="Times New Roman"/>
          <w:b/>
          <w:i/>
          <w:color w:val="000000"/>
          <w:sz w:val="24"/>
          <w:szCs w:val="24"/>
          <w:shd w:val="clear" w:color="auto" w:fill="FEFEFE"/>
        </w:rPr>
        <w:t>50</w:t>
      </w:r>
      <w:r w:rsidRPr="007A0407">
        <w:rPr>
          <w:rFonts w:ascii="Times New Roman" w:eastAsia="Calibri" w:hAnsi="Times New Roman" w:cs="Times New Roman"/>
          <w:i/>
          <w:color w:val="000000"/>
          <w:sz w:val="24"/>
          <w:szCs w:val="24"/>
          <w:shd w:val="clear" w:color="auto" w:fill="FEFEFE"/>
        </w:rPr>
        <w:t>. (нова - ДВ, бр. 19 от 2021 г., в сила от 05.03.2021 г.) "</w:t>
      </w:r>
      <w:r w:rsidRPr="007A0407">
        <w:rPr>
          <w:rFonts w:ascii="Times New Roman" w:eastAsia="Calibri" w:hAnsi="Times New Roman" w:cs="Times New Roman"/>
          <w:b/>
          <w:i/>
          <w:color w:val="000000"/>
          <w:sz w:val="24"/>
          <w:szCs w:val="24"/>
          <w:shd w:val="clear" w:color="auto" w:fill="FEFEFE"/>
        </w:rPr>
        <w:t>Отпадъци от строителство и разрушаване</w:t>
      </w:r>
      <w:r w:rsidRPr="007A0407">
        <w:rPr>
          <w:rFonts w:ascii="Times New Roman" w:eastAsia="Calibri" w:hAnsi="Times New Roman" w:cs="Times New Roman"/>
          <w:i/>
          <w:color w:val="000000"/>
          <w:sz w:val="24"/>
          <w:szCs w:val="24"/>
          <w:shd w:val="clear" w:color="auto" w:fill="FEFEFE"/>
        </w:rPr>
        <w:t>" са отпадъци, образувани в резултат на дейности по строителство и разрушаване.</w:t>
      </w:r>
    </w:p>
    <w:p w:rsidR="007A0407" w:rsidRPr="007A0407" w:rsidRDefault="007A0407" w:rsidP="007A0407">
      <w:pPr>
        <w:spacing w:after="0" w:line="276" w:lineRule="auto"/>
        <w:jc w:val="both"/>
        <w:rPr>
          <w:rFonts w:ascii="Times New Roman" w:eastAsia="Calibri" w:hAnsi="Times New Roman" w:cs="Times New Roman"/>
          <w:i/>
          <w:color w:val="000000"/>
          <w:sz w:val="24"/>
          <w:szCs w:val="24"/>
          <w:lang w:eastAsia="bg-BG"/>
        </w:rPr>
      </w:pPr>
    </w:p>
    <w:p w:rsidR="007A0407" w:rsidRPr="007A0407" w:rsidRDefault="007A0407" w:rsidP="007A0407">
      <w:pPr>
        <w:spacing w:after="0" w:line="276" w:lineRule="auto"/>
        <w:jc w:val="both"/>
        <w:rPr>
          <w:rFonts w:ascii="Times New Roman" w:eastAsia="Calibri" w:hAnsi="Times New Roman" w:cs="Times New Roman"/>
          <w:i/>
          <w:color w:val="000000"/>
          <w:sz w:val="24"/>
          <w:szCs w:val="24"/>
          <w:shd w:val="clear" w:color="auto" w:fill="FEFEFE"/>
        </w:rPr>
      </w:pPr>
      <w:r w:rsidRPr="007A0407">
        <w:rPr>
          <w:rFonts w:ascii="Times New Roman" w:eastAsia="Calibri" w:hAnsi="Times New Roman" w:cs="Times New Roman"/>
          <w:b/>
          <w:i/>
          <w:color w:val="000000"/>
          <w:sz w:val="24"/>
          <w:szCs w:val="24"/>
          <w:lang w:eastAsia="bg-BG"/>
        </w:rPr>
        <w:t xml:space="preserve">§1, т </w:t>
      </w:r>
      <w:r w:rsidRPr="007A0407">
        <w:rPr>
          <w:rFonts w:ascii="Times New Roman" w:eastAsia="Calibri" w:hAnsi="Times New Roman" w:cs="Times New Roman"/>
          <w:b/>
          <w:i/>
          <w:color w:val="000000"/>
          <w:sz w:val="24"/>
          <w:szCs w:val="24"/>
          <w:shd w:val="clear" w:color="auto" w:fill="FEFEFE"/>
        </w:rPr>
        <w:t>51</w:t>
      </w:r>
      <w:r w:rsidRPr="007A0407">
        <w:rPr>
          <w:rFonts w:ascii="Times New Roman" w:eastAsia="Calibri" w:hAnsi="Times New Roman" w:cs="Times New Roman"/>
          <w:i/>
          <w:color w:val="000000"/>
          <w:sz w:val="24"/>
          <w:szCs w:val="24"/>
          <w:shd w:val="clear" w:color="auto" w:fill="FEFEFE"/>
        </w:rPr>
        <w:t>. (нова - ДВ, бр. 19 от 2021 г., в сила от 05.03.2021 г.) "</w:t>
      </w:r>
      <w:r w:rsidRPr="007A0407">
        <w:rPr>
          <w:rFonts w:ascii="Times New Roman" w:eastAsia="Calibri" w:hAnsi="Times New Roman" w:cs="Times New Roman"/>
          <w:b/>
          <w:i/>
          <w:color w:val="000000"/>
          <w:sz w:val="24"/>
          <w:szCs w:val="24"/>
          <w:shd w:val="clear" w:color="auto" w:fill="FEFEFE"/>
        </w:rPr>
        <w:t>Хранителни отпадъци</w:t>
      </w:r>
      <w:r w:rsidRPr="007A0407">
        <w:rPr>
          <w:rFonts w:ascii="Times New Roman" w:eastAsia="Calibri" w:hAnsi="Times New Roman" w:cs="Times New Roman"/>
          <w:i/>
          <w:color w:val="000000"/>
          <w:sz w:val="24"/>
          <w:szCs w:val="24"/>
          <w:shd w:val="clear" w:color="auto" w:fill="FEFEFE"/>
        </w:rPr>
        <w:t>" са всички храни съгласно чл.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които са се превърнали в отпадъци.</w:t>
      </w:r>
    </w:p>
    <w:p w:rsidR="007A0407" w:rsidRPr="007A0407" w:rsidRDefault="007A0407" w:rsidP="007A0407">
      <w:pPr>
        <w:spacing w:after="0" w:line="276" w:lineRule="auto"/>
        <w:jc w:val="both"/>
        <w:rPr>
          <w:rFonts w:ascii="Times New Roman" w:eastAsia="Calibri" w:hAnsi="Times New Roman" w:cs="Times New Roman"/>
          <w:i/>
          <w:color w:val="000000"/>
          <w:sz w:val="24"/>
          <w:szCs w:val="24"/>
          <w:shd w:val="clear" w:color="auto" w:fill="FEFEFE"/>
        </w:rPr>
      </w:pPr>
    </w:p>
    <w:p w:rsidR="007A0407" w:rsidRPr="007A0407" w:rsidRDefault="007A0407" w:rsidP="007A0407">
      <w:pPr>
        <w:spacing w:after="0" w:line="276" w:lineRule="auto"/>
        <w:jc w:val="both"/>
        <w:rPr>
          <w:rFonts w:ascii="Times New Roman" w:eastAsia="Calibri" w:hAnsi="Times New Roman" w:cs="Times New Roman"/>
          <w:i/>
          <w:color w:val="000000"/>
          <w:sz w:val="24"/>
          <w:szCs w:val="24"/>
          <w:shd w:val="clear" w:color="auto" w:fill="FEFEFE"/>
        </w:rPr>
      </w:pPr>
      <w:r w:rsidRPr="007A0407">
        <w:rPr>
          <w:rFonts w:ascii="Times New Roman" w:eastAsia="Calibri" w:hAnsi="Times New Roman" w:cs="Times New Roman"/>
          <w:b/>
          <w:i/>
          <w:color w:val="000000"/>
          <w:sz w:val="24"/>
          <w:szCs w:val="24"/>
          <w:lang w:eastAsia="bg-BG"/>
        </w:rPr>
        <w:t xml:space="preserve">§1, т. </w:t>
      </w:r>
      <w:r w:rsidRPr="007A0407">
        <w:rPr>
          <w:rFonts w:ascii="Times New Roman" w:eastAsia="Calibri" w:hAnsi="Times New Roman" w:cs="Times New Roman"/>
          <w:b/>
          <w:i/>
          <w:color w:val="000000"/>
          <w:sz w:val="24"/>
          <w:szCs w:val="24"/>
          <w:shd w:val="clear" w:color="auto" w:fill="FEFEFE"/>
        </w:rPr>
        <w:t>10</w:t>
      </w:r>
      <w:r w:rsidRPr="007A0407">
        <w:rPr>
          <w:rFonts w:ascii="Times New Roman" w:eastAsia="Calibri" w:hAnsi="Times New Roman" w:cs="Times New Roman"/>
          <w:i/>
          <w:color w:val="000000"/>
          <w:sz w:val="24"/>
          <w:szCs w:val="24"/>
          <w:shd w:val="clear" w:color="auto" w:fill="FEFEFE"/>
        </w:rPr>
        <w:t>. (изм. - ДВ, бр. 19 от 2021 г., в сила от 05.03.2021 г.) "</w:t>
      </w:r>
      <w:r w:rsidRPr="007A0407">
        <w:rPr>
          <w:rFonts w:ascii="Times New Roman" w:eastAsia="Calibri" w:hAnsi="Times New Roman" w:cs="Times New Roman"/>
          <w:b/>
          <w:i/>
          <w:color w:val="000000"/>
          <w:sz w:val="24"/>
          <w:szCs w:val="24"/>
          <w:shd w:val="clear" w:color="auto" w:fill="FEFEFE"/>
        </w:rPr>
        <w:t>Насипване</w:t>
      </w:r>
      <w:r w:rsidRPr="007A0407">
        <w:rPr>
          <w:rFonts w:ascii="Times New Roman" w:eastAsia="Calibri" w:hAnsi="Times New Roman" w:cs="Times New Roman"/>
          <w:i/>
          <w:color w:val="000000"/>
          <w:sz w:val="24"/>
          <w:szCs w:val="24"/>
          <w:shd w:val="clear" w:color="auto" w:fill="FEFEFE"/>
        </w:rPr>
        <w:t>" е дейност по оползотворяване, при която подходящи неопасни отпадъци се използват за рекултивационни цели в разкопани участъци или за инженерни цели в ландшафтното устройство. Отпадъците, използвани за насипване, заместват неотпадъчни материали, подходящи са за гореспоменатите цели и се ограничават до количеството, което е необходимо за постигане на тези цели.</w:t>
      </w:r>
    </w:p>
    <w:p w:rsidR="007A0407" w:rsidRPr="007A0407" w:rsidRDefault="007A0407" w:rsidP="007A0407">
      <w:pPr>
        <w:spacing w:after="0" w:line="276" w:lineRule="auto"/>
        <w:jc w:val="both"/>
        <w:rPr>
          <w:rFonts w:ascii="Times New Roman" w:eastAsia="Calibri" w:hAnsi="Times New Roman" w:cs="Times New Roman"/>
          <w:i/>
          <w:color w:val="000000"/>
          <w:sz w:val="24"/>
          <w:szCs w:val="24"/>
          <w:shd w:val="clear" w:color="auto" w:fill="FEFEFE"/>
        </w:rPr>
      </w:pPr>
    </w:p>
    <w:p w:rsidR="007A0407" w:rsidRPr="007A0407" w:rsidRDefault="007A0407" w:rsidP="007A0407">
      <w:pPr>
        <w:spacing w:after="0" w:line="276" w:lineRule="auto"/>
        <w:jc w:val="both"/>
        <w:rPr>
          <w:rFonts w:ascii="Times New Roman" w:eastAsia="Calibri" w:hAnsi="Times New Roman" w:cs="Times New Roman"/>
          <w:i/>
          <w:color w:val="000000"/>
          <w:sz w:val="24"/>
          <w:szCs w:val="24"/>
          <w:shd w:val="clear" w:color="auto" w:fill="FEFEFE"/>
        </w:rPr>
      </w:pPr>
      <w:r w:rsidRPr="007A0407">
        <w:rPr>
          <w:rFonts w:ascii="Times New Roman" w:eastAsia="Calibri" w:hAnsi="Times New Roman" w:cs="Times New Roman"/>
          <w:i/>
          <w:color w:val="000000"/>
          <w:sz w:val="24"/>
          <w:szCs w:val="24"/>
          <w:shd w:val="clear" w:color="auto" w:fill="FEFEFE"/>
        </w:rPr>
        <w:t>§1. т. 14. (изм. - ДВ, бр. 19 от 2021 г., в сила от 05.03.2021 г.) "</w:t>
      </w:r>
      <w:r w:rsidRPr="007A0407">
        <w:rPr>
          <w:rFonts w:ascii="Times New Roman" w:eastAsia="Calibri" w:hAnsi="Times New Roman" w:cs="Times New Roman"/>
          <w:b/>
          <w:i/>
          <w:color w:val="000000"/>
          <w:sz w:val="24"/>
          <w:szCs w:val="24"/>
          <w:shd w:val="clear" w:color="auto" w:fill="FEFEFE"/>
        </w:rPr>
        <w:t>Оползотворяване на материали</w:t>
      </w:r>
      <w:r w:rsidRPr="007A0407">
        <w:rPr>
          <w:rFonts w:ascii="Times New Roman" w:eastAsia="Calibri" w:hAnsi="Times New Roman" w:cs="Times New Roman"/>
          <w:i/>
          <w:color w:val="000000"/>
          <w:sz w:val="24"/>
          <w:szCs w:val="24"/>
          <w:shd w:val="clear" w:color="auto" w:fill="FEFEFE"/>
        </w:rPr>
        <w:t>" е всяка дейност по оползотворяване с изключение на оползотворяването на енергия и преработването в материали, които се използват като горива или други средства за получаване на енергия. То включва и подготовката за повторна употреба, рециклирането и насипването.</w:t>
      </w:r>
    </w:p>
    <w:p w:rsidR="007A0407" w:rsidRPr="007A0407" w:rsidRDefault="007A0407" w:rsidP="007A0407">
      <w:pPr>
        <w:spacing w:after="0" w:line="276" w:lineRule="auto"/>
        <w:jc w:val="both"/>
        <w:rPr>
          <w:rFonts w:ascii="Times New Roman" w:eastAsia="Calibri" w:hAnsi="Times New Roman" w:cs="Times New Roman"/>
          <w:i/>
          <w:color w:val="000000"/>
          <w:sz w:val="24"/>
          <w:szCs w:val="24"/>
          <w:lang w:eastAsia="bg-BG"/>
        </w:rPr>
      </w:pPr>
    </w:p>
    <w:p w:rsidR="007A0407" w:rsidRPr="007A0407" w:rsidRDefault="007A0407" w:rsidP="007A0407">
      <w:pPr>
        <w:numPr>
          <w:ilvl w:val="0"/>
          <w:numId w:val="31"/>
        </w:numPr>
        <w:tabs>
          <w:tab w:val="left" w:pos="284"/>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  ЗУО, въвежда ново определение за „</w:t>
      </w:r>
      <w:r w:rsidRPr="007A0407">
        <w:rPr>
          <w:rFonts w:ascii="Times New Roman" w:eastAsia="Calibri" w:hAnsi="Times New Roman" w:cs="Times New Roman"/>
          <w:i/>
          <w:color w:val="000000"/>
          <w:sz w:val="24"/>
          <w:szCs w:val="24"/>
          <w:lang w:eastAsia="bg-BG"/>
        </w:rPr>
        <w:t>схема за разширена отговорност на производителя</w:t>
      </w:r>
      <w:r w:rsidRPr="007A0407">
        <w:rPr>
          <w:rFonts w:ascii="Times New Roman" w:eastAsia="Calibri" w:hAnsi="Times New Roman" w:cs="Times New Roman"/>
          <w:color w:val="000000"/>
          <w:sz w:val="24"/>
          <w:szCs w:val="24"/>
          <w:lang w:eastAsia="bg-BG"/>
        </w:rPr>
        <w:t>“, за да се изясни, че става въпрос за набор от мерки, предприети от държавите членки, с които производителите се задължават да поемат финансова или финансова и организационна отговорност за управлението на отпадъци като етап от жизнения цикъл на продукта, включително за дейностите по събиране, сортиране и третиране;</w:t>
      </w:r>
    </w:p>
    <w:p w:rsidR="007A0407" w:rsidRPr="007A0407" w:rsidRDefault="007A0407" w:rsidP="007A0407">
      <w:pPr>
        <w:spacing w:after="0" w:line="276" w:lineRule="auto"/>
        <w:jc w:val="both"/>
        <w:rPr>
          <w:rFonts w:ascii="Times New Roman" w:eastAsia="Calibri" w:hAnsi="Times New Roman" w:cs="Times New Roman"/>
          <w:i/>
          <w:color w:val="000000"/>
          <w:sz w:val="24"/>
          <w:szCs w:val="24"/>
          <w:u w:val="single"/>
          <w:lang w:eastAsia="bg-BG"/>
        </w:rPr>
      </w:pPr>
      <w:r w:rsidRPr="007A0407">
        <w:rPr>
          <w:rFonts w:ascii="Times New Roman" w:eastAsia="Calibri" w:hAnsi="Times New Roman" w:cs="Times New Roman"/>
          <w:i/>
          <w:color w:val="000000"/>
          <w:sz w:val="24"/>
          <w:szCs w:val="24"/>
          <w:u w:val="single"/>
          <w:lang w:eastAsia="bg-BG"/>
        </w:rPr>
        <w:t>Допълнителните разпоредби на ЗУО (НОВО)</w:t>
      </w:r>
    </w:p>
    <w:p w:rsidR="007A0407" w:rsidRPr="007A0407" w:rsidRDefault="007A0407" w:rsidP="007A0407">
      <w:pPr>
        <w:tabs>
          <w:tab w:val="left" w:pos="284"/>
        </w:tabs>
        <w:spacing w:after="0" w:line="276" w:lineRule="auto"/>
        <w:contextualSpacing/>
        <w:jc w:val="both"/>
        <w:rPr>
          <w:rFonts w:ascii="Times New Roman" w:eastAsia="Calibri" w:hAnsi="Times New Roman" w:cs="Times New Roman"/>
          <w:i/>
          <w:color w:val="000000"/>
          <w:sz w:val="24"/>
          <w:szCs w:val="24"/>
          <w:lang w:eastAsia="bg-BG"/>
        </w:rPr>
      </w:pPr>
      <w:r w:rsidRPr="007A0407">
        <w:rPr>
          <w:rFonts w:ascii="Times New Roman" w:eastAsia="Calibri" w:hAnsi="Times New Roman" w:cs="Times New Roman"/>
          <w:b/>
          <w:i/>
          <w:color w:val="000000"/>
          <w:sz w:val="24"/>
          <w:szCs w:val="24"/>
          <w:shd w:val="clear" w:color="auto" w:fill="FEFEFE"/>
        </w:rPr>
        <w:t>§1. т. 35 от ДР</w:t>
      </w:r>
      <w:r w:rsidRPr="007A0407">
        <w:rPr>
          <w:rFonts w:ascii="Times New Roman" w:eastAsia="Calibri" w:hAnsi="Times New Roman" w:cs="Times New Roman"/>
          <w:i/>
          <w:color w:val="000000"/>
          <w:sz w:val="24"/>
          <w:szCs w:val="24"/>
          <w:shd w:val="clear" w:color="auto" w:fill="FEFEFE"/>
        </w:rPr>
        <w:t xml:space="preserve"> (изм. - ДВ, бр. 19 от 2021 г., в сила от 05.03.2021 г.) "</w:t>
      </w:r>
      <w:r w:rsidRPr="007A0407">
        <w:rPr>
          <w:rFonts w:ascii="Times New Roman" w:eastAsia="Calibri" w:hAnsi="Times New Roman" w:cs="Times New Roman"/>
          <w:b/>
          <w:i/>
          <w:color w:val="000000"/>
          <w:sz w:val="24"/>
          <w:szCs w:val="24"/>
          <w:shd w:val="clear" w:color="auto" w:fill="FEFEFE"/>
        </w:rPr>
        <w:t>Схема за разширена отговорност на производителя</w:t>
      </w:r>
      <w:r w:rsidRPr="007A0407">
        <w:rPr>
          <w:rFonts w:ascii="Times New Roman" w:eastAsia="Calibri" w:hAnsi="Times New Roman" w:cs="Times New Roman"/>
          <w:i/>
          <w:color w:val="000000"/>
          <w:sz w:val="24"/>
          <w:szCs w:val="24"/>
          <w:shd w:val="clear" w:color="auto" w:fill="FEFEFE"/>
        </w:rPr>
        <w:t>" е набор от мерки, предприети с цел да гарантират, че производителите на продукти носят финансова отговорност или финансова и оперативна отговорност за управлението на отпадъците като етап от жизнения цикъл на продукта след превръщането му в отпадък.</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Поради различната ефективност и резултатност в отделните държави членки в работата на въведените до момента схеми за разширена отговорност на производителя, са определени минимални изисквания относно тяхното функциониране като те се прилагат и по отношение на схемите за разширена отговорност на производителя, въведени съгласно други законодателни актове, по-специално директиви 2000/53/ЕО, 2006/66/ЕО и 2012/19/ЕС на Европейския парламент и на Съвета, в допълнение към вече предвидените в тях изисквания. </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С последните изменения на ЗУО от м. март 2021 г. се поставят  изисквания за ясно определяне на ролите на отделните заинтересовани страни, ефективността на разходите, определянето на вноските, които производителите заплащат, изисквания за прозрачност, както и системи за отчитане и ефективен контрол на дейността на схемите.</w:t>
      </w:r>
    </w:p>
    <w:p w:rsidR="007A0407" w:rsidRPr="007A0407" w:rsidRDefault="007A0407" w:rsidP="007A0407">
      <w:pPr>
        <w:numPr>
          <w:ilvl w:val="0"/>
          <w:numId w:val="28"/>
        </w:numPr>
        <w:tabs>
          <w:tab w:val="left" w:pos="284"/>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bCs/>
          <w:color w:val="000000"/>
          <w:sz w:val="24"/>
          <w:szCs w:val="24"/>
        </w:rPr>
        <w:t xml:space="preserve"> ЗУО, въвежда и изисквания за предприемане на мерки за насърчаване на  разработването, производството и използването на опаковки за многократна употреба и такива, които са по-лесни за рециклиране, както и за по-голям акцент върху мерките за информиране на потребителите да допринасят по-активно за подобряване на ресурсната ефективност, вкл. чрез многократна употреба.</w:t>
      </w:r>
    </w:p>
    <w:p w:rsidR="007A0407" w:rsidRPr="007A0407" w:rsidRDefault="007A0407" w:rsidP="007A0407">
      <w:pPr>
        <w:numPr>
          <w:ilvl w:val="0"/>
          <w:numId w:val="28"/>
        </w:numPr>
        <w:tabs>
          <w:tab w:val="left" w:pos="426"/>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Задълженията на кмета на община по отношение управление на отпадъците са разписани в Глава I, Раздел III - </w:t>
      </w:r>
      <w:r w:rsidRPr="007A0407">
        <w:rPr>
          <w:rFonts w:ascii="Times New Roman" w:eastAsia="Calibri" w:hAnsi="Times New Roman" w:cs="Times New Roman"/>
          <w:i/>
          <w:color w:val="000000"/>
          <w:sz w:val="24"/>
          <w:szCs w:val="24"/>
          <w:lang w:eastAsia="bg-BG"/>
        </w:rPr>
        <w:t>Задължения на органите на местното самоуправление и местната администрация.</w:t>
      </w:r>
      <w:r w:rsidRPr="007A0407">
        <w:rPr>
          <w:rFonts w:ascii="Times New Roman" w:eastAsia="Calibri" w:hAnsi="Times New Roman" w:cs="Times New Roman"/>
          <w:color w:val="000000"/>
          <w:sz w:val="24"/>
          <w:szCs w:val="24"/>
          <w:lang w:eastAsia="bg-BG"/>
        </w:rPr>
        <w:t xml:space="preserve"> Кметът на община е отговорен за осигуряването на съдове за събиране на битовите отпадъци, събирането на битовите отпадъци и транспортирането им до депата или други инсталации и съоръжения, почистването на уличните платна, площадите, алеите, парковите и другите територии от населените места, предназначени за обществено ползване, избора на площадка, изграждане, експлоатация, закриване и мониторинг на депата за битови отпадъци или на други инсталации или съоръжения, организирането на събирането, оползотворяването и обезвреждането на строителни отпадъци от ремонтна дейност, образувани от домакинствата; разделното събиране на битови отпадъци на територията на общината най-малко за следните отпадъчни материали: хартия и картон, метали, пластмаси и стъкло; организирането на разделно събиране на опасните и биоразградими битови отпадъци (чл.19).</w:t>
      </w:r>
    </w:p>
    <w:p w:rsidR="007A0407" w:rsidRPr="007A0407" w:rsidRDefault="007A0407" w:rsidP="007A0407">
      <w:pPr>
        <w:spacing w:after="0" w:line="276" w:lineRule="auto"/>
        <w:jc w:val="both"/>
        <w:rPr>
          <w:rFonts w:ascii="Times New Roman" w:eastAsia="Calibri" w:hAnsi="Times New Roman" w:cs="Times New Roman"/>
          <w:color w:val="000000"/>
          <w:sz w:val="24"/>
          <w:szCs w:val="24"/>
          <w:shd w:val="clear" w:color="auto" w:fill="FEFEFE"/>
        </w:rPr>
      </w:pPr>
      <w:r w:rsidRPr="007A0407">
        <w:rPr>
          <w:rFonts w:ascii="Times New Roman" w:eastAsia="Calibri" w:hAnsi="Times New Roman" w:cs="Times New Roman"/>
          <w:color w:val="000000"/>
          <w:sz w:val="24"/>
          <w:szCs w:val="24"/>
          <w:shd w:val="clear" w:color="auto" w:fill="FEFEFE"/>
        </w:rPr>
        <w:t xml:space="preserve">Последните изменения в ЗУО (чл. 19, ал. 3, т.13) предвиждат кметовете на общините да осигуряват по-широка информираност на населението относно изпълнението на дейностите в обхвата на чл. 19, ал.3, т.1-12, 14 и 15, както и информация за предотвратяване образуването на отпадъци и предотвратяването на нерегламентираното изхвърляне на отпадъци чрез интернет страницата на съответната община, както и по друг подходящ начин. </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С приемането на новите изменения в ЗУО се очаква:</w:t>
      </w:r>
    </w:p>
    <w:p w:rsidR="007A0407" w:rsidRPr="007A0407" w:rsidRDefault="007A0407" w:rsidP="007A0407">
      <w:pPr>
        <w:numPr>
          <w:ilvl w:val="0"/>
          <w:numId w:val="33"/>
        </w:numPr>
        <w:tabs>
          <w:tab w:val="left" w:pos="993"/>
        </w:tabs>
        <w:overflowPunct w:val="0"/>
        <w:autoSpaceDE w:val="0"/>
        <w:autoSpaceDN w:val="0"/>
        <w:adjustRightInd w:val="0"/>
        <w:spacing w:after="0" w:line="276" w:lineRule="auto"/>
        <w:contextualSpacing/>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Хармонизиране на изискванията на националното законодателство с изискванията на ЕС в областта на управление на отпадъците;</w:t>
      </w:r>
    </w:p>
    <w:p w:rsidR="007A0407" w:rsidRPr="007A0407" w:rsidRDefault="007A0407" w:rsidP="007A0407">
      <w:pPr>
        <w:numPr>
          <w:ilvl w:val="0"/>
          <w:numId w:val="33"/>
        </w:numPr>
        <w:tabs>
          <w:tab w:val="left" w:pos="993"/>
        </w:tabs>
        <w:overflowPunct w:val="0"/>
        <w:autoSpaceDE w:val="0"/>
        <w:autoSpaceDN w:val="0"/>
        <w:adjustRightInd w:val="0"/>
        <w:spacing w:after="0" w:line="276" w:lineRule="auto"/>
        <w:contextualSpacing/>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Облекчаване на административната тежест;</w:t>
      </w:r>
    </w:p>
    <w:p w:rsidR="007A0407" w:rsidRPr="007A0407" w:rsidRDefault="007A0407" w:rsidP="007A0407">
      <w:pPr>
        <w:numPr>
          <w:ilvl w:val="0"/>
          <w:numId w:val="33"/>
        </w:numPr>
        <w:tabs>
          <w:tab w:val="left" w:pos="993"/>
        </w:tabs>
        <w:overflowPunct w:val="0"/>
        <w:autoSpaceDE w:val="0"/>
        <w:autoSpaceDN w:val="0"/>
        <w:adjustRightInd w:val="0"/>
        <w:spacing w:after="0" w:line="276" w:lineRule="auto"/>
        <w:contextualSpacing/>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Засилване на контрола върху дейността на организациите по оползотворяване и лицата, които изпълняват задълженията си индивидуално;</w:t>
      </w:r>
    </w:p>
    <w:p w:rsidR="007A0407" w:rsidRPr="007A0407" w:rsidRDefault="007A0407" w:rsidP="007A0407">
      <w:pPr>
        <w:numPr>
          <w:ilvl w:val="0"/>
          <w:numId w:val="33"/>
        </w:numPr>
        <w:tabs>
          <w:tab w:val="left" w:pos="993"/>
        </w:tabs>
        <w:overflowPunct w:val="0"/>
        <w:autoSpaceDE w:val="0"/>
        <w:autoSpaceDN w:val="0"/>
        <w:adjustRightInd w:val="0"/>
        <w:spacing w:after="0" w:line="276" w:lineRule="auto"/>
        <w:contextualSpacing/>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Преодоляване на идентифицирани проблеми при прилагането на ЗУО;</w:t>
      </w:r>
    </w:p>
    <w:p w:rsidR="007A0407" w:rsidRPr="007A0407" w:rsidRDefault="007A0407" w:rsidP="007A0407">
      <w:pPr>
        <w:numPr>
          <w:ilvl w:val="0"/>
          <w:numId w:val="33"/>
        </w:numPr>
        <w:tabs>
          <w:tab w:val="left" w:pos="993"/>
        </w:tabs>
        <w:overflowPunct w:val="0"/>
        <w:autoSpaceDE w:val="0"/>
        <w:autoSpaceDN w:val="0"/>
        <w:adjustRightInd w:val="0"/>
        <w:spacing w:after="0" w:line="276" w:lineRule="auto"/>
        <w:contextualSpacing/>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Ограничаване на рисковете за околната среда при дейностите с третиране на отпадъци;</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p>
    <w:p w:rsidR="007A0407" w:rsidRPr="007A0407" w:rsidRDefault="007A0407" w:rsidP="007A0407">
      <w:pPr>
        <w:numPr>
          <w:ilvl w:val="0"/>
          <w:numId w:val="32"/>
        </w:numPr>
        <w:spacing w:after="0" w:line="276" w:lineRule="auto"/>
        <w:contextualSpacing/>
        <w:jc w:val="both"/>
        <w:rPr>
          <w:rFonts w:ascii="Times New Roman" w:eastAsia="Calibri" w:hAnsi="Times New Roman" w:cs="Times New Roman"/>
          <w:b/>
          <w:color w:val="000000"/>
          <w:sz w:val="24"/>
          <w:szCs w:val="24"/>
          <w:lang w:eastAsia="bg-BG"/>
        </w:rPr>
      </w:pPr>
      <w:r w:rsidRPr="007A0407">
        <w:rPr>
          <w:rFonts w:ascii="Times New Roman" w:eastAsia="Calibri" w:hAnsi="Times New Roman" w:cs="Times New Roman"/>
          <w:b/>
          <w:color w:val="000000"/>
          <w:sz w:val="24"/>
          <w:szCs w:val="24"/>
          <w:lang w:eastAsia="bg-BG"/>
        </w:rPr>
        <w:t>Изменения в подзаконова нормативна уредба</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Към настоящият момент са приети редица подзаконови нормативни акта, които регламентират задълженията на институции, физически и юридически лица. Основните нормативни актове, които имат отношение към дейността на общината са:</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p>
    <w:p w:rsidR="007A0407" w:rsidRPr="007A0407" w:rsidRDefault="007A0407" w:rsidP="007A0407">
      <w:pPr>
        <w:numPr>
          <w:ilvl w:val="0"/>
          <w:numId w:val="34"/>
        </w:numPr>
        <w:tabs>
          <w:tab w:val="left" w:pos="426"/>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b/>
          <w:i/>
          <w:color w:val="000000"/>
          <w:sz w:val="24"/>
          <w:szCs w:val="24"/>
          <w:lang w:eastAsia="bg-BG"/>
        </w:rPr>
        <w:t>Наредба за разделно събиране на биоотпадъци и третиране на биоразградими отпадъци</w:t>
      </w:r>
      <w:r w:rsidRPr="007A0407">
        <w:rPr>
          <w:rFonts w:ascii="Times New Roman" w:eastAsia="Calibri" w:hAnsi="Times New Roman" w:cs="Times New Roman"/>
          <w:color w:val="000000"/>
          <w:sz w:val="24"/>
          <w:szCs w:val="24"/>
          <w:lang w:eastAsia="bg-BG"/>
        </w:rPr>
        <w:t xml:space="preserve"> (</w:t>
      </w:r>
      <w:r w:rsidRPr="007A0407">
        <w:rPr>
          <w:rFonts w:ascii="Times New Roman" w:eastAsia="Calibri" w:hAnsi="Times New Roman" w:cs="Times New Roman"/>
          <w:i/>
          <w:color w:val="000000"/>
          <w:sz w:val="24"/>
          <w:szCs w:val="24"/>
          <w:lang w:eastAsia="bg-BG"/>
        </w:rPr>
        <w:t>Приета с ПМС №20 от 25.01.2017 г., посл. изм. и доп. ДВ, бр. 2 от 8 януари 2021 г</w:t>
      </w:r>
      <w:r w:rsidRPr="007A0407">
        <w:rPr>
          <w:rFonts w:ascii="Times New Roman" w:eastAsia="Calibri" w:hAnsi="Times New Roman" w:cs="Times New Roman"/>
          <w:color w:val="000000"/>
          <w:sz w:val="24"/>
          <w:szCs w:val="24"/>
          <w:lang w:eastAsia="bg-BG"/>
        </w:rPr>
        <w:t>.)</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Наредба за разделно събиране на биоотпадъци и третиране на биоразградими отпадъци  е приета през 2017 г., и регламентира:</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Изискванията към дейностите по разделно събиране на биоотпадъци;</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Подходящи за оползотворяване биоотпадъци и други биоразградими отпадъци;</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Условията при които компоста и ферментационния продукт, получени от дейностите по оползотворяване на биоотпадъци, престават да бъдат отпадък по смисъла на ЗУО.</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 xml:space="preserve">изискванията за качество на продукта, получен от дейности по оползотворяване; </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изискванията за употреба на получения компост, ферментационен продукт, органичен почвен подобрител, стабилизирана органична фракция от процеса на механично-биологично третиране (МБТ);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През януари 2021 г., бяха направени изменения в Наредбата (</w:t>
      </w:r>
      <w:r w:rsidRPr="007A0407">
        <w:rPr>
          <w:rFonts w:ascii="Times New Roman" w:eastAsia="Calibri" w:hAnsi="Times New Roman" w:cs="Times New Roman"/>
          <w:i/>
          <w:color w:val="000000"/>
          <w:sz w:val="24"/>
          <w:szCs w:val="24"/>
          <w:lang w:eastAsia="bg-BG"/>
        </w:rPr>
        <w:t>ДВ, бр. 2 от 8 януари 2021 г</w:t>
      </w:r>
      <w:r w:rsidRPr="007A0407">
        <w:rPr>
          <w:rFonts w:ascii="Times New Roman" w:eastAsia="Calibri" w:hAnsi="Times New Roman" w:cs="Times New Roman"/>
          <w:color w:val="000000"/>
          <w:sz w:val="24"/>
          <w:szCs w:val="24"/>
          <w:lang w:eastAsia="bg-BG"/>
        </w:rPr>
        <w:t xml:space="preserve">.) </w:t>
      </w:r>
      <w:r w:rsidRPr="007A0407">
        <w:rPr>
          <w:rFonts w:ascii="Times New Roman" w:eastAsia="Calibri" w:hAnsi="Times New Roman" w:cs="Times New Roman"/>
          <w:color w:val="000000"/>
          <w:sz w:val="24"/>
          <w:szCs w:val="24"/>
        </w:rPr>
        <w:t>в съответствие с изискванията на Директива (ЕС) 2018/851 на Европейския парламент и на Съвета от 30 май 2018 година за изменение на Директива 2008/98/ЕО относно отпадъците (ОВ, L 150 от 14 юни 2018 г.):</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отменена е методиката за разпределение на целите по чл. 31, ал. 1 от ЗУО между регионите за управление;</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отменена е методиката за изчисление на целите по чл. 31, ал. 1 от ЗУО;</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Наредбата въвежда допълнителни ангажименти на органите на местното самоуправление и местната администрация при разработване на програмите по чл. 52 от ЗУО (програми за управление на отпадъците) за включване на мерки относно:</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насърчаване на компостирането в т.ч. домашното компостиране; </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 xml:space="preserve">повишаване на информираността на населението за ползите и изискванията за </w:t>
      </w:r>
      <w:r w:rsidRPr="007A0407">
        <w:rPr>
          <w:rFonts w:ascii="Times New Roman" w:eastAsia="Calibri" w:hAnsi="Times New Roman" w:cs="Times New Roman"/>
          <w:color w:val="000000"/>
          <w:sz w:val="24"/>
          <w:szCs w:val="24"/>
        </w:rPr>
        <w:t xml:space="preserve">разделното събиране и третиране на биоотпадъците; </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насърчаване на рециклирането, включително компостиране, и разграждането на биологичните отпадъци по начин, който осигурява високо равнище на опазване на околната среда и води до резултати, отговарящи на съответните стандарти за високо качество;</w:t>
      </w:r>
    </w:p>
    <w:p w:rsidR="007A0407" w:rsidRPr="007A0407" w:rsidRDefault="007A0407" w:rsidP="007A0407">
      <w:pPr>
        <w:numPr>
          <w:ilvl w:val="0"/>
          <w:numId w:val="35"/>
        </w:numPr>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насърчаване използването на безопасни материали, произведени от биологични отпадъци.</w:t>
      </w:r>
    </w:p>
    <w:p w:rsidR="007A0407" w:rsidRPr="007A0407" w:rsidRDefault="007A0407" w:rsidP="007A0407">
      <w:pPr>
        <w:spacing w:after="0" w:line="276" w:lineRule="auto"/>
        <w:ind w:left="720"/>
        <w:contextualSpacing/>
        <w:jc w:val="both"/>
        <w:rPr>
          <w:rFonts w:ascii="Times New Roman" w:eastAsia="Calibri" w:hAnsi="Times New Roman" w:cs="Times New Roman"/>
          <w:color w:val="000000"/>
          <w:sz w:val="24"/>
          <w:szCs w:val="24"/>
          <w:lang w:eastAsia="bg-BG"/>
        </w:rPr>
      </w:pPr>
    </w:p>
    <w:p w:rsidR="007A0407" w:rsidRPr="007A0407" w:rsidRDefault="007A0407" w:rsidP="007A0407">
      <w:pPr>
        <w:numPr>
          <w:ilvl w:val="0"/>
          <w:numId w:val="34"/>
        </w:numPr>
        <w:tabs>
          <w:tab w:val="left" w:pos="426"/>
        </w:tabs>
        <w:spacing w:after="0" w:line="276" w:lineRule="auto"/>
        <w:contextualSpacing/>
        <w:jc w:val="both"/>
        <w:rPr>
          <w:rFonts w:ascii="Times New Roman" w:eastAsia="Calibri" w:hAnsi="Times New Roman" w:cs="Times New Roman"/>
          <w:b/>
          <w:i/>
          <w:color w:val="000000"/>
          <w:sz w:val="24"/>
          <w:szCs w:val="24"/>
        </w:rPr>
      </w:pPr>
      <w:r w:rsidRPr="007A0407">
        <w:rPr>
          <w:rFonts w:ascii="Times New Roman" w:eastAsia="Calibri" w:hAnsi="Times New Roman" w:cs="Times New Roman"/>
          <w:b/>
          <w:i/>
          <w:color w:val="000000"/>
          <w:sz w:val="24"/>
          <w:szCs w:val="24"/>
        </w:rPr>
        <w:t>Наредба за опаковките и отпадъците от опаковки</w:t>
      </w:r>
      <w:r w:rsidRPr="007A0407">
        <w:rPr>
          <w:rFonts w:ascii="Times New Roman" w:eastAsia="Calibri" w:hAnsi="Times New Roman" w:cs="Times New Roman"/>
          <w:b/>
          <w:color w:val="000000"/>
          <w:sz w:val="24"/>
          <w:szCs w:val="24"/>
        </w:rPr>
        <w:t xml:space="preserve"> </w:t>
      </w:r>
      <w:r w:rsidRPr="007A0407">
        <w:rPr>
          <w:rFonts w:ascii="Times New Roman" w:eastAsia="Calibri" w:hAnsi="Times New Roman" w:cs="Times New Roman"/>
          <w:i/>
          <w:color w:val="000000"/>
          <w:sz w:val="24"/>
          <w:szCs w:val="24"/>
        </w:rPr>
        <w:t>(Приета с ПМС № 271 от 30.10.2012 г., посл. изм. и доп., ДВ, бр. 2 от 8.01.2021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Последните изменения на наредбата </w:t>
      </w:r>
      <w:r w:rsidRPr="007A0407">
        <w:rPr>
          <w:rFonts w:ascii="Times New Roman" w:eastAsia="Calibri" w:hAnsi="Times New Roman" w:cs="Times New Roman"/>
          <w:i/>
          <w:color w:val="000000"/>
          <w:sz w:val="24"/>
          <w:szCs w:val="24"/>
        </w:rPr>
        <w:t>(ДВ, бр. 2 от 8.01.2021 г ),</w:t>
      </w:r>
      <w:r w:rsidRPr="007A0407">
        <w:rPr>
          <w:rFonts w:ascii="Times New Roman" w:eastAsia="Calibri" w:hAnsi="Times New Roman" w:cs="Times New Roman"/>
          <w:color w:val="000000"/>
          <w:sz w:val="24"/>
          <w:szCs w:val="24"/>
        </w:rPr>
        <w:t xml:space="preserve"> определят изискванията за пусканите на пазара на опаковки и опаковъчни материали, както и изисквания за разделното събиране, многократна употреба, рециклиране, оползотворяване и/или обезвреждане на отпадъци от опаковки, включително постигането на цели за рециклиране и/или оползотворяване. Съгласно изменения на Наредбата за всички пуснати на пазара опаковани стоки, задължително следва да се прилага схемата на разширена отговорност на производителя, в съответствие с § 1, т. 35 от допълнителните разпоредби на ЗУО</w:t>
      </w:r>
      <w:r w:rsidRPr="007A0407">
        <w:rPr>
          <w:rFonts w:ascii="Times New Roman" w:eastAsia="Calibri" w:hAnsi="Times New Roman" w:cs="Times New Roman"/>
          <w:i/>
          <w:color w:val="000000"/>
          <w:sz w:val="24"/>
          <w:szCs w:val="24"/>
        </w:rPr>
        <w:t xml:space="preserve"> (ДВ, бр. 19 от 05.03.2021 г.).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 съответствие с новите законодателни изменения, целите за рециклиране по отделните материали опаковки се увеличават през 2025 г. и през 2030 г., както следва: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2977"/>
        <w:gridCol w:w="1696"/>
        <w:gridCol w:w="1990"/>
        <w:gridCol w:w="1837"/>
      </w:tblGrid>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p>
        </w:tc>
        <w:tc>
          <w:tcPr>
            <w:tcW w:w="1696"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към 2020</w:t>
            </w: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2025 г.</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2030 г.</w:t>
            </w:r>
          </w:p>
        </w:tc>
      </w:tr>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Пластмаса</w:t>
            </w:r>
          </w:p>
        </w:tc>
        <w:tc>
          <w:tcPr>
            <w:tcW w:w="1696"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22,5%</w:t>
            </w: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50 %</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55%</w:t>
            </w:r>
          </w:p>
        </w:tc>
      </w:tr>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Дървесина</w:t>
            </w:r>
          </w:p>
        </w:tc>
        <w:tc>
          <w:tcPr>
            <w:tcW w:w="1696"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15%</w:t>
            </w: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25 %</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30%</w:t>
            </w:r>
          </w:p>
        </w:tc>
      </w:tr>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Черни метали</w:t>
            </w:r>
          </w:p>
        </w:tc>
        <w:tc>
          <w:tcPr>
            <w:tcW w:w="1696" w:type="dxa"/>
            <w:vMerge w:val="restart"/>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50 %</w:t>
            </w: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70%</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80%</w:t>
            </w:r>
          </w:p>
        </w:tc>
      </w:tr>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Алуминий</w:t>
            </w:r>
          </w:p>
        </w:tc>
        <w:tc>
          <w:tcPr>
            <w:tcW w:w="1696" w:type="dxa"/>
            <w:vMerge/>
          </w:tcPr>
          <w:p w:rsidR="007A0407" w:rsidRPr="007A0407" w:rsidRDefault="007A0407" w:rsidP="007A0407">
            <w:pPr>
              <w:spacing w:line="276" w:lineRule="auto"/>
              <w:jc w:val="both"/>
              <w:rPr>
                <w:rFonts w:ascii="Times New Roman" w:hAnsi="Times New Roman"/>
                <w:color w:val="000000"/>
                <w:sz w:val="24"/>
                <w:szCs w:val="24"/>
                <w:lang w:eastAsia="bg-BG"/>
              </w:rPr>
            </w:pP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50%</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60%</w:t>
            </w:r>
          </w:p>
        </w:tc>
      </w:tr>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Стъкло</w:t>
            </w:r>
          </w:p>
        </w:tc>
        <w:tc>
          <w:tcPr>
            <w:tcW w:w="1696"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60 %</w:t>
            </w: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70%</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75%</w:t>
            </w:r>
          </w:p>
        </w:tc>
      </w:tr>
      <w:tr w:rsidR="007A0407" w:rsidRPr="007A0407" w:rsidTr="00314E86">
        <w:trPr>
          <w:jc w:val="center"/>
        </w:trPr>
        <w:tc>
          <w:tcPr>
            <w:tcW w:w="297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Хартия и картон</w:t>
            </w:r>
          </w:p>
        </w:tc>
        <w:tc>
          <w:tcPr>
            <w:tcW w:w="1696"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60%</w:t>
            </w:r>
          </w:p>
        </w:tc>
        <w:tc>
          <w:tcPr>
            <w:tcW w:w="1990"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75%</w:t>
            </w:r>
          </w:p>
        </w:tc>
        <w:tc>
          <w:tcPr>
            <w:tcW w:w="1837" w:type="dxa"/>
          </w:tcPr>
          <w:p w:rsidR="007A0407" w:rsidRPr="007A0407" w:rsidRDefault="007A0407" w:rsidP="007A0407">
            <w:pPr>
              <w:spacing w:line="276" w:lineRule="auto"/>
              <w:jc w:val="both"/>
              <w:rPr>
                <w:rFonts w:ascii="Times New Roman" w:hAnsi="Times New Roman"/>
                <w:color w:val="000000"/>
                <w:sz w:val="24"/>
                <w:szCs w:val="24"/>
                <w:lang w:eastAsia="bg-BG"/>
              </w:rPr>
            </w:pPr>
            <w:r w:rsidRPr="007A0407">
              <w:rPr>
                <w:rFonts w:ascii="Times New Roman" w:hAnsi="Times New Roman"/>
                <w:color w:val="000000"/>
                <w:sz w:val="24"/>
                <w:szCs w:val="24"/>
                <w:lang w:eastAsia="bg-BG"/>
              </w:rPr>
              <w:t>85%</w:t>
            </w:r>
          </w:p>
        </w:tc>
      </w:tr>
    </w:tbl>
    <w:p w:rsidR="007A0407" w:rsidRPr="007A0407" w:rsidRDefault="007A0407" w:rsidP="007A0407">
      <w:pPr>
        <w:spacing w:after="0" w:line="276" w:lineRule="auto"/>
        <w:jc w:val="both"/>
        <w:rPr>
          <w:rFonts w:ascii="Times New Roman" w:eastAsia="Calibri" w:hAnsi="Times New Roman" w:cs="Times New Roman"/>
          <w:i/>
          <w:color w:val="000000"/>
          <w:sz w:val="24"/>
          <w:szCs w:val="24"/>
          <w:lang w:eastAsia="bg-BG"/>
        </w:rPr>
      </w:pPr>
      <w:r w:rsidRPr="007A0407">
        <w:rPr>
          <w:rFonts w:ascii="Times New Roman" w:eastAsia="Calibri" w:hAnsi="Times New Roman" w:cs="Times New Roman"/>
          <w:i/>
          <w:color w:val="000000"/>
          <w:sz w:val="24"/>
          <w:szCs w:val="24"/>
        </w:rPr>
        <w:t>Забележка *Разделя се целта за рециклиране на метални опаковки на цел за опаковки от черни метали и опаковки от алуминий;</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Въвеждат се нови и актуализирани определения, които са свързани с обхвата на отпадъците от опаковки, опаковки за многократно използване и дефиниции, свързани с правилата за измерване и изчисляване постигането на целите по рециклиране</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По отношение на схемите за разширена отговорност на производителя са определени изисквания за прилагане на икономически инструменти, както и изискване за въвеждане на системи за отчитане и ефективен контрол.</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Измененията, които пряко касаят общините са от 2019 г., (чл. 24, ал. 1), относно осигуряването на минимален общ обем съдове за събиране на отпадъци от опаковки:</w:t>
      </w:r>
    </w:p>
    <w:p w:rsidR="007A0407" w:rsidRPr="007A0407" w:rsidRDefault="007A0407" w:rsidP="007A0407">
      <w:pPr>
        <w:numPr>
          <w:ilvl w:val="0"/>
          <w:numId w:val="36"/>
        </w:numPr>
        <w:tabs>
          <w:tab w:val="left" w:pos="284"/>
        </w:tabs>
        <w:spacing w:after="0" w:line="276" w:lineRule="auto"/>
        <w:contextualSpacing/>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 xml:space="preserve">Системите за разделно събиране на отпадъци от опаковки, организирани от организациите по оползотворяване, съответно от кметовете на общини, включват най-малко следните елементи: 1. зелени, жълти (и сини) съдове за събиране на отпадъци от опаковки от домакинствата, различни от тези за битови отпадъци, като се осигурява минимален общ обем на съдовете, както следва: </w:t>
      </w:r>
    </w:p>
    <w:p w:rsidR="007A0407" w:rsidRPr="007A0407" w:rsidRDefault="007A0407" w:rsidP="007A0407">
      <w:pPr>
        <w:spacing w:after="0" w:line="276" w:lineRule="auto"/>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 xml:space="preserve">а) (изм. - ДВ, бр. 60 от 2018 г., в сила от 01.01.2019 г.) за населени места с под 50 000 жители, за всеки 350 жители - съдове с минимален общ обем 3300 л; </w:t>
      </w:r>
    </w:p>
    <w:p w:rsidR="007A0407" w:rsidRPr="007A0407" w:rsidRDefault="007A0407" w:rsidP="007A0407">
      <w:pPr>
        <w:spacing w:after="0" w:line="276" w:lineRule="auto"/>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б) (изм. - ДВ, бр. 60 от 2018 г., в сила от 01.01.2019 г.) за населени места от 50 000 до 100 000 жители, за всеки 550 жители - съдове с минимален общ обем 3300 л;</w:t>
      </w:r>
    </w:p>
    <w:p w:rsidR="007A0407" w:rsidRPr="007A0407" w:rsidRDefault="007A0407" w:rsidP="007A0407">
      <w:pPr>
        <w:spacing w:after="0" w:line="276" w:lineRule="auto"/>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 xml:space="preserve"> в) (изм. - ДВ, бр. 60 от 2018 г., в сила от 01.01.2019 г.) за населени места над 100 000 жители, за всеки 750 жители - съдове с минимален общ обем 3300 л.</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измененията от 2019 г., кметът на общината може да подписва договор само с една организация по оползотворяване. Изключение правят Столичната община и градовете с население над 300 000 души с районно деление (</w:t>
      </w:r>
      <w:r w:rsidRPr="007A0407">
        <w:rPr>
          <w:rFonts w:ascii="Times New Roman" w:eastAsia="Calibri" w:hAnsi="Times New Roman" w:cs="Times New Roman"/>
          <w:i/>
          <w:color w:val="000000"/>
          <w:sz w:val="24"/>
          <w:szCs w:val="24"/>
        </w:rPr>
        <w:t>чл. 33, ал. 2</w:t>
      </w:r>
      <w:r w:rsidRPr="007A0407">
        <w:rPr>
          <w:rFonts w:ascii="Times New Roman" w:eastAsia="Calibri" w:hAnsi="Times New Roman" w:cs="Times New Roman"/>
          <w:color w:val="000000"/>
          <w:sz w:val="24"/>
          <w:szCs w:val="24"/>
        </w:rPr>
        <w:t>).</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D85751" w:rsidRDefault="007A0407" w:rsidP="00D85751">
      <w:pPr>
        <w:pStyle w:val="ListParagraph"/>
        <w:numPr>
          <w:ilvl w:val="0"/>
          <w:numId w:val="34"/>
        </w:numPr>
        <w:tabs>
          <w:tab w:val="left" w:pos="284"/>
        </w:tabs>
        <w:spacing w:after="0"/>
        <w:jc w:val="both"/>
        <w:textAlignment w:val="center"/>
        <w:rPr>
          <w:rFonts w:ascii="Times New Roman" w:hAnsi="Times New Roman"/>
          <w:b/>
          <w:bCs/>
          <w:color w:val="FF0000"/>
          <w:sz w:val="24"/>
          <w:szCs w:val="24"/>
        </w:rPr>
      </w:pPr>
      <w:r w:rsidRPr="00D85751">
        <w:rPr>
          <w:rFonts w:ascii="Times New Roman" w:hAnsi="Times New Roman"/>
          <w:b/>
          <w:bCs/>
          <w:i/>
          <w:color w:val="000000"/>
          <w:sz w:val="24"/>
          <w:szCs w:val="24"/>
        </w:rPr>
        <w:t>Наредба № 7 от 19 декември 2013 г. за реда и начина за изчисляване и определяне размера на обезпеченията и отчисленията, изисквани при депониране на отпадъци</w:t>
      </w:r>
      <w:r w:rsidRPr="00D85751">
        <w:rPr>
          <w:rFonts w:ascii="Times New Roman" w:hAnsi="Times New Roman"/>
          <w:b/>
          <w:bCs/>
          <w:color w:val="000000"/>
          <w:sz w:val="24"/>
          <w:szCs w:val="24"/>
        </w:rPr>
        <w:t xml:space="preserve"> </w:t>
      </w:r>
      <w:r w:rsidRPr="00D85751">
        <w:rPr>
          <w:rFonts w:ascii="Times New Roman" w:hAnsi="Times New Roman"/>
          <w:bCs/>
          <w:color w:val="000000"/>
          <w:sz w:val="24"/>
          <w:szCs w:val="24"/>
        </w:rPr>
        <w:t>(</w:t>
      </w:r>
      <w:proofErr w:type="spellStart"/>
      <w:r w:rsidRPr="00D85751">
        <w:rPr>
          <w:rFonts w:ascii="Times New Roman" w:hAnsi="Times New Roman"/>
          <w:i/>
          <w:iCs/>
          <w:color w:val="000000"/>
          <w:sz w:val="24"/>
          <w:szCs w:val="24"/>
        </w:rPr>
        <w:t>Обн</w:t>
      </w:r>
      <w:proofErr w:type="spellEnd"/>
      <w:r w:rsidRPr="00D85751">
        <w:rPr>
          <w:rFonts w:ascii="Times New Roman" w:hAnsi="Times New Roman"/>
          <w:i/>
          <w:iCs/>
          <w:color w:val="000000"/>
          <w:sz w:val="24"/>
          <w:szCs w:val="24"/>
        </w:rPr>
        <w:t>. ДВ. бр.111 от 27 декември 2013г., изм. и доп. ДВ. бр.26 от 22 март 2020г.,</w:t>
      </w:r>
      <w:r w:rsidRPr="00D85751">
        <w:rPr>
          <w:rFonts w:ascii="Times New Roman" w:hAnsi="Times New Roman"/>
          <w:i/>
          <w:iCs/>
          <w:color w:val="0070C0"/>
          <w:sz w:val="24"/>
          <w:szCs w:val="24"/>
        </w:rPr>
        <w:t>изм. и доп. ДВ. Бр.77от 16.09.2021г.)</w:t>
      </w:r>
    </w:p>
    <w:p w:rsidR="007A0407" w:rsidRPr="007A0407" w:rsidRDefault="007A0407" w:rsidP="007A0407">
      <w:pPr>
        <w:spacing w:after="0" w:line="276" w:lineRule="auto"/>
        <w:jc w:val="both"/>
        <w:textAlignment w:val="center"/>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С наредбата се урежда реда и начина за:</w:t>
      </w:r>
    </w:p>
    <w:p w:rsidR="007A0407" w:rsidRPr="007A0407" w:rsidRDefault="007A0407" w:rsidP="007A0407">
      <w:pPr>
        <w:numPr>
          <w:ilvl w:val="0"/>
          <w:numId w:val="37"/>
        </w:numPr>
        <w:spacing w:after="0" w:line="276" w:lineRule="auto"/>
        <w:contextualSpacing/>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определяне размера на обезпечението по чл. 60, ал. 1 от Закона за управление на отпадъците (ЗУО) и за предоставянето му при извършване на дейност по обезвреждане на отпадъци чрез депониране;</w:t>
      </w:r>
    </w:p>
    <w:p w:rsidR="007A0407" w:rsidRPr="007A0407" w:rsidRDefault="007A0407" w:rsidP="007A0407">
      <w:pPr>
        <w:numPr>
          <w:ilvl w:val="0"/>
          <w:numId w:val="37"/>
        </w:numPr>
        <w:spacing w:after="0" w:line="276" w:lineRule="auto"/>
        <w:contextualSpacing/>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разходване на натрупаните през експлоатационния период средства по чл. 60, ал. 1 ЗУО за извършване на дейностите по закриване и след</w:t>
      </w:r>
      <w:r w:rsidR="00D5031A">
        <w:rPr>
          <w:rFonts w:ascii="Times New Roman" w:eastAsia="Times New Roman" w:hAnsi="Times New Roman" w:cs="Times New Roman"/>
          <w:color w:val="000000"/>
          <w:sz w:val="24"/>
          <w:szCs w:val="24"/>
        </w:rPr>
        <w:t xml:space="preserve"> </w:t>
      </w:r>
      <w:r w:rsidRPr="007A0407">
        <w:rPr>
          <w:rFonts w:ascii="Times New Roman" w:eastAsia="Times New Roman" w:hAnsi="Times New Roman" w:cs="Times New Roman"/>
          <w:color w:val="000000"/>
          <w:sz w:val="24"/>
          <w:szCs w:val="24"/>
        </w:rPr>
        <w:t>експлоатационни грижи на площадките на депата за отпадъци;</w:t>
      </w:r>
    </w:p>
    <w:p w:rsidR="007A0407" w:rsidRPr="007A0407" w:rsidRDefault="007A0407" w:rsidP="007A0407">
      <w:pPr>
        <w:numPr>
          <w:ilvl w:val="0"/>
          <w:numId w:val="37"/>
        </w:numPr>
        <w:spacing w:after="0" w:line="276" w:lineRule="auto"/>
        <w:contextualSpacing/>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определяне на размера и начина на усвояване на банковата гаранция по чл. 60, ал. 2, т. 3 ЗУО при извършване на дейност по обезвреждане на отпадъци чрез депониране;</w:t>
      </w:r>
    </w:p>
    <w:p w:rsidR="007A0407" w:rsidRPr="007A0407" w:rsidRDefault="007A0407" w:rsidP="007A0407">
      <w:pPr>
        <w:numPr>
          <w:ilvl w:val="0"/>
          <w:numId w:val="37"/>
        </w:numPr>
        <w:spacing w:after="0" w:line="276" w:lineRule="auto"/>
        <w:contextualSpacing/>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определяне размера на отчисленията по чл. 64 ЗУО и реда за предоставянето им при извършване на дейност по обезвреждане на отпадъци чрез депониране на регионално или общинско депо за неопасни отпадъци и на депо за неопасни отпадъци с друг произход (когато отпадъците са от строителство и разрушаване). </w:t>
      </w:r>
    </w:p>
    <w:p w:rsidR="007A0407" w:rsidRPr="003F62DA" w:rsidRDefault="007A0407" w:rsidP="007A0407">
      <w:pPr>
        <w:numPr>
          <w:ilvl w:val="0"/>
          <w:numId w:val="37"/>
        </w:numPr>
        <w:spacing w:after="0" w:line="276" w:lineRule="auto"/>
        <w:contextualSpacing/>
        <w:jc w:val="both"/>
        <w:textAlignment w:val="center"/>
        <w:rPr>
          <w:rFonts w:ascii="Times New Roman" w:eastAsia="Times New Roman" w:hAnsi="Times New Roman" w:cs="Times New Roman"/>
          <w:color w:val="0070C0"/>
          <w:sz w:val="24"/>
          <w:szCs w:val="24"/>
        </w:rPr>
      </w:pPr>
      <w:r w:rsidRPr="003F62DA">
        <w:rPr>
          <w:rFonts w:ascii="Times New Roman" w:eastAsia="Times New Roman" w:hAnsi="Times New Roman" w:cs="Times New Roman"/>
          <w:color w:val="0070C0"/>
          <w:sz w:val="24"/>
          <w:szCs w:val="24"/>
        </w:rPr>
        <w:t>изчисляване и определяне на целите по чл. 31, ал.1 ЗУО и разпределение на тези цели спрямо регионите по чл.49, ал.9 ЗУО (нова, ДВ,бр.77 от 2021 г.)</w:t>
      </w:r>
    </w:p>
    <w:p w:rsidR="007A0407" w:rsidRPr="007A0407" w:rsidRDefault="007A0407" w:rsidP="007A0407">
      <w:pPr>
        <w:spacing w:after="0" w:line="276" w:lineRule="auto"/>
        <w:jc w:val="both"/>
        <w:textAlignment w:val="center"/>
        <w:rPr>
          <w:rFonts w:ascii="Times New Roman" w:eastAsia="Calibri" w:hAnsi="Times New Roman" w:cs="Times New Roman"/>
          <w:bCs/>
          <w:color w:val="000000"/>
          <w:sz w:val="24"/>
          <w:szCs w:val="24"/>
        </w:rPr>
      </w:pPr>
    </w:p>
    <w:p w:rsidR="007A0407" w:rsidRPr="007A0407" w:rsidRDefault="007A0407" w:rsidP="007A0407">
      <w:pPr>
        <w:spacing w:after="0" w:line="276" w:lineRule="auto"/>
        <w:ind w:firstLine="720"/>
        <w:jc w:val="both"/>
        <w:textAlignment w:val="center"/>
        <w:rPr>
          <w:rFonts w:ascii="Times New Roman" w:eastAsia="Times New Roman" w:hAnsi="Times New Roman" w:cs="Times New Roman"/>
          <w:color w:val="000000"/>
          <w:sz w:val="24"/>
          <w:szCs w:val="24"/>
        </w:rPr>
      </w:pPr>
      <w:r w:rsidRPr="007A0407">
        <w:rPr>
          <w:rFonts w:ascii="Times New Roman" w:eastAsia="Calibri" w:hAnsi="Times New Roman" w:cs="Times New Roman"/>
          <w:bCs/>
          <w:color w:val="000000"/>
          <w:sz w:val="24"/>
          <w:szCs w:val="24"/>
        </w:rPr>
        <w:t xml:space="preserve">С последните изменения на Наредбата от 2020 г., размерът на отчисления  по чл. 64 от ЗУО за регионални депа за неопасни отпадъци </w:t>
      </w:r>
      <w:r w:rsidRPr="007A0407">
        <w:rPr>
          <w:rFonts w:ascii="Times New Roman" w:eastAsia="Times New Roman" w:hAnsi="Times New Roman" w:cs="Times New Roman"/>
          <w:color w:val="000000"/>
          <w:sz w:val="24"/>
          <w:szCs w:val="24"/>
        </w:rPr>
        <w:t>за всеки тон депониран е:</w:t>
      </w:r>
    </w:p>
    <w:p w:rsidR="007A0407" w:rsidRPr="007A0407" w:rsidRDefault="007A0407" w:rsidP="007A0407">
      <w:pPr>
        <w:numPr>
          <w:ilvl w:val="0"/>
          <w:numId w:val="36"/>
        </w:numPr>
        <w:spacing w:after="0" w:line="276" w:lineRule="auto"/>
        <w:contextualSpacing/>
        <w:jc w:val="both"/>
        <w:textAlignment w:val="center"/>
        <w:rPr>
          <w:rFonts w:ascii="Times New Roman" w:eastAsia="Times New Roman" w:hAnsi="Times New Roman" w:cs="Times New Roman"/>
          <w:i/>
          <w:color w:val="000000"/>
          <w:sz w:val="24"/>
          <w:szCs w:val="24"/>
        </w:rPr>
      </w:pPr>
      <w:r w:rsidRPr="007A0407">
        <w:rPr>
          <w:rFonts w:ascii="Times New Roman" w:eastAsia="Times New Roman" w:hAnsi="Times New Roman" w:cs="Times New Roman"/>
          <w:i/>
          <w:color w:val="000000"/>
          <w:sz w:val="24"/>
          <w:szCs w:val="24"/>
        </w:rPr>
        <w:t>(изм. - ДВ, бр. 26 от 2020 г.) за 2020 г. - 69 лв./т;</w:t>
      </w:r>
    </w:p>
    <w:p w:rsidR="007A0407" w:rsidRPr="007A0407" w:rsidRDefault="007A0407" w:rsidP="007A0407">
      <w:pPr>
        <w:numPr>
          <w:ilvl w:val="0"/>
          <w:numId w:val="36"/>
        </w:numPr>
        <w:spacing w:after="0" w:line="276" w:lineRule="auto"/>
        <w:contextualSpacing/>
        <w:jc w:val="both"/>
        <w:textAlignment w:val="center"/>
        <w:rPr>
          <w:rFonts w:ascii="Times New Roman" w:eastAsia="Times New Roman" w:hAnsi="Times New Roman" w:cs="Times New Roman"/>
          <w:i/>
          <w:color w:val="000000"/>
          <w:sz w:val="24"/>
          <w:szCs w:val="24"/>
        </w:rPr>
      </w:pPr>
      <w:r w:rsidRPr="007A0407">
        <w:rPr>
          <w:rFonts w:ascii="Times New Roman" w:eastAsia="Times New Roman" w:hAnsi="Times New Roman" w:cs="Times New Roman"/>
          <w:i/>
          <w:color w:val="000000"/>
          <w:sz w:val="24"/>
          <w:szCs w:val="24"/>
        </w:rPr>
        <w:t>(нова - ДВ, бр. 26 от 2020 г.) за 2021 г. - 82 лв./т;</w:t>
      </w:r>
    </w:p>
    <w:p w:rsidR="007A0407" w:rsidRPr="007A0407" w:rsidRDefault="007A0407" w:rsidP="007A0407">
      <w:pPr>
        <w:numPr>
          <w:ilvl w:val="0"/>
          <w:numId w:val="36"/>
        </w:numPr>
        <w:spacing w:after="0" w:line="276" w:lineRule="auto"/>
        <w:contextualSpacing/>
        <w:jc w:val="both"/>
        <w:textAlignment w:val="center"/>
        <w:rPr>
          <w:rFonts w:ascii="Times New Roman" w:eastAsia="Times New Roman" w:hAnsi="Times New Roman" w:cs="Times New Roman"/>
          <w:i/>
          <w:color w:val="000000"/>
          <w:sz w:val="24"/>
          <w:szCs w:val="24"/>
        </w:rPr>
      </w:pPr>
      <w:r w:rsidRPr="007A0407">
        <w:rPr>
          <w:rFonts w:ascii="Times New Roman" w:eastAsia="Times New Roman" w:hAnsi="Times New Roman" w:cs="Times New Roman"/>
          <w:i/>
          <w:color w:val="000000"/>
          <w:sz w:val="24"/>
          <w:szCs w:val="24"/>
        </w:rPr>
        <w:t>(нова - ДВ, бр. 26 от 2020 г.) за 2022 г. и всяка следваща година - 95 лв./т;</w:t>
      </w:r>
    </w:p>
    <w:p w:rsidR="007A0407" w:rsidRPr="007A0407" w:rsidRDefault="007A0407" w:rsidP="007A0407">
      <w:pPr>
        <w:spacing w:after="0" w:line="276" w:lineRule="auto"/>
        <w:ind w:firstLine="720"/>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За депа за неопасни и/или инертни отпадъци (когато отпадъците са от строителство и разрушаване), размерът на отчисленията по чл. 64 от ЗУО за тон депониран отпадък са:</w:t>
      </w:r>
    </w:p>
    <w:p w:rsidR="007A0407" w:rsidRPr="007A0407" w:rsidRDefault="007A0407" w:rsidP="007A0407">
      <w:pPr>
        <w:numPr>
          <w:ilvl w:val="0"/>
          <w:numId w:val="38"/>
        </w:numPr>
        <w:spacing w:after="0" w:line="276" w:lineRule="auto"/>
        <w:contextualSpacing/>
        <w:jc w:val="both"/>
        <w:textAlignment w:val="center"/>
        <w:rPr>
          <w:rFonts w:ascii="Times New Roman" w:eastAsia="Times New Roman" w:hAnsi="Times New Roman" w:cs="Times New Roman"/>
          <w:i/>
          <w:color w:val="000000"/>
          <w:sz w:val="24"/>
          <w:szCs w:val="24"/>
        </w:rPr>
      </w:pPr>
      <w:r w:rsidRPr="007A0407">
        <w:rPr>
          <w:rFonts w:ascii="Times New Roman" w:eastAsia="Times New Roman" w:hAnsi="Times New Roman" w:cs="Times New Roman"/>
          <w:i/>
          <w:color w:val="000000"/>
          <w:sz w:val="24"/>
          <w:szCs w:val="24"/>
        </w:rPr>
        <w:t>(изм. - ДВ, бр. 26 от 2020 г.) за 2020 г. - 69 лв./т;</w:t>
      </w:r>
    </w:p>
    <w:p w:rsidR="007A0407" w:rsidRPr="007A0407" w:rsidRDefault="007A0407" w:rsidP="007A0407">
      <w:pPr>
        <w:numPr>
          <w:ilvl w:val="0"/>
          <w:numId w:val="38"/>
        </w:numPr>
        <w:spacing w:after="0" w:line="276" w:lineRule="auto"/>
        <w:contextualSpacing/>
        <w:jc w:val="both"/>
        <w:textAlignment w:val="center"/>
        <w:rPr>
          <w:rFonts w:ascii="Times New Roman" w:eastAsia="Times New Roman" w:hAnsi="Times New Roman" w:cs="Times New Roman"/>
          <w:i/>
          <w:color w:val="000000"/>
          <w:sz w:val="24"/>
          <w:szCs w:val="24"/>
        </w:rPr>
      </w:pPr>
      <w:r w:rsidRPr="007A0407">
        <w:rPr>
          <w:rFonts w:ascii="Times New Roman" w:eastAsia="Times New Roman" w:hAnsi="Times New Roman" w:cs="Times New Roman"/>
          <w:i/>
          <w:color w:val="000000"/>
          <w:sz w:val="24"/>
          <w:szCs w:val="24"/>
        </w:rPr>
        <w:t>(нова - ДВ, бр. 26 от 2020 г.) за 2021 г. - 82 лв./т;</w:t>
      </w:r>
    </w:p>
    <w:p w:rsidR="007A0407" w:rsidRPr="007A0407" w:rsidRDefault="007A0407" w:rsidP="007A0407">
      <w:pPr>
        <w:spacing w:after="0" w:line="276" w:lineRule="auto"/>
        <w:ind w:left="360"/>
        <w:jc w:val="both"/>
        <w:textAlignment w:val="center"/>
        <w:rPr>
          <w:rFonts w:ascii="Times New Roman" w:eastAsia="Times New Roman" w:hAnsi="Times New Roman" w:cs="Times New Roman"/>
          <w:i/>
          <w:color w:val="000000"/>
          <w:sz w:val="24"/>
          <w:szCs w:val="24"/>
        </w:rPr>
      </w:pPr>
      <w:r w:rsidRPr="007A0407">
        <w:rPr>
          <w:rFonts w:ascii="Times New Roman" w:eastAsia="Times New Roman" w:hAnsi="Times New Roman" w:cs="Times New Roman"/>
          <w:i/>
          <w:color w:val="000000"/>
          <w:sz w:val="24"/>
          <w:szCs w:val="24"/>
        </w:rPr>
        <w:t>(нова - ДВ, бр. 26 от 2020 г.) за 2022 г. и всяка следваща година - 95 лв.</w:t>
      </w:r>
    </w:p>
    <w:p w:rsidR="007A0407" w:rsidRPr="007A0407" w:rsidRDefault="007A0407" w:rsidP="007A0407">
      <w:pPr>
        <w:spacing w:after="0" w:line="276" w:lineRule="auto"/>
        <w:jc w:val="both"/>
        <w:textAlignment w:val="center"/>
        <w:rPr>
          <w:rFonts w:ascii="Times New Roman" w:eastAsia="Times New Roman" w:hAnsi="Times New Roman" w:cs="Times New Roman"/>
          <w:i/>
          <w:color w:val="000000"/>
          <w:sz w:val="24"/>
          <w:szCs w:val="24"/>
        </w:rPr>
      </w:pPr>
    </w:p>
    <w:p w:rsidR="007A0407" w:rsidRPr="007A0407" w:rsidRDefault="007A0407" w:rsidP="007A0407">
      <w:pPr>
        <w:spacing w:after="0" w:line="276" w:lineRule="auto"/>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Промените в Наредба </w:t>
      </w:r>
      <w:r w:rsidRPr="00D85751">
        <w:rPr>
          <w:rFonts w:ascii="Times New Roman" w:eastAsia="Times New Roman" w:hAnsi="Times New Roman" w:cs="Times New Roman"/>
          <w:color w:val="0070C0"/>
          <w:sz w:val="24"/>
          <w:szCs w:val="24"/>
        </w:rPr>
        <w:t xml:space="preserve">№ 7 </w:t>
      </w:r>
      <w:r w:rsidRPr="007A0407">
        <w:rPr>
          <w:rFonts w:ascii="Times New Roman" w:eastAsia="Times New Roman" w:hAnsi="Times New Roman" w:cs="Times New Roman"/>
          <w:color w:val="000000"/>
          <w:sz w:val="24"/>
          <w:szCs w:val="24"/>
        </w:rPr>
        <w:t>от 2020 г. имат за цел да се намали финансовата тежест върху общините, които следва да ги заплащат и нямат налична към момента изградена инфраструктура за третиране на отпадъците.</w:t>
      </w:r>
    </w:p>
    <w:p w:rsidR="007A0407" w:rsidRPr="003F62DA" w:rsidRDefault="007A0407" w:rsidP="007A0407">
      <w:pPr>
        <w:spacing w:after="0" w:line="276" w:lineRule="auto"/>
        <w:jc w:val="both"/>
        <w:textAlignment w:val="center"/>
        <w:rPr>
          <w:rFonts w:ascii="Times New Roman" w:eastAsia="Calibri" w:hAnsi="Times New Roman" w:cs="Times New Roman"/>
          <w:color w:val="0070C0"/>
          <w:sz w:val="24"/>
          <w:szCs w:val="24"/>
          <w:shd w:val="clear" w:color="auto" w:fill="FEFEFE"/>
        </w:rPr>
      </w:pPr>
      <w:r w:rsidRPr="003F62DA">
        <w:rPr>
          <w:rFonts w:ascii="Times New Roman" w:eastAsia="Times New Roman" w:hAnsi="Times New Roman" w:cs="Times New Roman"/>
          <w:color w:val="0070C0"/>
          <w:sz w:val="24"/>
          <w:szCs w:val="24"/>
        </w:rPr>
        <w:t>Съгласно последните изменения на наредбата, обнародвани на 16.09.2021 г.,чл.27</w:t>
      </w:r>
      <w:r w:rsidR="009E0AE4" w:rsidRPr="003F62DA">
        <w:rPr>
          <w:rFonts w:ascii="Times New Roman" w:eastAsia="Times New Roman" w:hAnsi="Times New Roman" w:cs="Times New Roman"/>
          <w:color w:val="0070C0"/>
          <w:sz w:val="24"/>
          <w:szCs w:val="24"/>
        </w:rPr>
        <w:t>, ал.,1 и ал.2, се изменят. На база пром</w:t>
      </w:r>
      <w:r w:rsidR="00D85751">
        <w:rPr>
          <w:rFonts w:ascii="Times New Roman" w:eastAsia="Times New Roman" w:hAnsi="Times New Roman" w:cs="Times New Roman"/>
          <w:color w:val="0070C0"/>
          <w:sz w:val="24"/>
          <w:szCs w:val="24"/>
        </w:rPr>
        <w:t>е</w:t>
      </w:r>
      <w:r w:rsidR="009E0AE4" w:rsidRPr="003F62DA">
        <w:rPr>
          <w:rFonts w:ascii="Times New Roman" w:eastAsia="Times New Roman" w:hAnsi="Times New Roman" w:cs="Times New Roman"/>
          <w:color w:val="0070C0"/>
          <w:sz w:val="24"/>
          <w:szCs w:val="24"/>
        </w:rPr>
        <w:t>ните</w:t>
      </w:r>
      <w:r w:rsidRPr="003F62DA">
        <w:rPr>
          <w:rFonts w:ascii="Times New Roman" w:eastAsia="Times New Roman" w:hAnsi="Times New Roman" w:cs="Times New Roman"/>
          <w:color w:val="0070C0"/>
          <w:sz w:val="24"/>
          <w:szCs w:val="24"/>
        </w:rPr>
        <w:t xml:space="preserve"> </w:t>
      </w:r>
      <w:r w:rsidRPr="003F62DA">
        <w:rPr>
          <w:rFonts w:ascii="Times New Roman" w:eastAsia="Calibri" w:hAnsi="Times New Roman" w:cs="Times New Roman"/>
          <w:color w:val="0070C0"/>
          <w:sz w:val="24"/>
          <w:szCs w:val="24"/>
          <w:shd w:val="clear" w:color="auto" w:fill="FEFEFE"/>
        </w:rPr>
        <w:t>размерът на отчисленията по чл. 20, ал. 1, т. 1 и ал. 2, дължими от всяка община, се намалява, когато са изпълнени целите по чл. 31, ал. 1 от ЗУО съгласно решението на общото събрание по чл. 26, ал. 1, т. 6 ЗУО за разпределение на задълженията между отделните общини за изпълнение на целите, както следва:</w:t>
      </w:r>
    </w:p>
    <w:p w:rsidR="007A0407" w:rsidRPr="003F62DA" w:rsidRDefault="007A0407" w:rsidP="007A0407">
      <w:pPr>
        <w:shd w:val="clear" w:color="auto" w:fill="FEFEFE"/>
        <w:spacing w:after="0" w:line="240" w:lineRule="auto"/>
        <w:rPr>
          <w:rFonts w:ascii="Times New Roman" w:eastAsia="Times New Roman" w:hAnsi="Times New Roman" w:cs="Times New Roman"/>
          <w:color w:val="0070C0"/>
          <w:sz w:val="24"/>
          <w:szCs w:val="24"/>
          <w:lang w:eastAsia="bg-BG"/>
        </w:rPr>
      </w:pPr>
      <w:r w:rsidRPr="003F62DA">
        <w:rPr>
          <w:rFonts w:ascii="Times New Roman" w:eastAsia="Times New Roman" w:hAnsi="Times New Roman" w:cs="Times New Roman"/>
          <w:color w:val="0070C0"/>
          <w:sz w:val="24"/>
          <w:szCs w:val="24"/>
          <w:lang w:eastAsia="bg-BG"/>
        </w:rPr>
        <w:t xml:space="preserve"> - с 50 на сто за целите за повторна употреба и рециклиране по чл. 31, ал. 1, т. 1, 3, 4 и 5 ЗУО;</w:t>
      </w:r>
    </w:p>
    <w:p w:rsidR="007A0407" w:rsidRPr="003F62DA" w:rsidRDefault="007A0407" w:rsidP="007A0407">
      <w:pPr>
        <w:shd w:val="clear" w:color="auto" w:fill="FEFEFE"/>
        <w:spacing w:after="0" w:line="240" w:lineRule="auto"/>
        <w:rPr>
          <w:rFonts w:ascii="Times New Roman" w:eastAsia="Times New Roman" w:hAnsi="Times New Roman" w:cs="Times New Roman"/>
          <w:color w:val="0070C0"/>
          <w:sz w:val="24"/>
          <w:szCs w:val="24"/>
          <w:lang w:eastAsia="bg-BG"/>
        </w:rPr>
      </w:pPr>
      <w:r w:rsidRPr="003F62DA">
        <w:rPr>
          <w:rFonts w:ascii="Times New Roman" w:eastAsia="Times New Roman" w:hAnsi="Times New Roman" w:cs="Times New Roman"/>
          <w:color w:val="0070C0"/>
          <w:sz w:val="24"/>
          <w:szCs w:val="24"/>
          <w:lang w:eastAsia="bg-BG"/>
        </w:rPr>
        <w:t xml:space="preserve"> -  с 50 на сто за целите за ограничаване на количествата депонирани битови отпадъци по чл. 31, ал. 1, т. 2 и 6 ЗУО.</w:t>
      </w:r>
    </w:p>
    <w:p w:rsidR="007A0407" w:rsidRPr="007A0407" w:rsidRDefault="007A0407" w:rsidP="007A0407">
      <w:pPr>
        <w:spacing w:after="0" w:line="276" w:lineRule="auto"/>
        <w:jc w:val="both"/>
        <w:textAlignment w:val="center"/>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За изяснение на изменението на отчисленията представени по-горе (през 2020 и 2021 г.,) бяха направени и изменения в Закона за управление на отпадъците чрез Преходните и заключителни разпоредби към Закона за изменение и допълнение на Данъчно – осигурителния процесуален кодекс (ДВ, бр. 105 от 2020 г., в сила от 01.01.2021 г.), както следва:</w:t>
      </w:r>
    </w:p>
    <w:p w:rsidR="007A0407" w:rsidRPr="007A0407" w:rsidRDefault="007A0407" w:rsidP="007A0407">
      <w:pPr>
        <w:spacing w:after="0" w:line="276" w:lineRule="auto"/>
        <w:jc w:val="both"/>
        <w:textAlignment w:val="center"/>
        <w:rPr>
          <w:rFonts w:ascii="Times New Roman" w:eastAsia="Times New Roman" w:hAnsi="Times New Roman" w:cs="Times New Roman"/>
          <w:color w:val="000000"/>
          <w:sz w:val="24"/>
          <w:szCs w:val="24"/>
        </w:rPr>
      </w:pP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 57. В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управление на </w:t>
      </w:r>
      <w:proofErr w:type="spellStart"/>
      <w:r w:rsidRPr="007A0407">
        <w:rPr>
          <w:rFonts w:ascii="Times New Roman" w:eastAsia="Times New Roman" w:hAnsi="Times New Roman" w:cs="Times New Roman"/>
          <w:i/>
          <w:color w:val="000000"/>
          <w:sz w:val="24"/>
          <w:szCs w:val="24"/>
          <w:lang w:val="en-GB" w:eastAsia="en-GB"/>
        </w:rPr>
        <w:t>отпадъците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обн</w:t>
      </w:r>
      <w:proofErr w:type="spellEnd"/>
      <w:r w:rsidRPr="007A0407">
        <w:rPr>
          <w:rFonts w:ascii="Times New Roman" w:eastAsia="Times New Roman" w:hAnsi="Times New Roman" w:cs="Times New Roman"/>
          <w:i/>
          <w:color w:val="000000"/>
          <w:sz w:val="24"/>
          <w:szCs w:val="24"/>
          <w:lang w:val="en-GB" w:eastAsia="en-GB"/>
        </w:rPr>
        <w:t xml:space="preserve">., ДВ,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53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2012 г.; </w:t>
      </w:r>
      <w:proofErr w:type="spellStart"/>
      <w:r w:rsidRPr="007A0407">
        <w:rPr>
          <w:rFonts w:ascii="Times New Roman" w:eastAsia="Times New Roman" w:hAnsi="Times New Roman" w:cs="Times New Roman"/>
          <w:i/>
          <w:color w:val="000000"/>
          <w:sz w:val="24"/>
          <w:szCs w:val="24"/>
          <w:lang w:val="en-GB" w:eastAsia="en-GB"/>
        </w:rPr>
        <w:t>изм</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66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2013 г.; Решение № 1 на </w:t>
      </w:r>
      <w:proofErr w:type="spellStart"/>
      <w:r w:rsidRPr="007A0407">
        <w:rPr>
          <w:rFonts w:ascii="Times New Roman" w:eastAsia="Times New Roman" w:hAnsi="Times New Roman" w:cs="Times New Roman"/>
          <w:i/>
          <w:color w:val="000000"/>
          <w:sz w:val="24"/>
          <w:szCs w:val="24"/>
          <w:lang w:val="en-GB" w:eastAsia="en-GB"/>
        </w:rPr>
        <w:t>Конституционния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съд</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2014 г. –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61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2014 г.; </w:t>
      </w:r>
      <w:proofErr w:type="spellStart"/>
      <w:r w:rsidRPr="007A0407">
        <w:rPr>
          <w:rFonts w:ascii="Times New Roman" w:eastAsia="Times New Roman" w:hAnsi="Times New Roman" w:cs="Times New Roman"/>
          <w:i/>
          <w:color w:val="000000"/>
          <w:sz w:val="24"/>
          <w:szCs w:val="24"/>
          <w:lang w:val="en-GB" w:eastAsia="en-GB"/>
        </w:rPr>
        <w:t>изм</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98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2014 г.,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14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2015 г.,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105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2016 г.,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13, 85, 88 и 102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2017 г.,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53, 77 и 98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2018 г. и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 25, 56 и 81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2019 г.)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правят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следните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изменения</w:t>
      </w:r>
      <w:proofErr w:type="spellEnd"/>
      <w:r w:rsidRPr="007A0407">
        <w:rPr>
          <w:rFonts w:ascii="Times New Roman" w:eastAsia="Times New Roman" w:hAnsi="Times New Roman" w:cs="Times New Roman"/>
          <w:i/>
          <w:color w:val="000000"/>
          <w:sz w:val="24"/>
          <w:szCs w:val="24"/>
          <w:lang w:val="en-GB" w:eastAsia="en-GB"/>
        </w:rPr>
        <w:t>:</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p>
    <w:p w:rsidR="007A0407" w:rsidRPr="007A0407" w:rsidRDefault="007A0407" w:rsidP="007A0407">
      <w:pPr>
        <w:numPr>
          <w:ilvl w:val="0"/>
          <w:numId w:val="42"/>
        </w:numPr>
        <w:shd w:val="clear" w:color="auto" w:fill="FFFFFF"/>
        <w:spacing w:after="0" w:line="276" w:lineRule="auto"/>
        <w:contextualSpacing/>
        <w:jc w:val="both"/>
        <w:rPr>
          <w:rFonts w:ascii="Times New Roman" w:eastAsia="Times New Roman" w:hAnsi="Times New Roman" w:cs="Times New Roman"/>
          <w:i/>
          <w:color w:val="000000"/>
          <w:sz w:val="24"/>
          <w:szCs w:val="24"/>
          <w:lang w:val="en-GB" w:eastAsia="en-GB"/>
        </w:rPr>
      </w:pPr>
      <w:bookmarkStart w:id="4" w:name="m_4671635607133798516_to_paragraph_id439"/>
      <w:r w:rsidRPr="007A0407">
        <w:rPr>
          <w:rFonts w:ascii="Times New Roman" w:eastAsia="Times New Roman" w:hAnsi="Times New Roman" w:cs="Times New Roman"/>
          <w:i/>
          <w:color w:val="000000"/>
          <w:sz w:val="24"/>
          <w:szCs w:val="24"/>
          <w:lang w:val="en-GB" w:eastAsia="en-GB"/>
        </w:rPr>
        <w:t xml:space="preserve">§ 58. (В </w:t>
      </w:r>
      <w:proofErr w:type="spellStart"/>
      <w:r w:rsidRPr="007A0407">
        <w:rPr>
          <w:rFonts w:ascii="Times New Roman" w:eastAsia="Times New Roman" w:hAnsi="Times New Roman" w:cs="Times New Roman"/>
          <w:i/>
          <w:color w:val="000000"/>
          <w:sz w:val="24"/>
          <w:szCs w:val="24"/>
          <w:lang w:val="en-GB" w:eastAsia="en-GB"/>
        </w:rPr>
        <w:t>сила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11.12.2020 - ДВ,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105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2020 г.) </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(1) </w:t>
      </w:r>
      <w:proofErr w:type="spellStart"/>
      <w:r w:rsidRPr="007A0407">
        <w:rPr>
          <w:rFonts w:ascii="Times New Roman" w:eastAsia="Times New Roman" w:hAnsi="Times New Roman" w:cs="Times New Roman"/>
          <w:i/>
          <w:color w:val="000000"/>
          <w:sz w:val="24"/>
          <w:szCs w:val="24"/>
          <w:lang w:val="en-GB" w:eastAsia="en-GB"/>
        </w:rPr>
        <w:t>Месечните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обезпечения</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отчисления</w:t>
      </w:r>
      <w:proofErr w:type="spellEnd"/>
      <w:r w:rsidRPr="007A0407">
        <w:rPr>
          <w:rFonts w:ascii="Times New Roman" w:eastAsia="Times New Roman" w:hAnsi="Times New Roman" w:cs="Times New Roman"/>
          <w:i/>
          <w:color w:val="000000"/>
          <w:sz w:val="24"/>
          <w:szCs w:val="24"/>
          <w:lang w:val="en-GB" w:eastAsia="en-GB"/>
        </w:rPr>
        <w:t xml:space="preserve"> за 2020 г.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60,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2, т. 1 и 2 и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64,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управление на </w:t>
      </w:r>
      <w:proofErr w:type="spellStart"/>
      <w:r w:rsidRPr="007A0407">
        <w:rPr>
          <w:rFonts w:ascii="Times New Roman" w:eastAsia="Times New Roman" w:hAnsi="Times New Roman" w:cs="Times New Roman"/>
          <w:i/>
          <w:color w:val="000000"/>
          <w:sz w:val="24"/>
          <w:szCs w:val="24"/>
          <w:lang w:val="en-GB" w:eastAsia="en-GB"/>
        </w:rPr>
        <w:t>отпадъците</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периода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март</w:t>
      </w:r>
      <w:proofErr w:type="spellEnd"/>
      <w:r w:rsidRPr="007A0407">
        <w:rPr>
          <w:rFonts w:ascii="Times New Roman" w:eastAsia="Times New Roman" w:hAnsi="Times New Roman" w:cs="Times New Roman"/>
          <w:i/>
          <w:color w:val="000000"/>
          <w:sz w:val="24"/>
          <w:szCs w:val="24"/>
          <w:lang w:val="en-GB" w:eastAsia="en-GB"/>
        </w:rPr>
        <w:t xml:space="preserve"> 2020 г. </w:t>
      </w:r>
      <w:proofErr w:type="spellStart"/>
      <w:r w:rsidRPr="007A0407">
        <w:rPr>
          <w:rFonts w:ascii="Times New Roman" w:eastAsia="Times New Roman" w:hAnsi="Times New Roman" w:cs="Times New Roman"/>
          <w:i/>
          <w:color w:val="000000"/>
          <w:sz w:val="24"/>
          <w:szCs w:val="24"/>
          <w:lang w:val="en-GB" w:eastAsia="en-GB"/>
        </w:rPr>
        <w:t>до</w:t>
      </w:r>
      <w:proofErr w:type="spellEnd"/>
      <w:r w:rsidRPr="007A0407">
        <w:rPr>
          <w:rFonts w:ascii="Times New Roman" w:eastAsia="Times New Roman" w:hAnsi="Times New Roman" w:cs="Times New Roman"/>
          <w:i/>
          <w:color w:val="000000"/>
          <w:sz w:val="24"/>
          <w:szCs w:val="24"/>
          <w:lang w:val="en-GB" w:eastAsia="en-GB"/>
        </w:rPr>
        <w:t xml:space="preserve"> 31 декември 2020 г. </w:t>
      </w:r>
      <w:proofErr w:type="spellStart"/>
      <w:r w:rsidRPr="007A0407">
        <w:rPr>
          <w:rFonts w:ascii="Times New Roman" w:eastAsia="Times New Roman" w:hAnsi="Times New Roman" w:cs="Times New Roman"/>
          <w:i/>
          <w:color w:val="000000"/>
          <w:sz w:val="24"/>
          <w:szCs w:val="24"/>
          <w:lang w:val="en-GB" w:eastAsia="en-GB"/>
        </w:rPr>
        <w:t>остават</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сметка</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общината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която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ги</w:t>
      </w:r>
      <w:proofErr w:type="spellEnd"/>
      <w:r w:rsidRPr="007A0407">
        <w:rPr>
          <w:rFonts w:ascii="Times New Roman" w:eastAsia="Times New Roman" w:hAnsi="Times New Roman" w:cs="Times New Roman"/>
          <w:i/>
          <w:color w:val="000000"/>
          <w:sz w:val="24"/>
          <w:szCs w:val="24"/>
          <w:lang w:val="en-GB" w:eastAsia="en-GB"/>
        </w:rPr>
        <w:t xml:space="preserve"> е </w:t>
      </w:r>
      <w:proofErr w:type="spellStart"/>
      <w:r w:rsidRPr="007A0407">
        <w:rPr>
          <w:rFonts w:ascii="Times New Roman" w:eastAsia="Times New Roman" w:hAnsi="Times New Roman" w:cs="Times New Roman"/>
          <w:i/>
          <w:color w:val="000000"/>
          <w:sz w:val="24"/>
          <w:szCs w:val="24"/>
          <w:lang w:val="en-GB" w:eastAsia="en-GB"/>
        </w:rPr>
        <w:t>събрала</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разходват</w:t>
      </w:r>
      <w:proofErr w:type="spellEnd"/>
      <w:r w:rsidRPr="007A0407">
        <w:rPr>
          <w:rFonts w:ascii="Times New Roman" w:eastAsia="Times New Roman" w:hAnsi="Times New Roman" w:cs="Times New Roman"/>
          <w:i/>
          <w:color w:val="000000"/>
          <w:sz w:val="24"/>
          <w:szCs w:val="24"/>
          <w:lang w:val="en-GB" w:eastAsia="en-GB"/>
        </w:rPr>
        <w:t xml:space="preserve"> по решение на </w:t>
      </w:r>
      <w:proofErr w:type="spellStart"/>
      <w:r w:rsidRPr="007A0407">
        <w:rPr>
          <w:rFonts w:ascii="Times New Roman" w:eastAsia="Times New Roman" w:hAnsi="Times New Roman" w:cs="Times New Roman"/>
          <w:i/>
          <w:color w:val="000000"/>
          <w:sz w:val="24"/>
          <w:szCs w:val="24"/>
          <w:lang w:val="en-GB" w:eastAsia="en-GB"/>
        </w:rPr>
        <w:t>общинския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съвет</w:t>
      </w:r>
      <w:proofErr w:type="spellEnd"/>
      <w:r w:rsidRPr="007A0407">
        <w:rPr>
          <w:rFonts w:ascii="Times New Roman" w:eastAsia="Times New Roman" w:hAnsi="Times New Roman" w:cs="Times New Roman"/>
          <w:i/>
          <w:color w:val="000000"/>
          <w:sz w:val="24"/>
          <w:szCs w:val="24"/>
          <w:lang w:val="en-GB" w:eastAsia="en-GB"/>
        </w:rPr>
        <w:t xml:space="preserve"> чрез </w:t>
      </w:r>
      <w:proofErr w:type="spellStart"/>
      <w:r w:rsidRPr="007A0407">
        <w:rPr>
          <w:rFonts w:ascii="Times New Roman" w:eastAsia="Times New Roman" w:hAnsi="Times New Roman" w:cs="Times New Roman"/>
          <w:i/>
          <w:color w:val="000000"/>
          <w:sz w:val="24"/>
          <w:szCs w:val="24"/>
          <w:lang w:val="en-GB" w:eastAsia="en-GB"/>
        </w:rPr>
        <w:t>вътрешни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компенсирани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промени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без</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изменя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приетият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общинския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съвет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начин</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определяне</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размер</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таксата</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битови</w:t>
      </w:r>
      <w:proofErr w:type="spellEnd"/>
      <w:r w:rsidRPr="007A0407">
        <w:rPr>
          <w:rFonts w:ascii="Times New Roman" w:eastAsia="Times New Roman" w:hAnsi="Times New Roman" w:cs="Times New Roman"/>
          <w:i/>
          <w:color w:val="000000"/>
          <w:sz w:val="24"/>
          <w:szCs w:val="24"/>
          <w:lang w:val="en-GB" w:eastAsia="en-GB"/>
        </w:rPr>
        <w:t xml:space="preserve"> отпадъци.</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(2) </w:t>
      </w:r>
      <w:proofErr w:type="spellStart"/>
      <w:r w:rsidRPr="007A0407">
        <w:rPr>
          <w:rFonts w:ascii="Times New Roman" w:eastAsia="Times New Roman" w:hAnsi="Times New Roman" w:cs="Times New Roman"/>
          <w:i/>
          <w:color w:val="000000"/>
          <w:sz w:val="24"/>
          <w:szCs w:val="24"/>
          <w:lang w:val="en-GB" w:eastAsia="en-GB"/>
        </w:rPr>
        <w:t>Регионалната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инспекция</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околната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среда</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водите</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чиято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територия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намира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съответното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депо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възстановява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банковата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сметка</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чужди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средства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преведените</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неусвоени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общините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месечни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обезпечения</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отчисления</w:t>
      </w:r>
      <w:proofErr w:type="spellEnd"/>
      <w:r w:rsidRPr="007A0407">
        <w:rPr>
          <w:rFonts w:ascii="Times New Roman" w:eastAsia="Times New Roman" w:hAnsi="Times New Roman" w:cs="Times New Roman"/>
          <w:i/>
          <w:color w:val="000000"/>
          <w:sz w:val="24"/>
          <w:szCs w:val="24"/>
          <w:lang w:val="en-GB" w:eastAsia="en-GB"/>
        </w:rPr>
        <w:t xml:space="preserve"> за 2020 г.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60,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2, т. 1 и 2 и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64,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управление на </w:t>
      </w:r>
      <w:proofErr w:type="spellStart"/>
      <w:r w:rsidRPr="007A0407">
        <w:rPr>
          <w:rFonts w:ascii="Times New Roman" w:eastAsia="Times New Roman" w:hAnsi="Times New Roman" w:cs="Times New Roman"/>
          <w:i/>
          <w:color w:val="000000"/>
          <w:sz w:val="24"/>
          <w:szCs w:val="24"/>
          <w:lang w:val="en-GB" w:eastAsia="en-GB"/>
        </w:rPr>
        <w:t>отпадъците</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периода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март</w:t>
      </w:r>
      <w:proofErr w:type="spellEnd"/>
      <w:r w:rsidRPr="007A0407">
        <w:rPr>
          <w:rFonts w:ascii="Times New Roman" w:eastAsia="Times New Roman" w:hAnsi="Times New Roman" w:cs="Times New Roman"/>
          <w:i/>
          <w:color w:val="000000"/>
          <w:sz w:val="24"/>
          <w:szCs w:val="24"/>
          <w:lang w:val="en-GB" w:eastAsia="en-GB"/>
        </w:rPr>
        <w:t xml:space="preserve"> 2020 г. </w:t>
      </w:r>
      <w:proofErr w:type="spellStart"/>
      <w:r w:rsidRPr="007A0407">
        <w:rPr>
          <w:rFonts w:ascii="Times New Roman" w:eastAsia="Times New Roman" w:hAnsi="Times New Roman" w:cs="Times New Roman"/>
          <w:i/>
          <w:color w:val="000000"/>
          <w:sz w:val="24"/>
          <w:szCs w:val="24"/>
          <w:lang w:val="en-GB" w:eastAsia="en-GB"/>
        </w:rPr>
        <w:t>до</w:t>
      </w:r>
      <w:proofErr w:type="spellEnd"/>
      <w:r w:rsidRPr="007A0407">
        <w:rPr>
          <w:rFonts w:ascii="Times New Roman" w:eastAsia="Times New Roman" w:hAnsi="Times New Roman" w:cs="Times New Roman"/>
          <w:i/>
          <w:color w:val="000000"/>
          <w:sz w:val="24"/>
          <w:szCs w:val="24"/>
          <w:lang w:val="en-GB" w:eastAsia="en-GB"/>
        </w:rPr>
        <w:t xml:space="preserve"> 31 декември 2020 г. в </w:t>
      </w:r>
      <w:proofErr w:type="spellStart"/>
      <w:r w:rsidRPr="007A0407">
        <w:rPr>
          <w:rFonts w:ascii="Times New Roman" w:eastAsia="Times New Roman" w:hAnsi="Times New Roman" w:cs="Times New Roman"/>
          <w:i/>
          <w:color w:val="000000"/>
          <w:sz w:val="24"/>
          <w:szCs w:val="24"/>
          <w:lang w:val="en-GB" w:eastAsia="en-GB"/>
        </w:rPr>
        <w:t>срок</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до</w:t>
      </w:r>
      <w:proofErr w:type="spellEnd"/>
      <w:r w:rsidRPr="007A0407">
        <w:rPr>
          <w:rFonts w:ascii="Times New Roman" w:eastAsia="Times New Roman" w:hAnsi="Times New Roman" w:cs="Times New Roman"/>
          <w:i/>
          <w:color w:val="000000"/>
          <w:sz w:val="24"/>
          <w:szCs w:val="24"/>
          <w:lang w:val="en-GB" w:eastAsia="en-GB"/>
        </w:rPr>
        <w:t xml:space="preserve"> 31 </w:t>
      </w:r>
      <w:proofErr w:type="spellStart"/>
      <w:r w:rsidRPr="007A0407">
        <w:rPr>
          <w:rFonts w:ascii="Times New Roman" w:eastAsia="Times New Roman" w:hAnsi="Times New Roman" w:cs="Times New Roman"/>
          <w:i/>
          <w:color w:val="000000"/>
          <w:sz w:val="24"/>
          <w:szCs w:val="24"/>
          <w:lang w:val="en-GB" w:eastAsia="en-GB"/>
        </w:rPr>
        <w:t>януари</w:t>
      </w:r>
      <w:proofErr w:type="spellEnd"/>
      <w:r w:rsidRPr="007A0407">
        <w:rPr>
          <w:rFonts w:ascii="Times New Roman" w:eastAsia="Times New Roman" w:hAnsi="Times New Roman" w:cs="Times New Roman"/>
          <w:i/>
          <w:color w:val="000000"/>
          <w:sz w:val="24"/>
          <w:szCs w:val="24"/>
          <w:lang w:val="en-GB" w:eastAsia="en-GB"/>
        </w:rPr>
        <w:t xml:space="preserve"> 2021 г. </w:t>
      </w:r>
      <w:proofErr w:type="spellStart"/>
      <w:r w:rsidRPr="007A0407">
        <w:rPr>
          <w:rFonts w:ascii="Times New Roman" w:eastAsia="Times New Roman" w:hAnsi="Times New Roman" w:cs="Times New Roman"/>
          <w:i/>
          <w:color w:val="000000"/>
          <w:sz w:val="24"/>
          <w:szCs w:val="24"/>
          <w:lang w:val="en-GB" w:eastAsia="en-GB"/>
        </w:rPr>
        <w:t>Възстановените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средства</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изречение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първо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разходват</w:t>
      </w:r>
      <w:proofErr w:type="spellEnd"/>
      <w:r w:rsidRPr="007A0407">
        <w:rPr>
          <w:rFonts w:ascii="Times New Roman" w:eastAsia="Times New Roman" w:hAnsi="Times New Roman" w:cs="Times New Roman"/>
          <w:i/>
          <w:color w:val="000000"/>
          <w:sz w:val="24"/>
          <w:szCs w:val="24"/>
          <w:lang w:val="en-GB" w:eastAsia="en-GB"/>
        </w:rPr>
        <w:t xml:space="preserve"> по решение на </w:t>
      </w:r>
      <w:proofErr w:type="spellStart"/>
      <w:r w:rsidRPr="007A0407">
        <w:rPr>
          <w:rFonts w:ascii="Times New Roman" w:eastAsia="Times New Roman" w:hAnsi="Times New Roman" w:cs="Times New Roman"/>
          <w:i/>
          <w:color w:val="000000"/>
          <w:sz w:val="24"/>
          <w:szCs w:val="24"/>
          <w:lang w:val="en-GB" w:eastAsia="en-GB"/>
        </w:rPr>
        <w:t>общинския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съвет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условията</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1.</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p>
    <w:p w:rsidR="007A0407" w:rsidRPr="007A0407" w:rsidRDefault="007A0407" w:rsidP="007A0407">
      <w:pPr>
        <w:numPr>
          <w:ilvl w:val="0"/>
          <w:numId w:val="42"/>
        </w:numPr>
        <w:shd w:val="clear" w:color="auto" w:fill="FFFFFF"/>
        <w:spacing w:after="0" w:line="276" w:lineRule="auto"/>
        <w:contextualSpacing/>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 59. (В </w:t>
      </w:r>
      <w:proofErr w:type="spellStart"/>
      <w:r w:rsidRPr="007A0407">
        <w:rPr>
          <w:rFonts w:ascii="Times New Roman" w:eastAsia="Times New Roman" w:hAnsi="Times New Roman" w:cs="Times New Roman"/>
          <w:i/>
          <w:color w:val="000000"/>
          <w:sz w:val="24"/>
          <w:szCs w:val="24"/>
          <w:lang w:val="en-GB" w:eastAsia="en-GB"/>
        </w:rPr>
        <w:t>сила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11.12.2020 - ДВ,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105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2020 г.) </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(1) За 2021 г. в </w:t>
      </w:r>
      <w:proofErr w:type="spellStart"/>
      <w:r w:rsidRPr="007A0407">
        <w:rPr>
          <w:rFonts w:ascii="Times New Roman" w:eastAsia="Times New Roman" w:hAnsi="Times New Roman" w:cs="Times New Roman"/>
          <w:i/>
          <w:color w:val="000000"/>
          <w:sz w:val="24"/>
          <w:szCs w:val="24"/>
          <w:lang w:val="en-GB" w:eastAsia="en-GB"/>
        </w:rPr>
        <w:t>разходите</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62, т. 3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местните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данъци</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такси</w:t>
      </w:r>
      <w:proofErr w:type="spellEnd"/>
      <w:r w:rsidRPr="007A0407">
        <w:rPr>
          <w:rFonts w:ascii="Times New Roman" w:eastAsia="Times New Roman" w:hAnsi="Times New Roman" w:cs="Times New Roman"/>
          <w:i/>
          <w:color w:val="000000"/>
          <w:sz w:val="24"/>
          <w:szCs w:val="24"/>
          <w:lang w:val="en-GB" w:eastAsia="en-GB"/>
        </w:rPr>
        <w:t> </w:t>
      </w:r>
      <w:proofErr w:type="spellStart"/>
      <w:r w:rsidRPr="007A0407">
        <w:rPr>
          <w:rFonts w:ascii="Times New Roman" w:eastAsia="Times New Roman" w:hAnsi="Times New Roman" w:cs="Times New Roman"/>
          <w:i/>
          <w:color w:val="000000"/>
          <w:sz w:val="24"/>
          <w:szCs w:val="24"/>
          <w:lang w:val="en-GB" w:eastAsia="en-GB"/>
        </w:rPr>
        <w:t>може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бъдат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включени</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разходи</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изпълнение</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мерки</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63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здравето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извършени</w:t>
      </w:r>
      <w:proofErr w:type="spellEnd"/>
      <w:r w:rsidRPr="007A0407">
        <w:rPr>
          <w:rFonts w:ascii="Times New Roman" w:eastAsia="Times New Roman" w:hAnsi="Times New Roman" w:cs="Times New Roman"/>
          <w:i/>
          <w:color w:val="000000"/>
          <w:sz w:val="24"/>
          <w:szCs w:val="24"/>
          <w:lang w:val="en-GB" w:eastAsia="en-GB"/>
        </w:rPr>
        <w:t xml:space="preserve"> на територии за </w:t>
      </w:r>
      <w:proofErr w:type="spellStart"/>
      <w:r w:rsidRPr="007A0407">
        <w:rPr>
          <w:rFonts w:ascii="Times New Roman" w:eastAsia="Times New Roman" w:hAnsi="Times New Roman" w:cs="Times New Roman"/>
          <w:i/>
          <w:color w:val="000000"/>
          <w:sz w:val="24"/>
          <w:szCs w:val="24"/>
          <w:lang w:val="en-GB" w:eastAsia="en-GB"/>
        </w:rPr>
        <w:t>обществено</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ползване</w:t>
      </w:r>
      <w:proofErr w:type="spellEnd"/>
      <w:r w:rsidRPr="007A0407">
        <w:rPr>
          <w:rFonts w:ascii="Times New Roman" w:eastAsia="Times New Roman" w:hAnsi="Times New Roman" w:cs="Times New Roman"/>
          <w:i/>
          <w:color w:val="000000"/>
          <w:sz w:val="24"/>
          <w:szCs w:val="24"/>
          <w:lang w:val="en-GB" w:eastAsia="en-GB"/>
        </w:rPr>
        <w:t xml:space="preserve"> в </w:t>
      </w:r>
      <w:proofErr w:type="spellStart"/>
      <w:r w:rsidRPr="007A0407">
        <w:rPr>
          <w:rFonts w:ascii="Times New Roman" w:eastAsia="Times New Roman" w:hAnsi="Times New Roman" w:cs="Times New Roman"/>
          <w:i/>
          <w:color w:val="000000"/>
          <w:sz w:val="24"/>
          <w:szCs w:val="24"/>
          <w:lang w:val="en-GB" w:eastAsia="en-GB"/>
        </w:rPr>
        <w:t>населените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места</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селищните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образувания</w:t>
      </w:r>
      <w:proofErr w:type="spellEnd"/>
      <w:r w:rsidRPr="007A0407">
        <w:rPr>
          <w:rFonts w:ascii="Times New Roman" w:eastAsia="Times New Roman" w:hAnsi="Times New Roman" w:cs="Times New Roman"/>
          <w:i/>
          <w:color w:val="000000"/>
          <w:sz w:val="24"/>
          <w:szCs w:val="24"/>
          <w:lang w:val="en-GB" w:eastAsia="en-GB"/>
        </w:rPr>
        <w:t xml:space="preserve"> в </w:t>
      </w:r>
      <w:proofErr w:type="spellStart"/>
      <w:r w:rsidRPr="007A0407">
        <w:rPr>
          <w:rFonts w:ascii="Times New Roman" w:eastAsia="Times New Roman" w:hAnsi="Times New Roman" w:cs="Times New Roman"/>
          <w:i/>
          <w:color w:val="000000"/>
          <w:sz w:val="24"/>
          <w:szCs w:val="24"/>
          <w:lang w:val="en-GB" w:eastAsia="en-GB"/>
        </w:rPr>
        <w:t>общината</w:t>
      </w:r>
      <w:proofErr w:type="spellEnd"/>
      <w:r w:rsidRPr="007A0407">
        <w:rPr>
          <w:rFonts w:ascii="Times New Roman" w:eastAsia="Times New Roman" w:hAnsi="Times New Roman" w:cs="Times New Roman"/>
          <w:i/>
          <w:color w:val="000000"/>
          <w:sz w:val="24"/>
          <w:szCs w:val="24"/>
          <w:lang w:val="en-GB" w:eastAsia="en-GB"/>
        </w:rPr>
        <w:t>.</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(2) </w:t>
      </w:r>
      <w:proofErr w:type="spellStart"/>
      <w:r w:rsidRPr="007A0407">
        <w:rPr>
          <w:rFonts w:ascii="Times New Roman" w:eastAsia="Times New Roman" w:hAnsi="Times New Roman" w:cs="Times New Roman"/>
          <w:i/>
          <w:color w:val="000000"/>
          <w:sz w:val="24"/>
          <w:szCs w:val="24"/>
          <w:lang w:val="en-GB" w:eastAsia="en-GB"/>
        </w:rPr>
        <w:t>Разходите</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осигуряват</w:t>
      </w:r>
      <w:proofErr w:type="spellEnd"/>
      <w:r w:rsidRPr="007A0407">
        <w:rPr>
          <w:rFonts w:ascii="Times New Roman" w:eastAsia="Times New Roman" w:hAnsi="Times New Roman" w:cs="Times New Roman"/>
          <w:i/>
          <w:color w:val="000000"/>
          <w:sz w:val="24"/>
          <w:szCs w:val="24"/>
          <w:lang w:val="en-GB" w:eastAsia="en-GB"/>
        </w:rPr>
        <w:t xml:space="preserve"> чрез </w:t>
      </w:r>
      <w:proofErr w:type="spellStart"/>
      <w:r w:rsidRPr="007A0407">
        <w:rPr>
          <w:rFonts w:ascii="Times New Roman" w:eastAsia="Times New Roman" w:hAnsi="Times New Roman" w:cs="Times New Roman"/>
          <w:i/>
          <w:color w:val="000000"/>
          <w:sz w:val="24"/>
          <w:szCs w:val="24"/>
          <w:lang w:val="en-GB" w:eastAsia="en-GB"/>
        </w:rPr>
        <w:t>вътрешни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компенсирани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промени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без</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изменя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приетият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общинския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съвет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начин</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определяне</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размер</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таксата</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битови</w:t>
      </w:r>
      <w:proofErr w:type="spellEnd"/>
      <w:r w:rsidRPr="007A0407">
        <w:rPr>
          <w:rFonts w:ascii="Times New Roman" w:eastAsia="Times New Roman" w:hAnsi="Times New Roman" w:cs="Times New Roman"/>
          <w:i/>
          <w:color w:val="000000"/>
          <w:sz w:val="24"/>
          <w:szCs w:val="24"/>
          <w:lang w:val="en-GB" w:eastAsia="en-GB"/>
        </w:rPr>
        <w:t xml:space="preserve"> отпадъци.</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p>
    <w:bookmarkEnd w:id="4"/>
    <w:p w:rsidR="007A0407" w:rsidRPr="007A0407" w:rsidRDefault="007A0407" w:rsidP="007A0407">
      <w:pPr>
        <w:numPr>
          <w:ilvl w:val="0"/>
          <w:numId w:val="42"/>
        </w:numPr>
        <w:shd w:val="clear" w:color="auto" w:fill="FFFFFF"/>
        <w:spacing w:after="0" w:line="276" w:lineRule="auto"/>
        <w:contextualSpacing/>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 60. (В </w:t>
      </w:r>
      <w:proofErr w:type="spellStart"/>
      <w:r w:rsidRPr="007A0407">
        <w:rPr>
          <w:rFonts w:ascii="Times New Roman" w:eastAsia="Times New Roman" w:hAnsi="Times New Roman" w:cs="Times New Roman"/>
          <w:i/>
          <w:color w:val="000000"/>
          <w:sz w:val="24"/>
          <w:szCs w:val="24"/>
          <w:lang w:val="en-GB" w:eastAsia="en-GB"/>
        </w:rPr>
        <w:t>сила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11.12.2020 - ДВ, </w:t>
      </w:r>
      <w:proofErr w:type="spellStart"/>
      <w:r w:rsidRPr="007A0407">
        <w:rPr>
          <w:rFonts w:ascii="Times New Roman" w:eastAsia="Times New Roman" w:hAnsi="Times New Roman" w:cs="Times New Roman"/>
          <w:i/>
          <w:color w:val="000000"/>
          <w:sz w:val="24"/>
          <w:szCs w:val="24"/>
          <w:lang w:val="en-GB" w:eastAsia="en-GB"/>
        </w:rPr>
        <w:t>бр</w:t>
      </w:r>
      <w:proofErr w:type="spellEnd"/>
      <w:r w:rsidRPr="007A0407">
        <w:rPr>
          <w:rFonts w:ascii="Times New Roman" w:eastAsia="Times New Roman" w:hAnsi="Times New Roman" w:cs="Times New Roman"/>
          <w:i/>
          <w:color w:val="000000"/>
          <w:sz w:val="24"/>
          <w:szCs w:val="24"/>
          <w:lang w:val="en-GB" w:eastAsia="en-GB"/>
        </w:rPr>
        <w:t xml:space="preserve">. 105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2020 г.)</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(1) </w:t>
      </w:r>
      <w:proofErr w:type="spellStart"/>
      <w:r w:rsidRPr="007A0407">
        <w:rPr>
          <w:rFonts w:ascii="Times New Roman" w:eastAsia="Times New Roman" w:hAnsi="Times New Roman" w:cs="Times New Roman"/>
          <w:i/>
          <w:color w:val="000000"/>
          <w:sz w:val="24"/>
          <w:szCs w:val="24"/>
          <w:lang w:val="en-GB" w:eastAsia="en-GB"/>
        </w:rPr>
        <w:t>Месечните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обезпечения</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отчисления</w:t>
      </w:r>
      <w:proofErr w:type="spellEnd"/>
      <w:r w:rsidRPr="007A0407">
        <w:rPr>
          <w:rFonts w:ascii="Times New Roman" w:eastAsia="Times New Roman" w:hAnsi="Times New Roman" w:cs="Times New Roman"/>
          <w:i/>
          <w:color w:val="000000"/>
          <w:sz w:val="24"/>
          <w:szCs w:val="24"/>
          <w:lang w:val="en-GB" w:eastAsia="en-GB"/>
        </w:rPr>
        <w:t xml:space="preserve"> за 2021 г.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60,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2, т. 1 и 2 и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64,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управление на </w:t>
      </w:r>
      <w:proofErr w:type="spellStart"/>
      <w:r w:rsidRPr="007A0407">
        <w:rPr>
          <w:rFonts w:ascii="Times New Roman" w:eastAsia="Times New Roman" w:hAnsi="Times New Roman" w:cs="Times New Roman"/>
          <w:i/>
          <w:color w:val="000000"/>
          <w:sz w:val="24"/>
          <w:szCs w:val="24"/>
          <w:lang w:val="en-GB" w:eastAsia="en-GB"/>
        </w:rPr>
        <w:t>отпадъците</w:t>
      </w:r>
      <w:proofErr w:type="spellEnd"/>
      <w:r w:rsidRPr="007A0407">
        <w:rPr>
          <w:rFonts w:ascii="Times New Roman" w:eastAsia="Times New Roman" w:hAnsi="Times New Roman" w:cs="Times New Roman"/>
          <w:i/>
          <w:color w:val="000000"/>
          <w:sz w:val="24"/>
          <w:szCs w:val="24"/>
          <w:lang w:val="en-GB" w:eastAsia="en-GB"/>
        </w:rPr>
        <w:t> </w:t>
      </w:r>
      <w:proofErr w:type="spellStart"/>
      <w:r w:rsidRPr="007A0407">
        <w:rPr>
          <w:rFonts w:ascii="Times New Roman" w:eastAsia="Times New Roman" w:hAnsi="Times New Roman" w:cs="Times New Roman"/>
          <w:i/>
          <w:color w:val="000000"/>
          <w:sz w:val="24"/>
          <w:szCs w:val="24"/>
          <w:lang w:val="en-GB" w:eastAsia="en-GB"/>
        </w:rPr>
        <w:t>може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разходват</w:t>
      </w:r>
      <w:proofErr w:type="spellEnd"/>
      <w:r w:rsidRPr="007A0407">
        <w:rPr>
          <w:rFonts w:ascii="Times New Roman" w:eastAsia="Times New Roman" w:hAnsi="Times New Roman" w:cs="Times New Roman"/>
          <w:i/>
          <w:color w:val="000000"/>
          <w:sz w:val="24"/>
          <w:szCs w:val="24"/>
          <w:lang w:val="en-GB" w:eastAsia="en-GB"/>
        </w:rPr>
        <w:t xml:space="preserve"> по решение на </w:t>
      </w:r>
      <w:proofErr w:type="spellStart"/>
      <w:r w:rsidRPr="007A0407">
        <w:rPr>
          <w:rFonts w:ascii="Times New Roman" w:eastAsia="Times New Roman" w:hAnsi="Times New Roman" w:cs="Times New Roman"/>
          <w:i/>
          <w:color w:val="000000"/>
          <w:sz w:val="24"/>
          <w:szCs w:val="24"/>
          <w:lang w:val="en-GB" w:eastAsia="en-GB"/>
        </w:rPr>
        <w:t>общинския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съвет</w:t>
      </w:r>
      <w:proofErr w:type="spellEnd"/>
      <w:r w:rsidRPr="007A0407">
        <w:rPr>
          <w:rFonts w:ascii="Times New Roman" w:eastAsia="Times New Roman" w:hAnsi="Times New Roman" w:cs="Times New Roman"/>
          <w:i/>
          <w:color w:val="000000"/>
          <w:sz w:val="24"/>
          <w:szCs w:val="24"/>
          <w:lang w:val="en-GB" w:eastAsia="en-GB"/>
        </w:rPr>
        <w:t xml:space="preserve"> чрез </w:t>
      </w:r>
      <w:proofErr w:type="spellStart"/>
      <w:r w:rsidRPr="007A0407">
        <w:rPr>
          <w:rFonts w:ascii="Times New Roman" w:eastAsia="Times New Roman" w:hAnsi="Times New Roman" w:cs="Times New Roman"/>
          <w:i/>
          <w:color w:val="000000"/>
          <w:sz w:val="24"/>
          <w:szCs w:val="24"/>
          <w:lang w:val="en-GB" w:eastAsia="en-GB"/>
        </w:rPr>
        <w:t>вътрешни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компенсирани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промени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без</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изменя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приетият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общинския</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съвет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начин</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определяне</w:t>
      </w:r>
      <w:proofErr w:type="spellEnd"/>
      <w:r w:rsidRPr="007A0407">
        <w:rPr>
          <w:rFonts w:ascii="Times New Roman" w:eastAsia="Times New Roman" w:hAnsi="Times New Roman" w:cs="Times New Roman"/>
          <w:i/>
          <w:color w:val="000000"/>
          <w:sz w:val="24"/>
          <w:szCs w:val="24"/>
          <w:lang w:val="en-GB" w:eastAsia="en-GB"/>
        </w:rPr>
        <w:t xml:space="preserve"> и </w:t>
      </w:r>
      <w:proofErr w:type="spellStart"/>
      <w:r w:rsidRPr="007A0407">
        <w:rPr>
          <w:rFonts w:ascii="Times New Roman" w:eastAsia="Times New Roman" w:hAnsi="Times New Roman" w:cs="Times New Roman"/>
          <w:i/>
          <w:color w:val="000000"/>
          <w:sz w:val="24"/>
          <w:szCs w:val="24"/>
          <w:lang w:val="en-GB" w:eastAsia="en-GB"/>
        </w:rPr>
        <w:t>размер</w:t>
      </w:r>
      <w:proofErr w:type="spellEnd"/>
      <w:r w:rsidRPr="007A0407">
        <w:rPr>
          <w:rFonts w:ascii="Times New Roman" w:eastAsia="Times New Roman" w:hAnsi="Times New Roman" w:cs="Times New Roman"/>
          <w:i/>
          <w:color w:val="000000"/>
          <w:sz w:val="24"/>
          <w:szCs w:val="24"/>
          <w:lang w:val="en-GB" w:eastAsia="en-GB"/>
        </w:rPr>
        <w:t xml:space="preserve"> на </w:t>
      </w:r>
      <w:proofErr w:type="spellStart"/>
      <w:r w:rsidRPr="007A0407">
        <w:rPr>
          <w:rFonts w:ascii="Times New Roman" w:eastAsia="Times New Roman" w:hAnsi="Times New Roman" w:cs="Times New Roman"/>
          <w:i/>
          <w:color w:val="000000"/>
          <w:sz w:val="24"/>
          <w:szCs w:val="24"/>
          <w:lang w:val="en-GB" w:eastAsia="en-GB"/>
        </w:rPr>
        <w:t>таксата</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битови</w:t>
      </w:r>
      <w:proofErr w:type="spellEnd"/>
      <w:r w:rsidRPr="007A0407">
        <w:rPr>
          <w:rFonts w:ascii="Times New Roman" w:eastAsia="Times New Roman" w:hAnsi="Times New Roman" w:cs="Times New Roman"/>
          <w:i/>
          <w:color w:val="000000"/>
          <w:sz w:val="24"/>
          <w:szCs w:val="24"/>
          <w:lang w:val="en-GB" w:eastAsia="en-GB"/>
        </w:rPr>
        <w:t xml:space="preserve"> отпадъци.</w:t>
      </w:r>
    </w:p>
    <w:p w:rsidR="007A0407" w:rsidRPr="007A0407" w:rsidRDefault="007A0407" w:rsidP="007A0407">
      <w:pPr>
        <w:shd w:val="clear" w:color="auto" w:fill="FFFFFF"/>
        <w:spacing w:after="0" w:line="276" w:lineRule="auto"/>
        <w:jc w:val="both"/>
        <w:rPr>
          <w:rFonts w:ascii="Times New Roman" w:eastAsia="Times New Roman" w:hAnsi="Times New Roman" w:cs="Times New Roman"/>
          <w:i/>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(2) </w:t>
      </w:r>
      <w:proofErr w:type="spellStart"/>
      <w:r w:rsidRPr="007A0407">
        <w:rPr>
          <w:rFonts w:ascii="Times New Roman" w:eastAsia="Times New Roman" w:hAnsi="Times New Roman" w:cs="Times New Roman"/>
          <w:i/>
          <w:color w:val="000000"/>
          <w:sz w:val="24"/>
          <w:szCs w:val="24"/>
          <w:lang w:val="en-GB" w:eastAsia="en-GB"/>
        </w:rPr>
        <w:t>Дължимите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месечни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отчисления</w:t>
      </w:r>
      <w:proofErr w:type="spellEnd"/>
      <w:r w:rsidRPr="007A0407">
        <w:rPr>
          <w:rFonts w:ascii="Times New Roman" w:eastAsia="Times New Roman" w:hAnsi="Times New Roman" w:cs="Times New Roman"/>
          <w:i/>
          <w:color w:val="000000"/>
          <w:sz w:val="24"/>
          <w:szCs w:val="24"/>
          <w:lang w:val="en-GB" w:eastAsia="en-GB"/>
        </w:rPr>
        <w:t xml:space="preserve"> за 2021 г.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60,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2, т. 1 и 2 и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64,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управление на </w:t>
      </w:r>
      <w:proofErr w:type="spellStart"/>
      <w:r w:rsidRPr="007A0407">
        <w:rPr>
          <w:rFonts w:ascii="Times New Roman" w:eastAsia="Times New Roman" w:hAnsi="Times New Roman" w:cs="Times New Roman"/>
          <w:i/>
          <w:color w:val="000000"/>
          <w:sz w:val="24"/>
          <w:szCs w:val="24"/>
          <w:lang w:val="en-GB" w:eastAsia="en-GB"/>
        </w:rPr>
        <w:t>отпадъците</w:t>
      </w:r>
      <w:proofErr w:type="spellEnd"/>
      <w:r w:rsidRPr="007A0407">
        <w:rPr>
          <w:rFonts w:ascii="Times New Roman" w:eastAsia="Times New Roman" w:hAnsi="Times New Roman" w:cs="Times New Roman"/>
          <w:i/>
          <w:color w:val="000000"/>
          <w:sz w:val="24"/>
          <w:szCs w:val="24"/>
          <w:lang w:val="en-GB" w:eastAsia="en-GB"/>
        </w:rPr>
        <w:t>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внасят</w:t>
      </w:r>
      <w:proofErr w:type="spellEnd"/>
      <w:r w:rsidRPr="007A0407">
        <w:rPr>
          <w:rFonts w:ascii="Times New Roman" w:eastAsia="Times New Roman" w:hAnsi="Times New Roman" w:cs="Times New Roman"/>
          <w:i/>
          <w:color w:val="000000"/>
          <w:sz w:val="24"/>
          <w:szCs w:val="24"/>
          <w:lang w:val="en-GB" w:eastAsia="en-GB"/>
        </w:rPr>
        <w:t xml:space="preserve"> в </w:t>
      </w:r>
      <w:proofErr w:type="spellStart"/>
      <w:r w:rsidRPr="007A0407">
        <w:rPr>
          <w:rFonts w:ascii="Times New Roman" w:eastAsia="Times New Roman" w:hAnsi="Times New Roman" w:cs="Times New Roman"/>
          <w:i/>
          <w:color w:val="000000"/>
          <w:sz w:val="24"/>
          <w:szCs w:val="24"/>
          <w:lang w:val="en-GB" w:eastAsia="en-GB"/>
        </w:rPr>
        <w:t>срок</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до</w:t>
      </w:r>
      <w:proofErr w:type="spellEnd"/>
      <w:r w:rsidRPr="007A0407">
        <w:rPr>
          <w:rFonts w:ascii="Times New Roman" w:eastAsia="Times New Roman" w:hAnsi="Times New Roman" w:cs="Times New Roman"/>
          <w:i/>
          <w:color w:val="000000"/>
          <w:sz w:val="24"/>
          <w:szCs w:val="24"/>
          <w:lang w:val="en-GB" w:eastAsia="en-GB"/>
        </w:rPr>
        <w:t xml:space="preserve"> 31 декември 2021 г.</w:t>
      </w:r>
    </w:p>
    <w:p w:rsidR="007A0407" w:rsidRPr="007A0407" w:rsidRDefault="007A0407" w:rsidP="007A0407">
      <w:pPr>
        <w:shd w:val="clear" w:color="auto" w:fill="FFFFFF"/>
        <w:spacing w:after="0" w:line="276" w:lineRule="auto"/>
        <w:jc w:val="both"/>
        <w:rPr>
          <w:rFonts w:ascii="Times New Roman" w:eastAsia="Times New Roman" w:hAnsi="Times New Roman" w:cs="Times New Roman"/>
          <w:color w:val="000000"/>
          <w:sz w:val="24"/>
          <w:szCs w:val="24"/>
          <w:lang w:val="en-GB" w:eastAsia="en-GB"/>
        </w:rPr>
      </w:pPr>
      <w:r w:rsidRPr="007A0407">
        <w:rPr>
          <w:rFonts w:ascii="Times New Roman" w:eastAsia="Times New Roman" w:hAnsi="Times New Roman" w:cs="Times New Roman"/>
          <w:i/>
          <w:color w:val="000000"/>
          <w:sz w:val="24"/>
          <w:szCs w:val="24"/>
          <w:lang w:val="en-GB" w:eastAsia="en-GB"/>
        </w:rPr>
        <w:t xml:space="preserve">(3) За </w:t>
      </w:r>
      <w:proofErr w:type="spellStart"/>
      <w:r w:rsidRPr="007A0407">
        <w:rPr>
          <w:rFonts w:ascii="Times New Roman" w:eastAsia="Times New Roman" w:hAnsi="Times New Roman" w:cs="Times New Roman"/>
          <w:i/>
          <w:color w:val="000000"/>
          <w:sz w:val="24"/>
          <w:szCs w:val="24"/>
          <w:lang w:val="en-GB" w:eastAsia="en-GB"/>
        </w:rPr>
        <w:t>периода</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януари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до</w:t>
      </w:r>
      <w:proofErr w:type="spellEnd"/>
      <w:r w:rsidRPr="007A0407">
        <w:rPr>
          <w:rFonts w:ascii="Times New Roman" w:eastAsia="Times New Roman" w:hAnsi="Times New Roman" w:cs="Times New Roman"/>
          <w:i/>
          <w:color w:val="000000"/>
          <w:sz w:val="24"/>
          <w:szCs w:val="24"/>
          <w:lang w:val="en-GB" w:eastAsia="en-GB"/>
        </w:rPr>
        <w:t xml:space="preserve"> 31 декември 2021 г. </w:t>
      </w:r>
      <w:proofErr w:type="spellStart"/>
      <w:r w:rsidRPr="007A0407">
        <w:rPr>
          <w:rFonts w:ascii="Times New Roman" w:eastAsia="Times New Roman" w:hAnsi="Times New Roman" w:cs="Times New Roman"/>
          <w:i/>
          <w:color w:val="000000"/>
          <w:sz w:val="24"/>
          <w:szCs w:val="24"/>
          <w:lang w:val="en-GB" w:eastAsia="en-GB"/>
        </w:rPr>
        <w:t>не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начисляват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лихви</w:t>
      </w:r>
      <w:proofErr w:type="spellEnd"/>
      <w:r w:rsidRPr="007A0407">
        <w:rPr>
          <w:rFonts w:ascii="Times New Roman" w:eastAsia="Times New Roman" w:hAnsi="Times New Roman" w:cs="Times New Roman"/>
          <w:i/>
          <w:color w:val="000000"/>
          <w:sz w:val="24"/>
          <w:szCs w:val="24"/>
          <w:lang w:val="en-GB" w:eastAsia="en-GB"/>
        </w:rPr>
        <w:t xml:space="preserve"> върху </w:t>
      </w:r>
      <w:proofErr w:type="spellStart"/>
      <w:r w:rsidRPr="007A0407">
        <w:rPr>
          <w:rFonts w:ascii="Times New Roman" w:eastAsia="Times New Roman" w:hAnsi="Times New Roman" w:cs="Times New Roman"/>
          <w:i/>
          <w:color w:val="000000"/>
          <w:sz w:val="24"/>
          <w:szCs w:val="24"/>
          <w:lang w:val="en-GB" w:eastAsia="en-GB"/>
        </w:rPr>
        <w:t>дължимите</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суми</w:t>
      </w:r>
      <w:proofErr w:type="spellEnd"/>
      <w:r w:rsidRPr="007A0407">
        <w:rPr>
          <w:rFonts w:ascii="Times New Roman" w:eastAsia="Times New Roman" w:hAnsi="Times New Roman" w:cs="Times New Roman"/>
          <w:i/>
          <w:color w:val="000000"/>
          <w:sz w:val="24"/>
          <w:szCs w:val="24"/>
          <w:lang w:val="en-GB" w:eastAsia="en-GB"/>
        </w:rPr>
        <w:t xml:space="preserve"> за </w:t>
      </w:r>
      <w:proofErr w:type="spellStart"/>
      <w:r w:rsidRPr="007A0407">
        <w:rPr>
          <w:rFonts w:ascii="Times New Roman" w:eastAsia="Times New Roman" w:hAnsi="Times New Roman" w:cs="Times New Roman"/>
          <w:i/>
          <w:color w:val="000000"/>
          <w:sz w:val="24"/>
          <w:szCs w:val="24"/>
          <w:lang w:val="en-GB" w:eastAsia="en-GB"/>
        </w:rPr>
        <w:t>месечни</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отчисления</w:t>
      </w:r>
      <w:proofErr w:type="spellEnd"/>
      <w:r w:rsidRPr="007A0407">
        <w:rPr>
          <w:rFonts w:ascii="Times New Roman" w:eastAsia="Times New Roman" w:hAnsi="Times New Roman" w:cs="Times New Roman"/>
          <w:i/>
          <w:color w:val="000000"/>
          <w:sz w:val="24"/>
          <w:szCs w:val="24"/>
          <w:lang w:val="en-GB" w:eastAsia="en-GB"/>
        </w:rPr>
        <w:t xml:space="preserve"> по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60,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2, т. 1 и 2 и </w:t>
      </w:r>
      <w:proofErr w:type="spellStart"/>
      <w:r w:rsidRPr="007A0407">
        <w:rPr>
          <w:rFonts w:ascii="Times New Roman" w:eastAsia="Times New Roman" w:hAnsi="Times New Roman" w:cs="Times New Roman"/>
          <w:i/>
          <w:color w:val="000000"/>
          <w:sz w:val="24"/>
          <w:szCs w:val="24"/>
          <w:lang w:val="en-GB" w:eastAsia="en-GB"/>
        </w:rPr>
        <w:t>чл</w:t>
      </w:r>
      <w:proofErr w:type="spellEnd"/>
      <w:r w:rsidRPr="007A0407">
        <w:rPr>
          <w:rFonts w:ascii="Times New Roman" w:eastAsia="Times New Roman" w:hAnsi="Times New Roman" w:cs="Times New Roman"/>
          <w:i/>
          <w:color w:val="000000"/>
          <w:sz w:val="24"/>
          <w:szCs w:val="24"/>
          <w:lang w:val="en-GB" w:eastAsia="en-GB"/>
        </w:rPr>
        <w:t xml:space="preserve">. 64, </w:t>
      </w:r>
      <w:proofErr w:type="spellStart"/>
      <w:r w:rsidRPr="007A0407">
        <w:rPr>
          <w:rFonts w:ascii="Times New Roman" w:eastAsia="Times New Roman" w:hAnsi="Times New Roman" w:cs="Times New Roman"/>
          <w:i/>
          <w:color w:val="000000"/>
          <w:sz w:val="24"/>
          <w:szCs w:val="24"/>
          <w:lang w:val="en-GB" w:eastAsia="en-GB"/>
        </w:rPr>
        <w:t>ал</w:t>
      </w:r>
      <w:proofErr w:type="spellEnd"/>
      <w:r w:rsidRPr="007A0407">
        <w:rPr>
          <w:rFonts w:ascii="Times New Roman" w:eastAsia="Times New Roman" w:hAnsi="Times New Roman" w:cs="Times New Roman"/>
          <w:i/>
          <w:color w:val="000000"/>
          <w:sz w:val="24"/>
          <w:szCs w:val="24"/>
          <w:lang w:val="en-GB" w:eastAsia="en-GB"/>
        </w:rPr>
        <w:t xml:space="preserve">. 1 </w:t>
      </w:r>
      <w:proofErr w:type="spellStart"/>
      <w:r w:rsidRPr="007A0407">
        <w:rPr>
          <w:rFonts w:ascii="Times New Roman" w:eastAsia="Times New Roman" w:hAnsi="Times New Roman" w:cs="Times New Roman"/>
          <w:i/>
          <w:color w:val="000000"/>
          <w:sz w:val="24"/>
          <w:szCs w:val="24"/>
          <w:lang w:val="en-GB" w:eastAsia="en-GB"/>
        </w:rPr>
        <w:t>от</w:t>
      </w:r>
      <w:proofErr w:type="spellEnd"/>
      <w:r w:rsidRPr="007A0407">
        <w:rPr>
          <w:rFonts w:ascii="Times New Roman" w:eastAsia="Times New Roman" w:hAnsi="Times New Roman" w:cs="Times New Roman"/>
          <w:i/>
          <w:color w:val="000000"/>
          <w:sz w:val="24"/>
          <w:szCs w:val="24"/>
          <w:lang w:val="en-GB" w:eastAsia="en-GB"/>
        </w:rPr>
        <w:t xml:space="preserve"> </w:t>
      </w:r>
      <w:proofErr w:type="spellStart"/>
      <w:r w:rsidRPr="007A0407">
        <w:rPr>
          <w:rFonts w:ascii="Times New Roman" w:eastAsia="Times New Roman" w:hAnsi="Times New Roman" w:cs="Times New Roman"/>
          <w:i/>
          <w:color w:val="000000"/>
          <w:sz w:val="24"/>
          <w:szCs w:val="24"/>
          <w:lang w:val="en-GB" w:eastAsia="en-GB"/>
        </w:rPr>
        <w:t>Закона</w:t>
      </w:r>
      <w:proofErr w:type="spellEnd"/>
      <w:r w:rsidRPr="007A0407">
        <w:rPr>
          <w:rFonts w:ascii="Times New Roman" w:eastAsia="Times New Roman" w:hAnsi="Times New Roman" w:cs="Times New Roman"/>
          <w:i/>
          <w:color w:val="000000"/>
          <w:sz w:val="24"/>
          <w:szCs w:val="24"/>
          <w:lang w:val="en-GB" w:eastAsia="en-GB"/>
        </w:rPr>
        <w:t xml:space="preserve"> за управление на </w:t>
      </w:r>
      <w:proofErr w:type="spellStart"/>
      <w:r w:rsidRPr="007A0407">
        <w:rPr>
          <w:rFonts w:ascii="Times New Roman" w:eastAsia="Times New Roman" w:hAnsi="Times New Roman" w:cs="Times New Roman"/>
          <w:i/>
          <w:color w:val="000000"/>
          <w:sz w:val="24"/>
          <w:szCs w:val="24"/>
          <w:lang w:val="en-GB" w:eastAsia="en-GB"/>
        </w:rPr>
        <w:t>отпадъците</w:t>
      </w:r>
      <w:proofErr w:type="spellEnd"/>
      <w:r w:rsidRPr="007A0407">
        <w:rPr>
          <w:rFonts w:ascii="Times New Roman" w:eastAsia="Times New Roman" w:hAnsi="Times New Roman" w:cs="Times New Roman"/>
          <w:i/>
          <w:color w:val="000000"/>
          <w:sz w:val="24"/>
          <w:szCs w:val="24"/>
          <w:lang w:val="en-GB" w:eastAsia="en-GB"/>
        </w:rPr>
        <w:t>.</w:t>
      </w:r>
      <w:r w:rsidRPr="007A0407">
        <w:rPr>
          <w:rFonts w:ascii="Times New Roman" w:eastAsia="Times New Roman" w:hAnsi="Times New Roman" w:cs="Times New Roman"/>
          <w:i/>
          <w:color w:val="000000"/>
          <w:sz w:val="24"/>
          <w:szCs w:val="24"/>
          <w:lang w:eastAsia="en-GB"/>
        </w:rPr>
        <w:t xml:space="preserve">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481719" w:rsidRDefault="007A0407" w:rsidP="007A0407">
      <w:pPr>
        <w:spacing w:after="120" w:line="276" w:lineRule="auto"/>
        <w:jc w:val="both"/>
        <w:rPr>
          <w:rFonts w:ascii="Times New Roman" w:eastAsia="Calibri" w:hAnsi="Times New Roman" w:cs="Times New Roman"/>
          <w:bCs/>
          <w:color w:val="0070C0"/>
          <w:sz w:val="24"/>
          <w:szCs w:val="24"/>
          <w:lang w:bidi="my-MM"/>
        </w:rPr>
      </w:pPr>
      <w:r w:rsidRPr="00481719">
        <w:rPr>
          <w:rFonts w:ascii="Times New Roman" w:eastAsia="Calibri" w:hAnsi="Times New Roman" w:cs="Times New Roman"/>
          <w:bCs/>
          <w:sz w:val="24"/>
          <w:szCs w:val="24"/>
          <w:lang w:bidi="my-MM"/>
        </w:rPr>
        <w:t>На проведено  публично обсъждане на проекта на горецитираната Наредба, НСОРБ изрази свое становище, на база предварително проведено писмено проучване сред всички общини в страната. В тази връзка НСОРБ предложи конкретни предложения към Проекта на Наредбата.</w:t>
      </w:r>
      <w:r w:rsidRPr="00481719">
        <w:rPr>
          <w:rFonts w:ascii="Times New Roman" w:eastAsia="Calibri" w:hAnsi="Times New Roman" w:cs="Times New Roman"/>
          <w:bCs/>
          <w:color w:val="FF0000"/>
          <w:sz w:val="24"/>
          <w:szCs w:val="24"/>
          <w:lang w:bidi="my-MM"/>
        </w:rPr>
        <w:t xml:space="preserve"> </w:t>
      </w:r>
      <w:r w:rsidRPr="00481719">
        <w:rPr>
          <w:rFonts w:ascii="Times New Roman" w:eastAsia="Calibri" w:hAnsi="Times New Roman" w:cs="Times New Roman"/>
          <w:bCs/>
          <w:color w:val="0070C0"/>
          <w:sz w:val="24"/>
          <w:szCs w:val="24"/>
          <w:lang w:bidi="my-MM"/>
        </w:rPr>
        <w:t>Някои от тях са</w:t>
      </w:r>
      <w:r w:rsidR="00481719" w:rsidRPr="00481719">
        <w:rPr>
          <w:rFonts w:ascii="Times New Roman" w:eastAsia="Calibri" w:hAnsi="Times New Roman" w:cs="Times New Roman"/>
          <w:bCs/>
          <w:color w:val="0070C0"/>
          <w:sz w:val="24"/>
          <w:szCs w:val="24"/>
          <w:lang w:bidi="my-MM"/>
        </w:rPr>
        <w:t xml:space="preserve"> взети предвид при въвеждането на последните изменения и допълнения.</w:t>
      </w:r>
    </w:p>
    <w:p w:rsidR="00481719" w:rsidRPr="00481719" w:rsidRDefault="007A0407" w:rsidP="007A0407">
      <w:pPr>
        <w:numPr>
          <w:ilvl w:val="0"/>
          <w:numId w:val="37"/>
        </w:numPr>
        <w:spacing w:after="120" w:line="276" w:lineRule="auto"/>
        <w:contextualSpacing/>
        <w:jc w:val="both"/>
        <w:rPr>
          <w:rFonts w:ascii="Times New Roman" w:eastAsia="Calibri" w:hAnsi="Times New Roman" w:cs="Times New Roman"/>
          <w:bCs/>
          <w:color w:val="FF0000"/>
          <w:sz w:val="24"/>
          <w:szCs w:val="24"/>
          <w:lang w:bidi="my-MM"/>
        </w:rPr>
      </w:pPr>
      <w:r w:rsidRPr="00481719">
        <w:rPr>
          <w:rFonts w:ascii="Times New Roman" w:eastAsia="Calibri" w:hAnsi="Times New Roman" w:cs="Times New Roman"/>
          <w:bCs/>
          <w:color w:val="000000"/>
          <w:sz w:val="24"/>
          <w:szCs w:val="24"/>
          <w:lang w:bidi="my-MM"/>
        </w:rPr>
        <w:t xml:space="preserve">да се запази съществуващата към момента възможност, кметът на общината, собственик на депото или кметът на община, ползвател на депото, да подава заявление до директора на РИОСВ, за изразходване на събраните финансови средства  </w:t>
      </w:r>
      <w:r w:rsidRPr="00481719">
        <w:rPr>
          <w:rFonts w:ascii="Times New Roman" w:eastAsia="Calibri" w:hAnsi="Times New Roman" w:cs="Times New Roman"/>
          <w:bCs/>
          <w:color w:val="0070C0"/>
          <w:sz w:val="24"/>
          <w:szCs w:val="24"/>
          <w:lang w:bidi="my-MM"/>
        </w:rPr>
        <w:t xml:space="preserve">- </w:t>
      </w:r>
      <w:r w:rsidR="00481719" w:rsidRPr="00481719">
        <w:rPr>
          <w:rFonts w:ascii="Times New Roman" w:eastAsia="Calibri" w:hAnsi="Times New Roman" w:cs="Times New Roman"/>
          <w:bCs/>
          <w:color w:val="0070C0"/>
          <w:sz w:val="24"/>
          <w:szCs w:val="24"/>
          <w:lang w:bidi="my-MM"/>
        </w:rPr>
        <w:t>в</w:t>
      </w:r>
      <w:r w:rsidR="00481719">
        <w:rPr>
          <w:rFonts w:ascii="Times New Roman" w:eastAsia="Calibri" w:hAnsi="Times New Roman" w:cs="Times New Roman"/>
          <w:bCs/>
          <w:color w:val="0070C0"/>
          <w:sz w:val="24"/>
          <w:szCs w:val="24"/>
          <w:lang w:bidi="my-MM"/>
        </w:rPr>
        <w:t>зето е предвид и в допълнената наредба се запазва.</w:t>
      </w:r>
    </w:p>
    <w:p w:rsidR="007A0407" w:rsidRPr="00D85751" w:rsidRDefault="00481719" w:rsidP="00D85751">
      <w:pPr>
        <w:numPr>
          <w:ilvl w:val="0"/>
          <w:numId w:val="37"/>
        </w:numPr>
        <w:spacing w:after="120" w:line="276" w:lineRule="auto"/>
        <w:contextualSpacing/>
        <w:jc w:val="both"/>
        <w:rPr>
          <w:rFonts w:ascii="Times New Roman" w:eastAsia="Calibri" w:hAnsi="Times New Roman" w:cs="Times New Roman"/>
          <w:bCs/>
          <w:sz w:val="24"/>
          <w:szCs w:val="24"/>
          <w:lang w:bidi="my-MM"/>
        </w:rPr>
      </w:pPr>
      <w:r w:rsidRPr="00D85751">
        <w:rPr>
          <w:rFonts w:ascii="Times New Roman" w:eastAsia="Calibri" w:hAnsi="Times New Roman" w:cs="Times New Roman"/>
          <w:bCs/>
          <w:sz w:val="24"/>
          <w:szCs w:val="24"/>
          <w:lang w:bidi="my-MM"/>
        </w:rPr>
        <w:t xml:space="preserve"> </w:t>
      </w:r>
      <w:r w:rsidR="007A0407" w:rsidRPr="00D85751">
        <w:rPr>
          <w:rFonts w:ascii="Times New Roman" w:eastAsia="Calibri" w:hAnsi="Times New Roman" w:cs="Times New Roman"/>
          <w:bCs/>
          <w:sz w:val="24"/>
          <w:szCs w:val="24"/>
          <w:lang w:bidi="my-MM"/>
        </w:rPr>
        <w:t xml:space="preserve">да не се удължават сроковете в процедурата за освобождаване на събраните отчисления от 10 на 14 дни </w:t>
      </w:r>
      <w:r w:rsidR="009C36A7" w:rsidRPr="00D85751">
        <w:rPr>
          <w:rFonts w:ascii="Times New Roman" w:eastAsia="Calibri" w:hAnsi="Times New Roman" w:cs="Times New Roman"/>
          <w:bCs/>
          <w:sz w:val="24"/>
          <w:szCs w:val="24"/>
          <w:lang w:bidi="my-MM"/>
        </w:rPr>
        <w:t>–</w:t>
      </w:r>
      <w:r w:rsidR="009C36A7" w:rsidRPr="00D85751">
        <w:rPr>
          <w:rFonts w:ascii="Times New Roman" w:hAnsi="Times New Roman" w:cs="Times New Roman"/>
          <w:sz w:val="24"/>
          <w:szCs w:val="24"/>
        </w:rPr>
        <w:t xml:space="preserve"> съгл. Чл.27, ал.14</w:t>
      </w:r>
      <w:r w:rsidR="009C36A7" w:rsidRPr="00D85751">
        <w:t xml:space="preserve"> - </w:t>
      </w:r>
      <w:r w:rsidR="009C36A7" w:rsidRPr="00D85751">
        <w:rPr>
          <w:rFonts w:ascii="Times New Roman" w:eastAsia="Calibri" w:hAnsi="Times New Roman" w:cs="Times New Roman"/>
          <w:bCs/>
          <w:sz w:val="24"/>
          <w:szCs w:val="24"/>
          <w:lang w:bidi="my-MM"/>
        </w:rPr>
        <w:t>В едномесечен срок от датата на подаване на заявлението директорът на РИОСВ възстановява средствата в банкова сметка, подадена от общината. Възстановените средства се разходват за дейности съгласно чл. 66 от Закона за местните данъци и такси.</w:t>
      </w:r>
      <w:r w:rsidR="007A0407" w:rsidRPr="00D85751">
        <w:rPr>
          <w:rFonts w:ascii="Times New Roman" w:eastAsia="Calibri" w:hAnsi="Times New Roman" w:cs="Times New Roman"/>
          <w:bCs/>
          <w:sz w:val="24"/>
          <w:szCs w:val="24"/>
          <w:lang w:bidi="my-MM"/>
        </w:rPr>
        <w:t xml:space="preserve">  (чл.27 ал.16)</w:t>
      </w:r>
    </w:p>
    <w:p w:rsidR="007A0407" w:rsidRPr="00D85751" w:rsidRDefault="007A0407" w:rsidP="00D85751">
      <w:pPr>
        <w:numPr>
          <w:ilvl w:val="0"/>
          <w:numId w:val="37"/>
        </w:numPr>
        <w:shd w:val="clear" w:color="auto" w:fill="FEFEFE"/>
        <w:spacing w:after="0" w:line="276" w:lineRule="auto"/>
        <w:contextualSpacing/>
        <w:jc w:val="both"/>
        <w:rPr>
          <w:rFonts w:ascii="Times New Roman" w:eastAsia="Times New Roman" w:hAnsi="Times New Roman" w:cs="Times New Roman"/>
          <w:sz w:val="24"/>
          <w:szCs w:val="24"/>
          <w:lang w:eastAsia="bg-BG"/>
        </w:rPr>
      </w:pPr>
      <w:r w:rsidRPr="00D85751">
        <w:rPr>
          <w:rFonts w:ascii="Times New Roman" w:eastAsia="Calibri" w:hAnsi="Times New Roman" w:cs="Times New Roman"/>
          <w:bCs/>
          <w:sz w:val="24"/>
          <w:szCs w:val="24"/>
          <w:lang w:bidi="my-MM"/>
        </w:rPr>
        <w:t>разпоредбата към чл.28а, ал. 2</w:t>
      </w:r>
      <w:r w:rsidRPr="00D85751">
        <w:rPr>
          <w:rFonts w:ascii="Times New Roman" w:eastAsia="Calibri" w:hAnsi="Times New Roman" w:cs="Times New Roman"/>
          <w:b/>
          <w:bCs/>
          <w:sz w:val="24"/>
          <w:szCs w:val="24"/>
          <w:lang w:bidi="my-MM"/>
        </w:rPr>
        <w:t xml:space="preserve"> </w:t>
      </w:r>
      <w:r w:rsidRPr="00D85751">
        <w:rPr>
          <w:rFonts w:ascii="Times New Roman" w:eastAsia="Calibri" w:hAnsi="Times New Roman" w:cs="Times New Roman"/>
          <w:bCs/>
          <w:sz w:val="24"/>
          <w:szCs w:val="24"/>
          <w:lang w:bidi="my-MM"/>
        </w:rPr>
        <w:t xml:space="preserve">е необходимо да се допълнят с конкретни изисквания към съдържанието и обема на публикуваната информация, както и източници и субекти, от които тя е получена. Информацията да бъде прозрачна и </w:t>
      </w:r>
      <w:proofErr w:type="spellStart"/>
      <w:r w:rsidRPr="00D85751">
        <w:rPr>
          <w:rFonts w:ascii="Times New Roman" w:eastAsia="Calibri" w:hAnsi="Times New Roman" w:cs="Times New Roman"/>
          <w:bCs/>
          <w:sz w:val="24"/>
          <w:szCs w:val="24"/>
          <w:lang w:bidi="my-MM"/>
        </w:rPr>
        <w:t>проследима</w:t>
      </w:r>
      <w:proofErr w:type="spellEnd"/>
      <w:r w:rsidRPr="00D85751">
        <w:rPr>
          <w:rFonts w:ascii="Times New Roman" w:eastAsia="Calibri" w:hAnsi="Times New Roman" w:cs="Times New Roman"/>
          <w:bCs/>
          <w:sz w:val="24"/>
          <w:szCs w:val="24"/>
          <w:lang w:bidi="my-MM"/>
        </w:rPr>
        <w:t xml:space="preserve"> от общините, като обхваща - какви са използваните данни, отпадъци по кодове, от кого е подадена информацията, как е верифицирана, как кореспондират тези данни с докладваните количества и методиката за изчисляване на целите и др.   - </w:t>
      </w:r>
      <w:r w:rsidRPr="00D85751">
        <w:rPr>
          <w:rFonts w:ascii="Times New Roman" w:eastAsia="Times New Roman" w:hAnsi="Times New Roman" w:cs="Times New Roman"/>
          <w:sz w:val="24"/>
          <w:szCs w:val="24"/>
          <w:lang w:eastAsia="bg-BG"/>
        </w:rPr>
        <w:t>(2) Морфологичният анализ по ал. 1 се актуализира на всеки 5 години.</w:t>
      </w:r>
    </w:p>
    <w:p w:rsidR="007A0407" w:rsidRPr="00647AF2" w:rsidRDefault="007A0407" w:rsidP="007A0407">
      <w:pPr>
        <w:numPr>
          <w:ilvl w:val="0"/>
          <w:numId w:val="37"/>
        </w:numPr>
        <w:spacing w:after="120" w:line="276" w:lineRule="auto"/>
        <w:contextualSpacing/>
        <w:jc w:val="both"/>
        <w:rPr>
          <w:rFonts w:ascii="Times New Roman" w:eastAsia="Calibri" w:hAnsi="Times New Roman" w:cs="Times New Roman"/>
          <w:bCs/>
          <w:color w:val="0070C0"/>
          <w:sz w:val="24"/>
          <w:szCs w:val="24"/>
          <w:lang w:bidi="my-MM"/>
        </w:rPr>
      </w:pPr>
      <w:r w:rsidRPr="0020088D">
        <w:rPr>
          <w:rFonts w:ascii="Times New Roman" w:eastAsia="Calibri" w:hAnsi="Times New Roman" w:cs="Times New Roman"/>
          <w:bCs/>
          <w:sz w:val="24"/>
          <w:szCs w:val="24"/>
          <w:lang w:bidi="my-MM"/>
        </w:rPr>
        <w:t xml:space="preserve">да бъдат прецизирани сроковете за публикуване на информация за количествата отпадъци и за издаване на съответните Заповеди за изпълнение/неизпълнение на целите по чл. 31, ал. 1 от ЗУО </w:t>
      </w:r>
      <w:r w:rsidRPr="00647AF2">
        <w:rPr>
          <w:rFonts w:ascii="Times New Roman" w:eastAsia="Calibri" w:hAnsi="Times New Roman" w:cs="Times New Roman"/>
          <w:bCs/>
          <w:color w:val="0070C0"/>
          <w:sz w:val="24"/>
          <w:szCs w:val="24"/>
          <w:lang w:bidi="my-MM"/>
        </w:rPr>
        <w:t xml:space="preserve">- </w:t>
      </w:r>
      <w:r w:rsidR="00647AF2" w:rsidRPr="00647AF2">
        <w:rPr>
          <w:rFonts w:ascii="Times New Roman" w:eastAsia="Calibri" w:hAnsi="Times New Roman" w:cs="Times New Roman"/>
          <w:bCs/>
          <w:color w:val="0070C0"/>
          <w:sz w:val="24"/>
          <w:szCs w:val="24"/>
          <w:lang w:bidi="my-MM"/>
        </w:rPr>
        <w:t xml:space="preserve"> С изменението и допълнението на наредбата се актуализира чл.28б, ал.</w:t>
      </w:r>
      <w:r w:rsidRPr="00647AF2">
        <w:rPr>
          <w:rFonts w:ascii="Times New Roman" w:eastAsia="Calibri" w:hAnsi="Times New Roman" w:cs="Times New Roman"/>
          <w:color w:val="0070C0"/>
          <w:sz w:val="24"/>
          <w:szCs w:val="24"/>
          <w:shd w:val="clear" w:color="auto" w:fill="FEFEFE"/>
        </w:rPr>
        <w:t>1</w:t>
      </w:r>
      <w:r w:rsidR="00647AF2">
        <w:rPr>
          <w:rFonts w:ascii="Times New Roman" w:eastAsia="Calibri" w:hAnsi="Times New Roman" w:cs="Times New Roman"/>
          <w:color w:val="0070C0"/>
          <w:sz w:val="24"/>
          <w:szCs w:val="24"/>
          <w:shd w:val="clear" w:color="auto" w:fill="FEFEFE"/>
        </w:rPr>
        <w:t xml:space="preserve"> - </w:t>
      </w:r>
      <w:r w:rsidRPr="00647AF2">
        <w:rPr>
          <w:rFonts w:ascii="Times New Roman" w:eastAsia="Calibri" w:hAnsi="Times New Roman" w:cs="Times New Roman"/>
          <w:color w:val="0070C0"/>
          <w:sz w:val="24"/>
          <w:szCs w:val="24"/>
          <w:shd w:val="clear" w:color="auto" w:fill="FEFEFE"/>
        </w:rPr>
        <w:t>Ежегодно в срок до 30 септември изпълнителният директор на Изпълнителната агенция по околна среда (ИАОС) обобщава и публикува информация за предходната календарна година по общини и региони за изпълнение на целите по чл. 31, ал. 1 ЗУО.</w:t>
      </w:r>
    </w:p>
    <w:p w:rsidR="0020088D" w:rsidRDefault="007A0407" w:rsidP="0020088D">
      <w:pPr>
        <w:numPr>
          <w:ilvl w:val="0"/>
          <w:numId w:val="37"/>
        </w:numPr>
        <w:spacing w:after="0" w:line="276" w:lineRule="auto"/>
        <w:contextualSpacing/>
        <w:jc w:val="both"/>
        <w:rPr>
          <w:rFonts w:ascii="Times New Roman" w:eastAsia="Calibri" w:hAnsi="Times New Roman" w:cs="Times New Roman"/>
          <w:bCs/>
          <w:color w:val="0070C0"/>
          <w:sz w:val="24"/>
          <w:szCs w:val="24"/>
          <w:lang w:bidi="my-MM"/>
        </w:rPr>
      </w:pPr>
      <w:r w:rsidRPr="0020088D">
        <w:rPr>
          <w:rFonts w:ascii="Times New Roman" w:eastAsia="Calibri" w:hAnsi="Times New Roman" w:cs="Times New Roman"/>
          <w:bCs/>
          <w:sz w:val="24"/>
          <w:szCs w:val="24"/>
          <w:lang w:bidi="my-MM"/>
        </w:rPr>
        <w:t>по отношение на чл. 28б, ал. 1 от Наредбата, следва да се разпише методиката/процедурата за начините и сроковете как директора на ИАОС ще разпред</w:t>
      </w:r>
      <w:r w:rsidR="0020088D" w:rsidRPr="0020088D">
        <w:rPr>
          <w:rFonts w:ascii="Times New Roman" w:eastAsia="Calibri" w:hAnsi="Times New Roman" w:cs="Times New Roman"/>
          <w:bCs/>
          <w:sz w:val="24"/>
          <w:szCs w:val="24"/>
          <w:lang w:bidi="my-MM"/>
        </w:rPr>
        <w:t>ел</w:t>
      </w:r>
      <w:r w:rsidRPr="0020088D">
        <w:rPr>
          <w:rFonts w:ascii="Times New Roman" w:eastAsia="Calibri" w:hAnsi="Times New Roman" w:cs="Times New Roman"/>
          <w:bCs/>
          <w:sz w:val="24"/>
          <w:szCs w:val="24"/>
          <w:lang w:bidi="my-MM"/>
        </w:rPr>
        <w:t>и целите между регионите по чл. 49, ал. 9 от ЗУО и как ще определи целите между общините в самите региони</w:t>
      </w:r>
      <w:r w:rsidRPr="0020088D">
        <w:rPr>
          <w:rFonts w:ascii="Times New Roman" w:eastAsia="Calibri" w:hAnsi="Times New Roman" w:cs="Times New Roman"/>
          <w:bCs/>
          <w:color w:val="0070C0"/>
          <w:sz w:val="24"/>
          <w:szCs w:val="24"/>
          <w:lang w:bidi="my-MM"/>
        </w:rPr>
        <w:t xml:space="preserve">.  – </w:t>
      </w:r>
      <w:r w:rsidR="00D85751">
        <w:rPr>
          <w:rFonts w:ascii="Times New Roman" w:eastAsia="Calibri" w:hAnsi="Times New Roman" w:cs="Times New Roman"/>
          <w:bCs/>
          <w:color w:val="0070C0"/>
          <w:sz w:val="24"/>
          <w:szCs w:val="24"/>
          <w:lang w:bidi="my-MM"/>
        </w:rPr>
        <w:t xml:space="preserve"> взима се частично предвид</w:t>
      </w:r>
      <w:r w:rsidR="0020088D" w:rsidRPr="0020088D">
        <w:rPr>
          <w:rFonts w:ascii="Times New Roman" w:eastAsia="Calibri" w:hAnsi="Times New Roman" w:cs="Times New Roman"/>
          <w:bCs/>
          <w:color w:val="0070C0"/>
          <w:sz w:val="24"/>
          <w:szCs w:val="24"/>
          <w:lang w:bidi="my-MM"/>
        </w:rPr>
        <w:t xml:space="preserve"> и се въвежда с изменението на  </w:t>
      </w:r>
      <w:r w:rsidRPr="0020088D">
        <w:rPr>
          <w:rFonts w:ascii="Times New Roman" w:eastAsia="Calibri" w:hAnsi="Times New Roman" w:cs="Times New Roman"/>
          <w:bCs/>
          <w:color w:val="0070C0"/>
          <w:sz w:val="24"/>
          <w:szCs w:val="24"/>
          <w:lang w:bidi="my-MM"/>
        </w:rPr>
        <w:t>Чл.28в – (</w:t>
      </w:r>
      <w:r w:rsidRPr="0020088D">
        <w:rPr>
          <w:rFonts w:ascii="Times New Roman" w:eastAsia="Calibri" w:hAnsi="Times New Roman" w:cs="Times New Roman"/>
          <w:color w:val="0070C0"/>
          <w:sz w:val="24"/>
          <w:szCs w:val="24"/>
          <w:shd w:val="clear" w:color="auto" w:fill="FEFEFE"/>
        </w:rPr>
        <w:t xml:space="preserve">Нов - ДВ, бр. </w:t>
      </w:r>
      <w:r w:rsidR="0020088D" w:rsidRPr="0020088D">
        <w:rPr>
          <w:rFonts w:ascii="Times New Roman" w:eastAsia="Calibri" w:hAnsi="Times New Roman" w:cs="Times New Roman"/>
          <w:color w:val="0070C0"/>
          <w:sz w:val="24"/>
          <w:szCs w:val="24"/>
          <w:shd w:val="clear" w:color="auto" w:fill="FEFEFE"/>
        </w:rPr>
        <w:t xml:space="preserve">77 от 2021 г.) (1), който гласи, че : </w:t>
      </w:r>
      <w:r w:rsidRPr="0020088D">
        <w:rPr>
          <w:rFonts w:ascii="Times New Roman" w:eastAsia="Calibri" w:hAnsi="Times New Roman" w:cs="Times New Roman"/>
          <w:color w:val="0070C0"/>
          <w:sz w:val="24"/>
          <w:szCs w:val="24"/>
          <w:shd w:val="clear" w:color="auto" w:fill="FEFEFE"/>
        </w:rPr>
        <w:t>Целите по чл. 31, ал. 1 ЗУО се разпределят между регионите по чл. 49, ал. 9 от ЗУО на базата на морфологичния състав на отпадъците, генерирани на територията на общините във всеки от регионите, и решението по чл. 26, ал. 1, т. 6 от ЗУО, ако такова е прието</w:t>
      </w:r>
      <w:r w:rsidR="0020088D" w:rsidRPr="0020088D">
        <w:rPr>
          <w:rFonts w:ascii="Times New Roman" w:eastAsia="Calibri" w:hAnsi="Times New Roman" w:cs="Times New Roman"/>
          <w:color w:val="0070C0"/>
          <w:sz w:val="24"/>
          <w:szCs w:val="24"/>
          <w:shd w:val="clear" w:color="auto" w:fill="FEFEFE"/>
        </w:rPr>
        <w:t>.</w:t>
      </w:r>
    </w:p>
    <w:p w:rsidR="007A0407" w:rsidRPr="0020088D" w:rsidRDefault="007A0407" w:rsidP="0020088D">
      <w:pPr>
        <w:numPr>
          <w:ilvl w:val="0"/>
          <w:numId w:val="37"/>
        </w:numPr>
        <w:spacing w:after="0" w:line="276" w:lineRule="auto"/>
        <w:contextualSpacing/>
        <w:jc w:val="both"/>
        <w:rPr>
          <w:rFonts w:ascii="Times New Roman" w:eastAsia="Calibri" w:hAnsi="Times New Roman" w:cs="Times New Roman"/>
          <w:bCs/>
          <w:color w:val="0070C0"/>
          <w:sz w:val="24"/>
          <w:szCs w:val="24"/>
          <w:lang w:bidi="my-MM"/>
        </w:rPr>
      </w:pPr>
      <w:r w:rsidRPr="0020088D">
        <w:rPr>
          <w:rFonts w:ascii="Times New Roman" w:eastAsia="Calibri" w:hAnsi="Times New Roman" w:cs="Times New Roman"/>
          <w:bCs/>
          <w:color w:val="000000"/>
          <w:sz w:val="24"/>
          <w:szCs w:val="24"/>
          <w:lang w:bidi="my-MM"/>
        </w:rPr>
        <w:t>по отношение на чл. 28б, ал. 2 – да се допълни, че в периода на оповестяване на Заповедта/</w:t>
      </w:r>
      <w:proofErr w:type="spellStart"/>
      <w:r w:rsidRPr="0020088D">
        <w:rPr>
          <w:rFonts w:ascii="Times New Roman" w:eastAsia="Calibri" w:hAnsi="Times New Roman" w:cs="Times New Roman"/>
          <w:bCs/>
          <w:color w:val="000000"/>
          <w:sz w:val="24"/>
          <w:szCs w:val="24"/>
          <w:lang w:bidi="my-MM"/>
        </w:rPr>
        <w:t>дите</w:t>
      </w:r>
      <w:proofErr w:type="spellEnd"/>
      <w:r w:rsidRPr="0020088D">
        <w:rPr>
          <w:rFonts w:ascii="Times New Roman" w:eastAsia="Calibri" w:hAnsi="Times New Roman" w:cs="Times New Roman"/>
          <w:bCs/>
          <w:color w:val="000000"/>
          <w:sz w:val="24"/>
          <w:szCs w:val="24"/>
          <w:lang w:bidi="my-MM"/>
        </w:rPr>
        <w:t xml:space="preserve"> на ИАОС общините ще могат да правят мотивирани предложения за изменение.  </w:t>
      </w:r>
      <w:r w:rsidR="0020088D" w:rsidRPr="0020088D">
        <w:rPr>
          <w:rFonts w:ascii="Times New Roman" w:eastAsia="Calibri" w:hAnsi="Times New Roman" w:cs="Times New Roman"/>
          <w:bCs/>
          <w:color w:val="000000"/>
          <w:sz w:val="24"/>
          <w:szCs w:val="24"/>
          <w:lang w:bidi="my-MM"/>
        </w:rPr>
        <w:t>–</w:t>
      </w:r>
      <w:r w:rsidRPr="0020088D">
        <w:rPr>
          <w:rFonts w:ascii="Times New Roman" w:eastAsia="Calibri" w:hAnsi="Times New Roman" w:cs="Times New Roman"/>
          <w:bCs/>
          <w:color w:val="000000"/>
          <w:sz w:val="24"/>
          <w:szCs w:val="24"/>
          <w:lang w:bidi="my-MM"/>
        </w:rPr>
        <w:t xml:space="preserve"> </w:t>
      </w:r>
      <w:r w:rsidR="0020088D" w:rsidRPr="0020088D">
        <w:rPr>
          <w:rFonts w:ascii="Times New Roman" w:eastAsia="Calibri" w:hAnsi="Times New Roman" w:cs="Times New Roman"/>
          <w:bCs/>
          <w:color w:val="0070C0"/>
          <w:sz w:val="24"/>
          <w:szCs w:val="24"/>
          <w:lang w:bidi="my-MM"/>
        </w:rPr>
        <w:t>предложението е взето предвид, като  съгласно действащата наредба в</w:t>
      </w:r>
      <w:r w:rsidRPr="0020088D">
        <w:rPr>
          <w:rFonts w:ascii="Times New Roman" w:eastAsia="Calibri" w:hAnsi="Times New Roman" w:cs="Times New Roman"/>
          <w:color w:val="0070C0"/>
          <w:sz w:val="24"/>
          <w:szCs w:val="24"/>
          <w:shd w:val="clear" w:color="auto" w:fill="FEFEFE"/>
        </w:rPr>
        <w:t xml:space="preserve"> 30-дневен срок от публикуването на информацията по ал. 1 общините могат да изразят становище и да направят предложения за изменение и/или допълнение на информацията.</w:t>
      </w:r>
    </w:p>
    <w:p w:rsidR="007A0407" w:rsidRPr="00D85751" w:rsidRDefault="007A0407" w:rsidP="00393C68">
      <w:pPr>
        <w:numPr>
          <w:ilvl w:val="0"/>
          <w:numId w:val="37"/>
        </w:numPr>
        <w:tabs>
          <w:tab w:val="center" w:pos="4703"/>
          <w:tab w:val="right" w:pos="9406"/>
        </w:tabs>
        <w:spacing w:after="0" w:line="276" w:lineRule="auto"/>
        <w:jc w:val="both"/>
        <w:rPr>
          <w:rFonts w:ascii="Times New Roman" w:eastAsia="Calibri" w:hAnsi="Times New Roman" w:cs="Times New Roman"/>
          <w:color w:val="000000"/>
          <w:sz w:val="24"/>
          <w:szCs w:val="24"/>
        </w:rPr>
      </w:pPr>
      <w:r w:rsidRPr="00D85751">
        <w:rPr>
          <w:rFonts w:ascii="Times New Roman" w:eastAsia="Calibri" w:hAnsi="Times New Roman" w:cs="Times New Roman"/>
          <w:bCs/>
          <w:color w:val="000000"/>
          <w:sz w:val="24"/>
          <w:szCs w:val="24"/>
          <w:lang w:bidi="my-MM"/>
        </w:rPr>
        <w:t>да се изработи национална методика, която да е напълно синхронизирана с</w:t>
      </w:r>
      <w:r w:rsidRPr="00D85751">
        <w:rPr>
          <w:rFonts w:ascii="Times New Roman" w:eastAsia="Calibri" w:hAnsi="Times New Roman" w:cs="Times New Roman"/>
          <w:b/>
          <w:bCs/>
          <w:color w:val="000000"/>
          <w:sz w:val="24"/>
          <w:szCs w:val="24"/>
          <w:lang w:bidi="my-MM"/>
        </w:rPr>
        <w:t xml:space="preserve"> </w:t>
      </w:r>
      <w:r w:rsidRPr="00D85751">
        <w:rPr>
          <w:rFonts w:ascii="Times New Roman" w:eastAsia="Calibri" w:hAnsi="Times New Roman" w:cs="Times New Roman"/>
          <w:bCs/>
          <w:color w:val="000000"/>
          <w:sz w:val="24"/>
          <w:szCs w:val="24"/>
          <w:lang w:bidi="my-MM"/>
        </w:rPr>
        <w:t>горецитираното Решение за изпълнение (ЕС) 2019/1004 на</w:t>
      </w:r>
      <w:r w:rsidR="000C76FB" w:rsidRPr="00D85751">
        <w:rPr>
          <w:rFonts w:ascii="Times New Roman" w:eastAsia="Calibri" w:hAnsi="Times New Roman" w:cs="Times New Roman"/>
          <w:bCs/>
          <w:color w:val="000000"/>
          <w:sz w:val="24"/>
          <w:szCs w:val="24"/>
          <w:lang w:bidi="my-MM"/>
        </w:rPr>
        <w:t xml:space="preserve"> к</w:t>
      </w:r>
      <w:r w:rsidR="00D85751">
        <w:rPr>
          <w:rFonts w:ascii="Times New Roman" w:eastAsia="Calibri" w:hAnsi="Times New Roman" w:cs="Times New Roman"/>
          <w:bCs/>
          <w:color w:val="000000"/>
          <w:sz w:val="24"/>
          <w:szCs w:val="24"/>
          <w:lang w:bidi="my-MM"/>
        </w:rPr>
        <w:t xml:space="preserve">омисията от 7 юни 2019 година </w:t>
      </w:r>
    </w:p>
    <w:p w:rsidR="00D85751" w:rsidRDefault="00D85751" w:rsidP="00D85751">
      <w:pPr>
        <w:tabs>
          <w:tab w:val="center" w:pos="4703"/>
          <w:tab w:val="right" w:pos="9406"/>
        </w:tabs>
        <w:spacing w:after="0" w:line="276" w:lineRule="auto"/>
        <w:ind w:left="720"/>
        <w:jc w:val="both"/>
        <w:rPr>
          <w:rFonts w:ascii="Times New Roman" w:eastAsia="Calibri" w:hAnsi="Times New Roman" w:cs="Times New Roman"/>
          <w:bCs/>
          <w:color w:val="000000"/>
          <w:sz w:val="24"/>
          <w:szCs w:val="24"/>
          <w:lang w:bidi="my-MM"/>
        </w:rPr>
      </w:pPr>
    </w:p>
    <w:p w:rsidR="00D85751" w:rsidRDefault="00D85751" w:rsidP="00D85751">
      <w:pPr>
        <w:tabs>
          <w:tab w:val="center" w:pos="4703"/>
          <w:tab w:val="right" w:pos="9406"/>
        </w:tabs>
        <w:spacing w:after="0" w:line="276" w:lineRule="auto"/>
        <w:ind w:left="720"/>
        <w:jc w:val="both"/>
        <w:rPr>
          <w:rFonts w:ascii="Times New Roman" w:eastAsia="Calibri" w:hAnsi="Times New Roman" w:cs="Times New Roman"/>
          <w:bCs/>
          <w:color w:val="000000"/>
          <w:sz w:val="24"/>
          <w:szCs w:val="24"/>
          <w:lang w:bidi="my-MM"/>
        </w:rPr>
      </w:pPr>
    </w:p>
    <w:p w:rsidR="00D85751" w:rsidRPr="00D85751" w:rsidRDefault="00D85751" w:rsidP="00D85751">
      <w:pPr>
        <w:tabs>
          <w:tab w:val="center" w:pos="4703"/>
          <w:tab w:val="right" w:pos="9406"/>
        </w:tabs>
        <w:spacing w:after="0" w:line="276" w:lineRule="auto"/>
        <w:ind w:left="720"/>
        <w:jc w:val="both"/>
        <w:rPr>
          <w:rFonts w:ascii="Times New Roman" w:eastAsia="Calibri" w:hAnsi="Times New Roman" w:cs="Times New Roman"/>
          <w:color w:val="000000"/>
          <w:sz w:val="24"/>
          <w:szCs w:val="24"/>
        </w:rPr>
      </w:pPr>
    </w:p>
    <w:p w:rsidR="007A0407" w:rsidRPr="007A0407" w:rsidRDefault="007A0407" w:rsidP="007A0407">
      <w:pPr>
        <w:numPr>
          <w:ilvl w:val="0"/>
          <w:numId w:val="34"/>
        </w:numPr>
        <w:tabs>
          <w:tab w:val="left" w:pos="426"/>
        </w:tabs>
        <w:spacing w:after="0" w:line="276" w:lineRule="auto"/>
        <w:contextualSpacing/>
        <w:jc w:val="both"/>
        <w:rPr>
          <w:rFonts w:ascii="Times New Roman" w:eastAsia="Calibri" w:hAnsi="Times New Roman" w:cs="Times New Roman"/>
          <w:i/>
          <w:color w:val="000000"/>
          <w:sz w:val="24"/>
          <w:szCs w:val="24"/>
          <w:lang w:eastAsia="bg-BG"/>
        </w:rPr>
      </w:pPr>
      <w:r w:rsidRPr="007A0407">
        <w:rPr>
          <w:rFonts w:ascii="Times New Roman" w:eastAsia="Calibri" w:hAnsi="Times New Roman" w:cs="Times New Roman"/>
          <w:b/>
          <w:i/>
          <w:color w:val="000000"/>
          <w:sz w:val="24"/>
          <w:szCs w:val="24"/>
          <w:lang w:eastAsia="bg-BG"/>
        </w:rPr>
        <w:t>Наредба за излезли от употреба моторни превозни средства</w:t>
      </w:r>
      <w:r w:rsidRPr="007A0407">
        <w:rPr>
          <w:rFonts w:ascii="Times New Roman" w:eastAsia="Calibri" w:hAnsi="Times New Roman" w:cs="Times New Roman"/>
          <w:i/>
          <w:color w:val="000000"/>
          <w:sz w:val="24"/>
          <w:szCs w:val="24"/>
          <w:lang w:eastAsia="bg-BG"/>
        </w:rPr>
        <w:t xml:space="preserve"> (Приета с ПМС №11 от 15.01.2013 г., посл. изм. и доп. ДВ. бр. 2 от 8.01.2021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Изменението на Наредбата за излезлите от употреба моторни превозни средства (НИУМПС) произтича изцяло от изискването за въвеждане в българското законодателство на: </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(ЕС)2020/362 на Комисията от 17 декември 2019 година за изменение на приложение II към Директива 2000/53/ЕО на Европейския парламент и на Съвета относно излезлите от употреба превозни средства по отношение на освобождаването на употребата на шест</w:t>
      </w:r>
      <w:r w:rsidR="00D85751">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rPr>
        <w:t xml:space="preserve">валентен хром като антикорозионен агент за охладителната система от въглеродна стомана на абсорбционни хладилници в самоходни каравани (ОВ, L 67/116 от 05.03.2020 г.)., както и на </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(ЕС)2020/363 на Комисията от 17 декември 2019 година за изменение на приложение II към Директива 2000/53/ЕО на Европейския парламент и на Съвета относно излезлите от употреба превозни средства по отношение на някои освобождавания за олово и оловни съединения в компоненти (ОВ, L 67/119 от 05.03.2020 г.).</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Постановление № 420 на Министерски съвет от 31.12.2020 г. бяха приети изменения на Наредбата за излезлите от употреба моторни превозни средства (“НИУМПС”), първоначално приета с ПМС № 11 от 15.01.2013 г., обнародвани в Държавен вестник, бр. 2 от 08.01.2021 г. С направените изменения в § 1, т. 1 от Допълнителните разпоредби към НИУМПС е въведена нова дефиниция на понятието “излязло от употреба моторно превозно средство”.</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направените изменения са въведени следните подобрения в нормативните дефиниции:</w:t>
      </w:r>
    </w:p>
    <w:p w:rsidR="007A0407" w:rsidRPr="007A0407" w:rsidRDefault="007A0407" w:rsidP="007A0407">
      <w:pPr>
        <w:numPr>
          <w:ilvl w:val="0"/>
          <w:numId w:val="39"/>
        </w:numPr>
        <w:spacing w:after="0" w:line="276" w:lineRule="auto"/>
        <w:ind w:firstLine="284"/>
        <w:contextualSpacing/>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 xml:space="preserve">§1 т.1. от "Излязло от употреба моторно превозно средство" е отпадък по смисъла на § 1, т. 17 от допълнителните разпоредби (ДР) на ЗУО, в т.ч.: </w:t>
      </w:r>
    </w:p>
    <w:p w:rsidR="007A0407" w:rsidRPr="007A0407" w:rsidRDefault="007A0407" w:rsidP="007A0407">
      <w:pPr>
        <w:spacing w:after="0" w:line="276" w:lineRule="auto"/>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а) (изм. – ДВ, бр. 2 от 2021 г.) моторно превозно средство с прекратена регистрация, което се намира върху имот – държавна или общинска собственост, за повече от три месеца от датата на прекратяване на регистрацията;</w:t>
      </w:r>
    </w:p>
    <w:p w:rsidR="007A0407" w:rsidRPr="007A0407" w:rsidRDefault="007A0407" w:rsidP="007A0407">
      <w:pPr>
        <w:spacing w:after="0" w:line="276" w:lineRule="auto"/>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 xml:space="preserve"> б) (изм. – ДВ, бр. 2 от 2021 г.) моторно превозно средство, на което не е заверен знакът за технически преглед съгласно чл. 32д от Наредба № I-45 от 2000 г. или съгласно чл. 38 от Наредба № Н-32 от 2011 г. за повече от три месеца от определената му дата за следващ преглед за проверка на техническата му изправност, в случай че то се намира върху държавна или общинска собственост; </w:t>
      </w:r>
    </w:p>
    <w:p w:rsidR="007A0407" w:rsidRPr="007A0407" w:rsidRDefault="007A0407" w:rsidP="007A0407">
      <w:pPr>
        <w:spacing w:after="0" w:line="276" w:lineRule="auto"/>
        <w:jc w:val="both"/>
        <w:rPr>
          <w:rFonts w:ascii="Times New Roman" w:eastAsia="Calibri" w:hAnsi="Times New Roman" w:cs="Times New Roman"/>
          <w:i/>
          <w:color w:val="000000"/>
          <w:sz w:val="24"/>
          <w:szCs w:val="24"/>
        </w:rPr>
      </w:pPr>
      <w:r w:rsidRPr="007A0407">
        <w:rPr>
          <w:rFonts w:ascii="Times New Roman" w:eastAsia="Calibri" w:hAnsi="Times New Roman" w:cs="Times New Roman"/>
          <w:i/>
          <w:color w:val="000000"/>
          <w:sz w:val="24"/>
          <w:szCs w:val="24"/>
        </w:rPr>
        <w:t>в) изоставено регистрирано МПС</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До момента на изменението, хипотезата на § 1, т. 1, буква “а” изискваше, освен прекратена регистрация, така и наличието на “изрично писмено уведомление от лицензиран застраховател, съгласно чл. 18а, ал. 2, т. 1 от Наредба № I-45 от 2000 г”. Това изискване вече е отменено и се изисква наличието единствено и само на “прекратена регистрация”. Срокът от три месеца се запазва.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 хипотезата на § 1, т. 1, буква “б” срокът се намалява от 2 години на 3 месеца от изтичането на определената дата за следващ преглед за проверка на техническата изправност на съответното МПС. И двете хипотези се отнасят само до моторни превозни средства, които се намират върху имоти държавна или общинска собственост.</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направените изменения към § 1, т. 1 от Допълнителните разпоредби към НИУМПС е въведена значителна оптимизация на дефинициите, която позволява сериозно опростяване на процедурите и намаляване на административната тежест върху общинските органи в процеса по установяване и премахване на ИУМПС от имоти общинска собственост.</w:t>
      </w:r>
    </w:p>
    <w:p w:rsidR="007A0407" w:rsidRPr="007A0407" w:rsidRDefault="007A0407" w:rsidP="007A0407">
      <w:pPr>
        <w:spacing w:after="0" w:line="276" w:lineRule="auto"/>
        <w:jc w:val="both"/>
        <w:rPr>
          <w:rFonts w:ascii="Times New Roman" w:eastAsia="Calibri" w:hAnsi="Times New Roman" w:cs="Times New Roman"/>
          <w:b/>
          <w:bCs/>
          <w:color w:val="000000"/>
          <w:sz w:val="24"/>
          <w:szCs w:val="24"/>
        </w:rPr>
      </w:pPr>
    </w:p>
    <w:p w:rsidR="007A0407" w:rsidRPr="007A0407" w:rsidRDefault="007A0407" w:rsidP="007A0407">
      <w:pPr>
        <w:numPr>
          <w:ilvl w:val="0"/>
          <w:numId w:val="34"/>
        </w:numPr>
        <w:tabs>
          <w:tab w:val="left" w:pos="426"/>
        </w:tabs>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Наредба №1 от 4 юни 2014 г. за реда и образците, по който се предоставя информация за дейности с отпадъци, както и за реда на водене на публични регистри</w:t>
      </w:r>
      <w:r w:rsidRPr="007A0407">
        <w:rPr>
          <w:rFonts w:ascii="Times New Roman" w:eastAsia="Calibri" w:hAnsi="Times New Roman" w:cs="Times New Roman"/>
          <w:color w:val="000000"/>
          <w:sz w:val="24"/>
          <w:szCs w:val="24"/>
        </w:rPr>
        <w:t xml:space="preserve"> (</w:t>
      </w:r>
      <w:proofErr w:type="spellStart"/>
      <w:r w:rsidRPr="007A0407">
        <w:rPr>
          <w:rFonts w:ascii="Times New Roman" w:eastAsia="Calibri" w:hAnsi="Times New Roman" w:cs="Times New Roman"/>
          <w:i/>
          <w:color w:val="000000"/>
          <w:sz w:val="24"/>
          <w:szCs w:val="24"/>
        </w:rPr>
        <w:t>Обн</w:t>
      </w:r>
      <w:proofErr w:type="spellEnd"/>
      <w:r w:rsidRPr="007A0407">
        <w:rPr>
          <w:rFonts w:ascii="Times New Roman" w:eastAsia="Calibri" w:hAnsi="Times New Roman" w:cs="Times New Roman"/>
          <w:i/>
          <w:color w:val="000000"/>
          <w:sz w:val="24"/>
          <w:szCs w:val="24"/>
        </w:rPr>
        <w:t>. ДВ. бр. 51 от 20 юни 2014 г., изм. и доп. ДВ, бр. 30 от 31 Март 2020</w:t>
      </w:r>
      <w:r w:rsidRPr="007A0407">
        <w:rPr>
          <w:rFonts w:ascii="Times New Roman" w:eastAsia="Calibri" w:hAnsi="Times New Roman" w:cs="Times New Roman"/>
          <w:color w:val="000000"/>
          <w:sz w:val="24"/>
          <w:szCs w:val="24"/>
        </w:rPr>
        <w:t xml:space="preserve"> г., </w:t>
      </w:r>
      <w:r w:rsidRPr="007A0407">
        <w:rPr>
          <w:rFonts w:ascii="Verdana" w:eastAsia="Calibri" w:hAnsi="Verdana" w:cs="Times New Roman"/>
          <w:color w:val="000000"/>
          <w:sz w:val="18"/>
          <w:szCs w:val="18"/>
          <w:shd w:val="clear" w:color="auto" w:fill="FEFEFE"/>
        </w:rPr>
        <w:t> </w:t>
      </w:r>
      <w:r w:rsidRPr="00D85751">
        <w:rPr>
          <w:rFonts w:ascii="Times New Roman" w:eastAsia="Calibri" w:hAnsi="Times New Roman" w:cs="Times New Roman"/>
          <w:color w:val="0070C0"/>
          <w:sz w:val="24"/>
          <w:szCs w:val="24"/>
          <w:shd w:val="clear" w:color="auto" w:fill="FEFEFE"/>
        </w:rPr>
        <w:t>изм. и доп. ДВ. бр.82 от 1 Октомври 2021г.</w:t>
      </w:r>
      <w:r w:rsidRPr="00D85751">
        <w:rPr>
          <w:rFonts w:ascii="Times New Roman" w:eastAsia="Calibri" w:hAnsi="Times New Roman" w:cs="Times New Roman"/>
          <w:color w:val="0070C0"/>
          <w:sz w:val="24"/>
          <w:szCs w:val="24"/>
        </w:rPr>
        <w:t>)</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bCs/>
          <w:color w:val="FF0000"/>
          <w:sz w:val="24"/>
          <w:szCs w:val="24"/>
        </w:rPr>
      </w:pPr>
      <w:r w:rsidRPr="007A0407">
        <w:rPr>
          <w:rFonts w:ascii="Times New Roman" w:eastAsia="Calibri" w:hAnsi="Times New Roman" w:cs="Times New Roman"/>
          <w:bCs/>
          <w:color w:val="000000"/>
          <w:sz w:val="24"/>
          <w:szCs w:val="24"/>
        </w:rPr>
        <w:t xml:space="preserve">          Изменението на наредбата цели въвеждане на образци и създаване на ред за ежегодно докладване на количествата и видовете отпадъци, които са престанали да бъдат отпадъци през предходната година, както и на количествата и видовете странични продукти, образувани през предходната година, и дейностите, за които са реализирани, в съответствие с изискванията на чл. 44, ал. 9 и 10 от Закона за управление на отпадъците. </w:t>
      </w:r>
      <w:r w:rsidRPr="003F62DA">
        <w:rPr>
          <w:rFonts w:ascii="Times New Roman" w:eastAsia="Calibri" w:hAnsi="Times New Roman" w:cs="Times New Roman"/>
          <w:bCs/>
          <w:color w:val="0070C0"/>
          <w:sz w:val="24"/>
          <w:szCs w:val="24"/>
        </w:rPr>
        <w:t>С последното изменение</w:t>
      </w:r>
      <w:r w:rsidR="00CA0C76" w:rsidRPr="003F62DA">
        <w:rPr>
          <w:rFonts w:ascii="Times New Roman" w:eastAsia="Calibri" w:hAnsi="Times New Roman" w:cs="Times New Roman"/>
          <w:bCs/>
          <w:color w:val="0070C0"/>
          <w:sz w:val="24"/>
          <w:szCs w:val="24"/>
        </w:rPr>
        <w:t xml:space="preserve"> на наредбата </w:t>
      </w:r>
      <w:r w:rsidRPr="003F62DA">
        <w:rPr>
          <w:rFonts w:ascii="Times New Roman" w:eastAsia="Calibri" w:hAnsi="Times New Roman" w:cs="Times New Roman"/>
          <w:bCs/>
          <w:color w:val="0070C0"/>
          <w:sz w:val="24"/>
          <w:szCs w:val="24"/>
        </w:rPr>
        <w:t>се определя изграждането и поддържането на Национална инфор</w:t>
      </w:r>
      <w:r w:rsidR="00D85751">
        <w:rPr>
          <w:rFonts w:ascii="Times New Roman" w:eastAsia="Calibri" w:hAnsi="Times New Roman" w:cs="Times New Roman"/>
          <w:bCs/>
          <w:color w:val="0070C0"/>
          <w:sz w:val="24"/>
          <w:szCs w:val="24"/>
        </w:rPr>
        <w:t>мационна система „Отпадъци (НИСО</w:t>
      </w:r>
      <w:r w:rsidRPr="003F62DA">
        <w:rPr>
          <w:rFonts w:ascii="Times New Roman" w:eastAsia="Calibri" w:hAnsi="Times New Roman" w:cs="Times New Roman"/>
          <w:bCs/>
          <w:color w:val="0070C0"/>
          <w:sz w:val="24"/>
          <w:szCs w:val="24"/>
        </w:rPr>
        <w:t>) по чл.48, ал.8. ЗУО, като в чл.24 и чл.25 детайлно се разписва кой води публичните регистри и кои лица подлежат на вписване. Също така наредбата изяснява достъпа  до системата и режима н</w:t>
      </w:r>
      <w:r w:rsidR="00D85751">
        <w:rPr>
          <w:rFonts w:ascii="Times New Roman" w:eastAsia="Calibri" w:hAnsi="Times New Roman" w:cs="Times New Roman"/>
          <w:bCs/>
          <w:color w:val="0070C0"/>
          <w:sz w:val="24"/>
          <w:szCs w:val="24"/>
        </w:rPr>
        <w:t>а регистрация и ползване на НИСО</w:t>
      </w:r>
      <w:r w:rsidRPr="003F62DA">
        <w:rPr>
          <w:rFonts w:ascii="Times New Roman" w:eastAsia="Calibri" w:hAnsi="Times New Roman" w:cs="Times New Roman"/>
          <w:bCs/>
          <w:color w:val="0070C0"/>
          <w:sz w:val="24"/>
          <w:szCs w:val="24"/>
        </w:rPr>
        <w:t>,  както и сроковете на подаване на информация</w:t>
      </w:r>
      <w:r w:rsidRPr="007A0407">
        <w:rPr>
          <w:rFonts w:ascii="Times New Roman" w:eastAsia="Calibri" w:hAnsi="Times New Roman" w:cs="Times New Roman"/>
          <w:bCs/>
          <w:color w:val="FF0000"/>
          <w:sz w:val="24"/>
          <w:szCs w:val="24"/>
        </w:rPr>
        <w:t>.</w:t>
      </w:r>
    </w:p>
    <w:p w:rsidR="007A0407" w:rsidRPr="003F62DA" w:rsidRDefault="007A0407" w:rsidP="007A0407">
      <w:pPr>
        <w:tabs>
          <w:tab w:val="left" w:pos="993"/>
        </w:tabs>
        <w:overflowPunct w:val="0"/>
        <w:autoSpaceDE w:val="0"/>
        <w:autoSpaceDN w:val="0"/>
        <w:adjustRightInd w:val="0"/>
        <w:spacing w:after="0" w:line="276" w:lineRule="auto"/>
        <w:ind w:firstLine="709"/>
        <w:jc w:val="both"/>
        <w:textAlignment w:val="baseline"/>
        <w:rPr>
          <w:rFonts w:ascii="Times New Roman" w:eastAsia="Calibri" w:hAnsi="Times New Roman" w:cs="Times New Roman"/>
          <w:bCs/>
          <w:color w:val="0070C0"/>
          <w:sz w:val="24"/>
          <w:szCs w:val="24"/>
        </w:rPr>
      </w:pPr>
      <w:r w:rsidRPr="007A0407">
        <w:rPr>
          <w:rFonts w:ascii="Times New Roman" w:eastAsia="Calibri" w:hAnsi="Times New Roman" w:cs="Times New Roman"/>
          <w:bCs/>
          <w:color w:val="000000"/>
          <w:sz w:val="24"/>
          <w:szCs w:val="24"/>
        </w:rPr>
        <w:t>С изменението на наредбата се въвеждат мерки за прилагане на Регламент (ЕС) 2017/852 на Европейския Парламент и на Съвета от 17 май 2017 г. относно живака и за отмяна на Регламент (ЕО) № 1102/2008, приложим от 1 януари 2018 година, в частност относно необходимостта от създаване на регистри от страна на операторите на съоръжения, извършващи временно съхранение на отпадъци от живак; операторите на съоръжения, извършващи преобразуване и ако е приложимо, солидифициране на отпадъци от живак и икономически оператори в определени промишлените сектори, генериращи отпадъци от живак по смисъла на Регламент (ЕС) 2017/852</w:t>
      </w:r>
      <w:r w:rsidRPr="003F62DA">
        <w:rPr>
          <w:rFonts w:ascii="Times New Roman" w:eastAsia="Calibri" w:hAnsi="Times New Roman" w:cs="Times New Roman"/>
          <w:bCs/>
          <w:color w:val="0070C0"/>
          <w:sz w:val="24"/>
          <w:szCs w:val="24"/>
        </w:rPr>
        <w:t xml:space="preserve">. С промяна в </w:t>
      </w:r>
      <w:r w:rsidRPr="003F62DA">
        <w:rPr>
          <w:rFonts w:ascii="Times New Roman" w:eastAsia="Calibri" w:hAnsi="Times New Roman" w:cs="Times New Roman"/>
          <w:b/>
          <w:bCs/>
          <w:color w:val="0070C0"/>
          <w:sz w:val="24"/>
          <w:szCs w:val="24"/>
          <w:shd w:val="clear" w:color="auto" w:fill="FEFEFE"/>
        </w:rPr>
        <w:t>Чл. 11.</w:t>
      </w:r>
      <w:r w:rsidRPr="003F62DA">
        <w:rPr>
          <w:rFonts w:ascii="Times New Roman" w:eastAsia="Calibri" w:hAnsi="Times New Roman" w:cs="Times New Roman"/>
          <w:color w:val="0070C0"/>
          <w:sz w:val="24"/>
          <w:szCs w:val="24"/>
          <w:shd w:val="clear" w:color="auto" w:fill="FEFEFE"/>
        </w:rPr>
        <w:t> Се във</w:t>
      </w:r>
      <w:r w:rsidR="00D85751">
        <w:rPr>
          <w:rFonts w:ascii="Times New Roman" w:eastAsia="Calibri" w:hAnsi="Times New Roman" w:cs="Times New Roman"/>
          <w:color w:val="0070C0"/>
          <w:sz w:val="24"/>
          <w:szCs w:val="24"/>
          <w:shd w:val="clear" w:color="auto" w:fill="FEFEFE"/>
        </w:rPr>
        <w:t>еж</w:t>
      </w:r>
      <w:r w:rsidRPr="003F62DA">
        <w:rPr>
          <w:rFonts w:ascii="Times New Roman" w:eastAsia="Calibri" w:hAnsi="Times New Roman" w:cs="Times New Roman"/>
          <w:color w:val="0070C0"/>
          <w:sz w:val="24"/>
          <w:szCs w:val="24"/>
          <w:shd w:val="clear" w:color="auto" w:fill="FEFEFE"/>
        </w:rPr>
        <w:t>да: (Изм. - ДВ, бр. 82 от 2021 г., в сила от 01.10.2021 г.) Отчетните книги по чл. 7 се водят по електронен път в </w:t>
      </w:r>
      <w:hyperlink r:id="rId38" w:history="1">
        <w:r w:rsidRPr="003F62DA">
          <w:rPr>
            <w:rFonts w:ascii="Times New Roman" w:eastAsia="Calibri" w:hAnsi="Times New Roman" w:cs="Times New Roman"/>
            <w:color w:val="0070C0"/>
            <w:sz w:val="24"/>
            <w:szCs w:val="24"/>
            <w:u w:val="single"/>
            <w:shd w:val="clear" w:color="auto" w:fill="FEFEFE"/>
          </w:rPr>
          <w:t>НИСО</w:t>
        </w:r>
      </w:hyperlink>
      <w:r w:rsidRPr="003F62DA">
        <w:rPr>
          <w:rFonts w:ascii="Times New Roman" w:eastAsia="Calibri" w:hAnsi="Times New Roman" w:cs="Times New Roman"/>
          <w:color w:val="0070C0"/>
          <w:sz w:val="24"/>
          <w:szCs w:val="24"/>
          <w:shd w:val="clear" w:color="auto" w:fill="FEFEFE"/>
        </w:rPr>
        <w:t xml:space="preserve">, поддържана от Изпълнителната агенция по околна среда (ИАОС), при наличие на квалифициран електронен подпис по смисъла на чл. 13, ал. 3 от Закона за електронния документ и електронните удостоверителни услуги (ЗЕДЕУУ). Респективно се изменя и </w:t>
      </w:r>
      <w:r w:rsidRPr="003F62DA">
        <w:rPr>
          <w:rFonts w:ascii="Times New Roman" w:eastAsia="Calibri" w:hAnsi="Times New Roman" w:cs="Times New Roman"/>
          <w:b/>
          <w:bCs/>
          <w:color w:val="0070C0"/>
          <w:sz w:val="24"/>
          <w:szCs w:val="24"/>
          <w:shd w:val="clear" w:color="auto" w:fill="FEFEFE"/>
        </w:rPr>
        <w:t>Чл. 23.</w:t>
      </w:r>
      <w:r w:rsidRPr="003F62DA">
        <w:rPr>
          <w:rFonts w:ascii="Times New Roman" w:eastAsia="Calibri" w:hAnsi="Times New Roman" w:cs="Times New Roman"/>
          <w:color w:val="0070C0"/>
          <w:sz w:val="24"/>
          <w:szCs w:val="24"/>
          <w:shd w:val="clear" w:color="auto" w:fill="FEFEFE"/>
        </w:rPr>
        <w:t> (Изм. - ДВ, бр. 82 от 2021 г., в сила от 01.10.2021 г.) (1) Годишни отчети по чл. 13 - 22 и чл. 22б за предходната календарна година се предоставят ежегодно до 10 март на текущата година чрез </w:t>
      </w:r>
      <w:hyperlink r:id="rId39" w:history="1">
        <w:r w:rsidRPr="003F62DA">
          <w:rPr>
            <w:rFonts w:ascii="Times New Roman" w:eastAsia="Calibri" w:hAnsi="Times New Roman" w:cs="Times New Roman"/>
            <w:color w:val="0070C0"/>
            <w:sz w:val="24"/>
            <w:szCs w:val="24"/>
            <w:u w:val="single"/>
            <w:shd w:val="clear" w:color="auto" w:fill="FEFEFE"/>
          </w:rPr>
          <w:t>НИСО</w:t>
        </w:r>
      </w:hyperlink>
      <w:r w:rsidRPr="003F62DA">
        <w:rPr>
          <w:rFonts w:ascii="Times New Roman" w:eastAsia="Calibri" w:hAnsi="Times New Roman" w:cs="Times New Roman"/>
          <w:color w:val="0070C0"/>
          <w:sz w:val="24"/>
          <w:szCs w:val="24"/>
          <w:shd w:val="clear" w:color="auto" w:fill="FEFEFE"/>
        </w:rPr>
        <w:t> при наличие на квалифициран електронен подпис по смисъла на чл. 13, ал. 3 от ЗЕДЕУУ.</w:t>
      </w:r>
    </w:p>
    <w:p w:rsidR="007A0407" w:rsidRPr="007A0407" w:rsidRDefault="007A0407" w:rsidP="007A0407">
      <w:pPr>
        <w:tabs>
          <w:tab w:val="left" w:pos="993"/>
        </w:tabs>
        <w:overflowPunct w:val="0"/>
        <w:autoSpaceDE w:val="0"/>
        <w:autoSpaceDN w:val="0"/>
        <w:adjustRightInd w:val="0"/>
        <w:spacing w:after="0" w:line="276" w:lineRule="auto"/>
        <w:ind w:firstLine="709"/>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 xml:space="preserve">С оглед отразяване на влезли в сила изменения на Наредбата за излезлите от употреба моторни превозни средства, с наредба се осигурява предоставянето на информация за излезлите от употреба моторни превозни средства от </w:t>
      </w:r>
      <w:r w:rsidRPr="007A0407">
        <w:rPr>
          <w:rFonts w:ascii="Times New Roman" w:eastAsia="Calibri" w:hAnsi="Times New Roman" w:cs="Times New Roman"/>
          <w:bCs/>
          <w:color w:val="000000"/>
          <w:sz w:val="24"/>
          <w:szCs w:val="24"/>
          <w:bdr w:val="none" w:sz="0" w:space="0" w:color="auto" w:frame="1"/>
          <w:lang w:eastAsia="bg-BG"/>
        </w:rPr>
        <w:t xml:space="preserve">категориите за превоз на повече от 8 пътници и за превоз на товари </w:t>
      </w:r>
      <w:r w:rsidRPr="007A0407">
        <w:rPr>
          <w:rFonts w:ascii="Times New Roman" w:eastAsia="Calibri" w:hAnsi="Times New Roman" w:cs="Times New Roman"/>
          <w:color w:val="000000"/>
          <w:sz w:val="24"/>
          <w:szCs w:val="24"/>
        </w:rPr>
        <w:t>над 3,5 t</w:t>
      </w:r>
      <w:r w:rsidRPr="007A0407">
        <w:rPr>
          <w:rFonts w:ascii="Times New Roman" w:eastAsia="Calibri" w:hAnsi="Times New Roman" w:cs="Times New Roman"/>
          <w:bCs/>
          <w:color w:val="000000"/>
          <w:sz w:val="24"/>
          <w:szCs w:val="24"/>
          <w:bdr w:val="none" w:sz="0" w:space="0" w:color="auto" w:frame="1"/>
          <w:lang w:eastAsia="bg-BG"/>
        </w:rPr>
        <w:t xml:space="preserve"> (M2, M3, N2 и N3, съгласно чл. 149 от Закона за движение по пътищата)</w:t>
      </w:r>
      <w:r w:rsidRPr="007A0407">
        <w:rPr>
          <w:rFonts w:ascii="Times New Roman" w:eastAsia="Calibri" w:hAnsi="Times New Roman" w:cs="Times New Roman"/>
          <w:bCs/>
          <w:color w:val="000000"/>
          <w:sz w:val="24"/>
          <w:szCs w:val="24"/>
        </w:rPr>
        <w:t xml:space="preserve">. </w:t>
      </w:r>
    </w:p>
    <w:p w:rsidR="007A0407" w:rsidRPr="007A0407" w:rsidRDefault="007A0407" w:rsidP="007A0407">
      <w:pPr>
        <w:tabs>
          <w:tab w:val="left" w:pos="993"/>
        </w:tabs>
        <w:overflowPunct w:val="0"/>
        <w:autoSpaceDE w:val="0"/>
        <w:autoSpaceDN w:val="0"/>
        <w:adjustRightInd w:val="0"/>
        <w:spacing w:after="0" w:line="276" w:lineRule="auto"/>
        <w:ind w:firstLine="709"/>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 xml:space="preserve">Не на последно място, изменението на наредбата цели облекчаване на административната тежест посредством прецизиране на разпоредбите относно начина на водене на отчетност, по-конкретно относно възможността за коригиране на данни, които вече са въведени в отчетните книги. </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bCs/>
          <w:color w:val="000000"/>
          <w:sz w:val="24"/>
          <w:szCs w:val="24"/>
        </w:rPr>
      </w:pPr>
    </w:p>
    <w:p w:rsidR="007A0407" w:rsidRPr="007A0407" w:rsidRDefault="007A0407" w:rsidP="007A0407">
      <w:pPr>
        <w:numPr>
          <w:ilvl w:val="0"/>
          <w:numId w:val="34"/>
        </w:numPr>
        <w:tabs>
          <w:tab w:val="left" w:pos="284"/>
        </w:tabs>
        <w:spacing w:after="0" w:line="276" w:lineRule="auto"/>
        <w:contextualSpacing/>
        <w:jc w:val="both"/>
        <w:rPr>
          <w:rFonts w:ascii="Times New Roman" w:eastAsia="Times New Roman" w:hAnsi="Times New Roman" w:cs="Times New Roman"/>
          <w:b/>
          <w:bCs/>
          <w:i/>
          <w:color w:val="000000"/>
          <w:sz w:val="24"/>
          <w:szCs w:val="24"/>
          <w:lang w:eastAsia="en-GB"/>
        </w:rPr>
      </w:pPr>
      <w:r w:rsidRPr="007A0407">
        <w:rPr>
          <w:rFonts w:ascii="Times New Roman" w:eastAsia="Times New Roman" w:hAnsi="Times New Roman" w:cs="Times New Roman"/>
          <w:b/>
          <w:bCs/>
          <w:i/>
          <w:color w:val="000000"/>
          <w:sz w:val="24"/>
          <w:szCs w:val="24"/>
          <w:lang w:eastAsia="en-GB"/>
        </w:rPr>
        <w:t xml:space="preserve">Наредба № 2 за класификация на отпадъците </w:t>
      </w:r>
      <w:r w:rsidRPr="007A0407">
        <w:rPr>
          <w:rFonts w:ascii="Times New Roman" w:eastAsia="Times New Roman" w:hAnsi="Times New Roman" w:cs="Times New Roman"/>
          <w:bCs/>
          <w:i/>
          <w:color w:val="000000"/>
          <w:sz w:val="24"/>
          <w:szCs w:val="24"/>
          <w:lang w:eastAsia="en-GB"/>
        </w:rPr>
        <w:t>(</w:t>
      </w:r>
      <w:proofErr w:type="spellStart"/>
      <w:r w:rsidRPr="007A0407">
        <w:rPr>
          <w:rFonts w:ascii="Times New Roman" w:eastAsia="Calibri" w:hAnsi="Times New Roman" w:cs="Times New Roman"/>
          <w:i/>
          <w:color w:val="000000"/>
          <w:sz w:val="24"/>
          <w:szCs w:val="24"/>
          <w:shd w:val="clear" w:color="auto" w:fill="FFFFFF"/>
        </w:rPr>
        <w:t>обн</w:t>
      </w:r>
      <w:proofErr w:type="spellEnd"/>
      <w:r w:rsidRPr="007A0407">
        <w:rPr>
          <w:rFonts w:ascii="Times New Roman" w:eastAsia="Calibri" w:hAnsi="Times New Roman" w:cs="Times New Roman"/>
          <w:i/>
          <w:color w:val="000000"/>
          <w:sz w:val="24"/>
          <w:szCs w:val="24"/>
          <w:shd w:val="clear" w:color="auto" w:fill="FFFFFF"/>
        </w:rPr>
        <w:t>., ДВ, бр. 66 от 8.08.2014 г., изм. и доп., бр. 86 от 6.10.2020 г.,</w:t>
      </w:r>
      <w:r w:rsidRPr="007A0407">
        <w:rPr>
          <w:rFonts w:ascii="Verdana" w:eastAsia="Calibri" w:hAnsi="Verdana" w:cs="Times New Roman"/>
          <w:color w:val="000000"/>
          <w:sz w:val="18"/>
          <w:szCs w:val="18"/>
          <w:shd w:val="clear" w:color="auto" w:fill="FEFEFE"/>
        </w:rPr>
        <w:t xml:space="preserve"> </w:t>
      </w:r>
      <w:r w:rsidRPr="00D85751">
        <w:rPr>
          <w:rFonts w:ascii="Times New Roman" w:eastAsia="Calibri" w:hAnsi="Times New Roman" w:cs="Times New Roman"/>
          <w:color w:val="0070C0"/>
          <w:sz w:val="24"/>
          <w:szCs w:val="24"/>
          <w:shd w:val="clear" w:color="auto" w:fill="FEFEFE"/>
        </w:rPr>
        <w:t>изм. и доп. ДВ. бр.53 от 8 Юли 2022 г</w:t>
      </w:r>
      <w:r w:rsidRPr="00D85751">
        <w:rPr>
          <w:rFonts w:ascii="Times New Roman" w:eastAsia="Times New Roman" w:hAnsi="Times New Roman" w:cs="Times New Roman"/>
          <w:b/>
          <w:bCs/>
          <w:i/>
          <w:color w:val="0070C0"/>
          <w:sz w:val="24"/>
          <w:szCs w:val="24"/>
          <w:lang w:eastAsia="en-GB"/>
        </w:rPr>
        <w:t xml:space="preserve">.  </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color w:val="000000"/>
          <w:sz w:val="24"/>
          <w:szCs w:val="24"/>
        </w:rPr>
      </w:pPr>
      <w:r w:rsidRPr="003F62DA">
        <w:rPr>
          <w:rFonts w:ascii="Times New Roman" w:eastAsia="Calibri" w:hAnsi="Times New Roman" w:cs="Times New Roman"/>
          <w:color w:val="0070C0"/>
          <w:sz w:val="24"/>
          <w:szCs w:val="24"/>
        </w:rPr>
        <w:t xml:space="preserve">          Наредбата определя условията и редът за класификация на отпадъците по видове и свойства.  С </w:t>
      </w:r>
      <w:r w:rsidRPr="007A0407">
        <w:rPr>
          <w:rFonts w:ascii="Times New Roman" w:eastAsia="Calibri" w:hAnsi="Times New Roman" w:cs="Times New Roman"/>
          <w:color w:val="000000"/>
          <w:sz w:val="24"/>
          <w:szCs w:val="24"/>
        </w:rPr>
        <w:t xml:space="preserve">изменението на Наредба № 2 за класификация на отпадъците се изпълняват одобрените мерки по Решение № 704/05.10.2018г. на Министерския съвет за приемане на мерки за трансформация на модела на административно обслужване, като административни услуги в областта на управление на отпадъците се привеждат в съответствие с Административно-процесуалния кодекс. </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            Намалява се срокът за утвърждаване на работен лист от Регионалните инспекции по околна среда и водите (РИОСВ) от 30 дни на 14 дни, както и срокът за издаване на становища от Регионална здравна инспекция (РЗИ) за класификация на отпадъци от хуманното или ветеринарното здравеопазване, премахват се несъответствията в заявленията за услуга с определеното в чл. 29, ал. 2 от АПК съдържание. </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           Също с изменението на Наредба № 2 за класификация на отпадъците се въвеждат мерки за прилагане на Регламент (ЕС) 2017/997 на Съвета от 8 юни 2017 г. за изменение на приложение III към Директива 2008/98/ЕО на Европейския парламент и на Съвета относно отпадъците по отношение на опасното свойство НР 14 „Токсични за околната среда“.</w:t>
      </w:r>
    </w:p>
    <w:p w:rsidR="007A0407" w:rsidRPr="003F62DA" w:rsidRDefault="003F62DA"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color w:val="0070C0"/>
          <w:sz w:val="24"/>
          <w:szCs w:val="24"/>
          <w:shd w:val="clear" w:color="auto" w:fill="FEFEFE"/>
        </w:rPr>
      </w:pPr>
      <w:r>
        <w:rPr>
          <w:rFonts w:ascii="Times New Roman" w:eastAsia="Calibri" w:hAnsi="Times New Roman" w:cs="Times New Roman"/>
          <w:color w:val="0070C0"/>
          <w:sz w:val="24"/>
          <w:szCs w:val="24"/>
        </w:rPr>
        <w:tab/>
      </w:r>
      <w:r w:rsidR="00AC0CAF" w:rsidRPr="003F62DA">
        <w:rPr>
          <w:rFonts w:ascii="Times New Roman" w:eastAsia="Calibri" w:hAnsi="Times New Roman" w:cs="Times New Roman"/>
          <w:color w:val="0070C0"/>
          <w:sz w:val="24"/>
          <w:szCs w:val="24"/>
        </w:rPr>
        <w:t xml:space="preserve">С </w:t>
      </w:r>
      <w:r w:rsidR="00F93CE6" w:rsidRPr="003F62DA">
        <w:rPr>
          <w:rFonts w:ascii="Times New Roman" w:eastAsia="Calibri" w:hAnsi="Times New Roman" w:cs="Times New Roman"/>
          <w:color w:val="0070C0"/>
          <w:sz w:val="24"/>
          <w:szCs w:val="24"/>
        </w:rPr>
        <w:t xml:space="preserve">последната актуализация, </w:t>
      </w:r>
      <w:r w:rsidRPr="003F62DA">
        <w:rPr>
          <w:rFonts w:ascii="Times New Roman" w:eastAsia="Calibri" w:hAnsi="Times New Roman" w:cs="Times New Roman"/>
          <w:color w:val="0070C0"/>
          <w:sz w:val="24"/>
          <w:szCs w:val="24"/>
        </w:rPr>
        <w:t xml:space="preserve">се </w:t>
      </w:r>
      <w:r w:rsidR="00AC0CAF" w:rsidRPr="003F62DA">
        <w:rPr>
          <w:rFonts w:ascii="Times New Roman" w:eastAsia="Calibri" w:hAnsi="Times New Roman" w:cs="Times New Roman"/>
          <w:color w:val="0070C0"/>
          <w:sz w:val="24"/>
          <w:szCs w:val="24"/>
        </w:rPr>
        <w:t>измен</w:t>
      </w:r>
      <w:r w:rsidRPr="003F62DA">
        <w:rPr>
          <w:rFonts w:ascii="Times New Roman" w:eastAsia="Calibri" w:hAnsi="Times New Roman" w:cs="Times New Roman"/>
          <w:color w:val="0070C0"/>
          <w:sz w:val="24"/>
          <w:szCs w:val="24"/>
        </w:rPr>
        <w:t>я</w:t>
      </w:r>
      <w:r w:rsidR="007A0407" w:rsidRPr="003F62DA">
        <w:rPr>
          <w:rFonts w:ascii="Times New Roman" w:eastAsia="Calibri" w:hAnsi="Times New Roman" w:cs="Times New Roman"/>
          <w:color w:val="0070C0"/>
          <w:sz w:val="24"/>
          <w:szCs w:val="24"/>
        </w:rPr>
        <w:t xml:space="preserve"> чл.7, ал.1, с който се определят документите и сроковете, които лицата по чл.4 са длъжни да подадат до директора на РИОСВ, като се урежда и начина им на подаване.</w:t>
      </w:r>
      <w:r w:rsidR="007A0407" w:rsidRPr="003F62DA">
        <w:rPr>
          <w:rFonts w:ascii="Times New Roman" w:eastAsia="Calibri" w:hAnsi="Times New Roman" w:cs="Times New Roman"/>
          <w:color w:val="0070C0"/>
          <w:sz w:val="24"/>
          <w:szCs w:val="24"/>
          <w:shd w:val="clear" w:color="auto" w:fill="FEFEFE"/>
        </w:rPr>
        <w:t xml:space="preserve"> Въвеждат се актуализирани образци на приложение 5 и приложение 7 към чл.7.</w:t>
      </w:r>
      <w:r w:rsidR="007A0407" w:rsidRPr="003F62DA">
        <w:rPr>
          <w:rFonts w:ascii="Times New Roman" w:eastAsia="Calibri" w:hAnsi="Times New Roman" w:cs="Times New Roman"/>
          <w:color w:val="0070C0"/>
          <w:sz w:val="24"/>
          <w:szCs w:val="24"/>
        </w:rPr>
        <w:t xml:space="preserve"> Съгласно изменението на чл.21 – в </w:t>
      </w:r>
      <w:r w:rsidR="007A0407" w:rsidRPr="003F62DA">
        <w:rPr>
          <w:rFonts w:ascii="Times New Roman" w:eastAsia="Calibri" w:hAnsi="Times New Roman" w:cs="Times New Roman"/>
          <w:color w:val="0070C0"/>
          <w:sz w:val="24"/>
          <w:szCs w:val="24"/>
          <w:shd w:val="clear" w:color="auto" w:fill="FEFEFE"/>
        </w:rPr>
        <w:t>случай, че даден отпадък престане да се образува и липсват източници, от които би могъл да се образува, причинителят на отпадъка подава чрез </w:t>
      </w:r>
      <w:hyperlink r:id="rId40" w:history="1">
        <w:r w:rsidR="007A0407" w:rsidRPr="003F62DA">
          <w:rPr>
            <w:rFonts w:ascii="Times New Roman" w:eastAsia="Calibri" w:hAnsi="Times New Roman" w:cs="Times New Roman"/>
            <w:color w:val="0070C0"/>
            <w:sz w:val="24"/>
            <w:szCs w:val="24"/>
            <w:shd w:val="clear" w:color="auto" w:fill="FEFEFE"/>
          </w:rPr>
          <w:t>НИСО</w:t>
        </w:r>
      </w:hyperlink>
      <w:r w:rsidR="007A0407" w:rsidRPr="003F62DA">
        <w:rPr>
          <w:rFonts w:ascii="Times New Roman" w:eastAsia="Calibri" w:hAnsi="Times New Roman" w:cs="Times New Roman"/>
          <w:color w:val="0070C0"/>
          <w:sz w:val="24"/>
          <w:szCs w:val="24"/>
          <w:shd w:val="clear" w:color="auto" w:fill="FEFEFE"/>
        </w:rPr>
        <w:t xml:space="preserve"> до директора на РИОСВ уведомление за преустановяване образуването на отпадъка, като детайлно се разписва подхода за това. </w:t>
      </w:r>
    </w:p>
    <w:p w:rsidR="007A0407" w:rsidRPr="003F62DA"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bCs/>
          <w:color w:val="0070C0"/>
          <w:sz w:val="24"/>
          <w:szCs w:val="24"/>
        </w:rPr>
      </w:pPr>
    </w:p>
    <w:p w:rsidR="007A0407" w:rsidRPr="007A0407" w:rsidRDefault="00393C68" w:rsidP="007A0407">
      <w:pPr>
        <w:numPr>
          <w:ilvl w:val="0"/>
          <w:numId w:val="34"/>
        </w:numPr>
        <w:tabs>
          <w:tab w:val="left" w:pos="284"/>
          <w:tab w:val="left" w:pos="993"/>
        </w:tabs>
        <w:overflowPunct w:val="0"/>
        <w:autoSpaceDE w:val="0"/>
        <w:autoSpaceDN w:val="0"/>
        <w:adjustRightInd w:val="0"/>
        <w:spacing w:after="0" w:line="276" w:lineRule="auto"/>
        <w:contextualSpacing/>
        <w:jc w:val="both"/>
        <w:textAlignment w:val="baseline"/>
        <w:rPr>
          <w:rFonts w:ascii="Times New Roman" w:eastAsia="Calibri" w:hAnsi="Times New Roman" w:cs="Times New Roman"/>
          <w:bCs/>
          <w:color w:val="000000"/>
          <w:sz w:val="24"/>
          <w:szCs w:val="24"/>
        </w:rPr>
      </w:pPr>
      <w:hyperlink r:id="rId41" w:tgtFrame="_self" w:history="1">
        <w:r w:rsidR="007A0407" w:rsidRPr="007A0407">
          <w:rPr>
            <w:rFonts w:ascii="Times New Roman" w:eastAsia="Calibri" w:hAnsi="Times New Roman" w:cs="Times New Roman"/>
            <w:b/>
            <w:i/>
            <w:color w:val="000000"/>
            <w:sz w:val="24"/>
            <w:szCs w:val="24"/>
            <w:shd w:val="clear" w:color="auto" w:fill="FFFFFF"/>
          </w:rPr>
          <w:t>Наредба за батерии и акумулатори и за негодни за употреба батерии и акумулатори</w:t>
        </w:r>
        <w:r w:rsidR="007A0407" w:rsidRPr="007A0407">
          <w:rPr>
            <w:rFonts w:ascii="Times New Roman" w:eastAsia="Calibri" w:hAnsi="Times New Roman" w:cs="Times New Roman"/>
            <w:b/>
            <w:color w:val="000000"/>
            <w:shd w:val="clear" w:color="auto" w:fill="FFFFFF"/>
          </w:rPr>
          <w:t> </w:t>
        </w:r>
      </w:hyperlink>
      <w:r w:rsidR="007A0407" w:rsidRPr="007A0407">
        <w:rPr>
          <w:rFonts w:ascii="Times New Roman" w:eastAsia="Calibri" w:hAnsi="Times New Roman" w:cs="Times New Roman"/>
          <w:color w:val="000000"/>
          <w:sz w:val="24"/>
          <w:szCs w:val="24"/>
          <w:shd w:val="clear" w:color="auto" w:fill="FFFFFF"/>
        </w:rPr>
        <w:t xml:space="preserve"> (</w:t>
      </w:r>
      <w:r w:rsidR="007A0407" w:rsidRPr="007A0407">
        <w:rPr>
          <w:rFonts w:ascii="Times New Roman" w:eastAsia="Calibri" w:hAnsi="Times New Roman" w:cs="Times New Roman"/>
          <w:i/>
          <w:color w:val="000000"/>
          <w:sz w:val="24"/>
          <w:szCs w:val="24"/>
          <w:shd w:val="clear" w:color="auto" w:fill="FFFFFF"/>
        </w:rPr>
        <w:t>Приета с ПМС № 351 от 27.12.2012 г., доп., бр. 2 от 8.01.2021 г.)</w:t>
      </w:r>
    </w:p>
    <w:p w:rsidR="007A0407" w:rsidRPr="007A0407" w:rsidRDefault="007A0407" w:rsidP="007A0407">
      <w:pPr>
        <w:tabs>
          <w:tab w:val="left" w:pos="993"/>
        </w:tabs>
        <w:overflowPunct w:val="0"/>
        <w:autoSpaceDE w:val="0"/>
        <w:autoSpaceDN w:val="0"/>
        <w:adjustRightInd w:val="0"/>
        <w:spacing w:after="0" w:line="276" w:lineRule="auto"/>
        <w:jc w:val="both"/>
        <w:textAlignment w:val="baseline"/>
        <w:rPr>
          <w:rFonts w:ascii="Times New Roman" w:eastAsia="Calibri" w:hAnsi="Times New Roman" w:cs="Times New Roman"/>
          <w:bCs/>
          <w:color w:val="000000"/>
          <w:sz w:val="24"/>
          <w:szCs w:val="24"/>
        </w:rPr>
      </w:pPr>
      <w:r w:rsidRPr="007A0407">
        <w:rPr>
          <w:rFonts w:ascii="Times New Roman" w:eastAsia="Calibri" w:hAnsi="Times New Roman" w:cs="Times New Roman"/>
          <w:color w:val="000000"/>
          <w:sz w:val="24"/>
          <w:szCs w:val="24"/>
          <w:shd w:val="clear" w:color="auto" w:fill="FFFFFF"/>
        </w:rPr>
        <w:t xml:space="preserve">            С наредбата се определят изискванията за пускането на пазара на батерии и акумулатори и за разделното събиране, транспортирането, съхраняването, предварителното третиране, рециклирането, оползотворяването, и/или обезвреждането на негодни за употреба батерии и акумулатори (НУБА).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Изменението на Наредбата за батерии и акумулатори и за негодните за употреба батерии и акумулатори (НБАНУБА) произтича изцяло от изискването за въвеждане в българското законодателство на: </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2018/849/ЕС на Европейския парламент и на Съвета от 30 май 2018 година за изменение на директиви 2000/53/ЕО относно излезлите от употреба превозни средства,</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2006/66/ЕО относно батерии и акумулатори и отпадъци от батерии и акумулатори и Директива 2012/19/ЕС относно отпадъци от електрическо и електронно оборудване (ОB, L 150 от 14 юни 2018 г.).</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(ЕС) 2018/851 на Европейския парламент и на Съвета от 30 май 2018 година за изменение на Директива 2008/98/ЕО относно отпадъците (ОB, L 150 от 14 юни 2018 г.).</w:t>
      </w:r>
    </w:p>
    <w:p w:rsidR="007A0407" w:rsidRPr="007A0407" w:rsidRDefault="007A0407" w:rsidP="007A0407">
      <w:pPr>
        <w:shd w:val="clear" w:color="auto" w:fill="FFFFFF"/>
        <w:spacing w:after="0" w:line="276" w:lineRule="auto"/>
        <w:jc w:val="both"/>
        <w:rPr>
          <w:rFonts w:ascii="Times New Roman" w:eastAsia="Times New Roman" w:hAnsi="Times New Roman" w:cs="Times New Roman"/>
          <w:color w:val="000000"/>
          <w:sz w:val="24"/>
          <w:szCs w:val="24"/>
          <w:lang w:eastAsia="en-GB"/>
        </w:rPr>
      </w:pPr>
      <w:r w:rsidRPr="007A0407">
        <w:rPr>
          <w:rFonts w:ascii="Times New Roman" w:eastAsia="Times New Roman" w:hAnsi="Times New Roman" w:cs="Times New Roman"/>
          <w:color w:val="000000"/>
          <w:sz w:val="24"/>
          <w:szCs w:val="24"/>
          <w:lang w:eastAsia="en-GB"/>
        </w:rPr>
        <w:t>Изменението и допълнението на Наредба за батерии и акумулатори и за негодни за употреба батерии и акумулатори цели отстраняването на непълнота в съответствие на Директива 2006/66/ЕО за батерии и акумулатори и отпадъци от батерии и акумулатори, и за отмяна на Директива 91/157/ЕО и по-конкретно изискването крайните потребители да не се обвързват със задължение да закупуват нови батерии и акумулатори, предназначени за автомобили при връщането на негодни такива на територията на търговски обект.</w:t>
      </w:r>
    </w:p>
    <w:p w:rsidR="007A0407" w:rsidRPr="007A0407" w:rsidRDefault="007A0407" w:rsidP="007A0407">
      <w:pPr>
        <w:shd w:val="clear" w:color="auto" w:fill="FFFFFF"/>
        <w:spacing w:after="0" w:line="276" w:lineRule="auto"/>
        <w:ind w:left="720"/>
        <w:contextualSpacing/>
        <w:jc w:val="both"/>
        <w:rPr>
          <w:rFonts w:ascii="Times New Roman" w:eastAsia="Times New Roman" w:hAnsi="Times New Roman" w:cs="Times New Roman"/>
          <w:color w:val="000000"/>
          <w:sz w:val="24"/>
          <w:szCs w:val="24"/>
          <w:lang w:eastAsia="en-GB"/>
        </w:rPr>
      </w:pPr>
    </w:p>
    <w:p w:rsidR="007A0407" w:rsidRPr="007A0407" w:rsidRDefault="00891986" w:rsidP="007A0407">
      <w:pPr>
        <w:shd w:val="clear" w:color="auto" w:fill="FFFFFF"/>
        <w:spacing w:after="0" w:line="276"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С </w:t>
      </w:r>
      <w:r w:rsidR="007A0407" w:rsidRPr="007A0407">
        <w:rPr>
          <w:rFonts w:ascii="Times New Roman" w:eastAsia="Times New Roman" w:hAnsi="Times New Roman" w:cs="Times New Roman"/>
          <w:color w:val="000000"/>
          <w:sz w:val="24"/>
          <w:szCs w:val="24"/>
          <w:lang w:eastAsia="en-GB"/>
        </w:rPr>
        <w:t>наредбата се въвежда по-голяма яснота относно системата за разделно събиране на негодни за употреба портативни и/или автомобилни батерии и акумулатори, която организациите по оползотворяване и лицата с индивидуално изпълнение са задължени да създадат. </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34"/>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Наредба за излязло от употреба електрическо и електронно оборудване</w:t>
      </w:r>
      <w:r w:rsidRPr="007A0407">
        <w:rPr>
          <w:rFonts w:ascii="Times New Roman" w:eastAsia="Calibri" w:hAnsi="Times New Roman" w:cs="Times New Roman"/>
          <w:color w:val="000000"/>
          <w:sz w:val="24"/>
          <w:szCs w:val="24"/>
        </w:rPr>
        <w:t xml:space="preserve"> </w:t>
      </w:r>
      <w:r w:rsidRPr="007A0407">
        <w:rPr>
          <w:rFonts w:ascii="Times New Roman" w:eastAsia="Calibri" w:hAnsi="Times New Roman" w:cs="Times New Roman"/>
          <w:color w:val="000000"/>
          <w:sz w:val="24"/>
          <w:szCs w:val="24"/>
          <w:shd w:val="clear" w:color="auto" w:fill="FFFFFF"/>
        </w:rPr>
        <w:t>(</w:t>
      </w:r>
      <w:r w:rsidRPr="007A0407">
        <w:rPr>
          <w:rFonts w:ascii="Times New Roman" w:eastAsia="Calibri" w:hAnsi="Times New Roman" w:cs="Times New Roman"/>
          <w:i/>
          <w:color w:val="000000"/>
          <w:sz w:val="24"/>
          <w:szCs w:val="24"/>
          <w:shd w:val="clear" w:color="auto" w:fill="FFFFFF"/>
        </w:rPr>
        <w:t>Приета с ПМС № 256 от 13.11.2013 г., изм. и доп., бр. 2 от 8.01.2021 г</w:t>
      </w:r>
      <w:r w:rsidRPr="007A0407">
        <w:rPr>
          <w:rFonts w:ascii="Times New Roman" w:eastAsia="Calibri" w:hAnsi="Times New Roman" w:cs="Times New Roman"/>
          <w:color w:val="000000"/>
          <w:sz w:val="24"/>
          <w:szCs w:val="24"/>
          <w:shd w:val="clear" w:color="auto" w:fill="FFFFFF"/>
        </w:rPr>
        <w:t>.)</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color w:val="000000"/>
          <w:sz w:val="24"/>
          <w:szCs w:val="24"/>
        </w:rPr>
        <w:t>С наредбата се определят изискванията за разделното събиране, транспортирането, съхраняването, предварителното третиране, повторната употреба, рециклирането, оползотворяването и/или обезвреждането на излязло от употреба електрическо и електронно оборудване (ИУЕЕО).</w:t>
      </w:r>
    </w:p>
    <w:p w:rsidR="007A0407" w:rsidRPr="007A0407" w:rsidRDefault="007A0407" w:rsidP="007A0407">
      <w:pPr>
        <w:spacing w:after="0" w:line="276" w:lineRule="auto"/>
        <w:jc w:val="both"/>
        <w:rPr>
          <w:rFonts w:ascii="Times New Roman" w:eastAsia="Calibri" w:hAnsi="Times New Roman" w:cs="Times New Roman"/>
          <w:bCs/>
          <w:color w:val="000000"/>
          <w:sz w:val="24"/>
          <w:szCs w:val="24"/>
        </w:rPr>
      </w:pPr>
      <w:r w:rsidRPr="007A0407">
        <w:rPr>
          <w:rFonts w:ascii="Times New Roman" w:eastAsia="Calibri" w:hAnsi="Times New Roman" w:cs="Times New Roman"/>
          <w:bCs/>
          <w:color w:val="000000"/>
          <w:sz w:val="24"/>
          <w:szCs w:val="24"/>
        </w:rPr>
        <w:t>С изменението на наредбата от 2021 г. се въведоха изискванията по прилагането на:</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2012/19/ЕС на Европейския парламент и на Съвета от 4 юли 2012 г. относно отпадъци от електрическо и електронно оборудване (ОВ, L 197 от 24 юли 2012 г.);</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2018/849/ЕС на Европейския парламент и на Съвета от 30 май 2018 година за изменение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(ОB, L 150 от 14 юни 2018 г.)</w:t>
      </w:r>
    </w:p>
    <w:p w:rsidR="007A0407" w:rsidRPr="007A0407" w:rsidRDefault="007A0407" w:rsidP="007A0407">
      <w:pPr>
        <w:numPr>
          <w:ilvl w:val="0"/>
          <w:numId w:val="40"/>
        </w:numPr>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Директива (ЕС) 2018/851 на Европейския парламент и на Съвета от 30 май 2018 година за изменение на Директива 2008/98/ЕО относно отпадъците (ОB, L 150 от 14 юни 2018 г.)</w:t>
      </w:r>
    </w:p>
    <w:p w:rsidR="007A0407" w:rsidRPr="007A0407" w:rsidRDefault="007A0407" w:rsidP="007A0407">
      <w:pPr>
        <w:spacing w:after="0" w:line="276" w:lineRule="auto"/>
        <w:jc w:val="both"/>
        <w:rPr>
          <w:rFonts w:ascii="Times New Roman" w:eastAsia="Calibri"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en-GB"/>
        </w:rPr>
        <w:t xml:space="preserve">С изменението на наредбата се въвежда по-голяма яснота относно дейността на организациите по оползотворяване и лицата с индивидуално изпълнение. </w:t>
      </w:r>
      <w:r w:rsidRPr="007A0407">
        <w:rPr>
          <w:rFonts w:ascii="Times New Roman" w:eastAsia="Calibri" w:hAnsi="Times New Roman" w:cs="Times New Roman"/>
          <w:color w:val="000000"/>
          <w:sz w:val="24"/>
          <w:szCs w:val="24"/>
        </w:rPr>
        <w:t>По отношение на схемите за разширена отговорност на производителя са определени изисквания за прилагане на икономически инструменти, както и изискване за въвеждане на системи за отчитане и ефективен контрол.</w:t>
      </w:r>
    </w:p>
    <w:p w:rsidR="007A0407" w:rsidRPr="007A0407" w:rsidRDefault="007A0407" w:rsidP="007A0407">
      <w:pPr>
        <w:spacing w:after="0" w:line="276" w:lineRule="auto"/>
        <w:jc w:val="both"/>
        <w:rPr>
          <w:rFonts w:ascii="Times New Roman" w:eastAsia="Calibri" w:hAnsi="Times New Roman" w:cs="Times New Roman"/>
          <w:color w:val="000000"/>
          <w:sz w:val="24"/>
          <w:szCs w:val="24"/>
          <w:shd w:val="clear" w:color="auto" w:fill="FFFFFF"/>
        </w:rPr>
      </w:pPr>
      <w:r w:rsidRPr="007A0407">
        <w:rPr>
          <w:rFonts w:ascii="Times New Roman" w:eastAsia="Calibri" w:hAnsi="Times New Roman" w:cs="Times New Roman"/>
          <w:color w:val="000000"/>
          <w:sz w:val="24"/>
          <w:szCs w:val="24"/>
          <w:shd w:val="clear" w:color="auto" w:fill="FFFFFF"/>
        </w:rPr>
        <w:t>Наредбата цели да се подобри събирането, повторната употреба и рециклиране на излязло от употреба електрическо и електронно оборудване (ИУЕЕО), така че да се допринесе за намаляването на отпадъците и за ефективното използване на ресурсите.</w:t>
      </w:r>
    </w:p>
    <w:p w:rsidR="007A0407" w:rsidRPr="007A0407" w:rsidRDefault="007A0407" w:rsidP="007A0407">
      <w:pPr>
        <w:spacing w:after="0" w:line="276" w:lineRule="auto"/>
        <w:jc w:val="both"/>
        <w:rPr>
          <w:rFonts w:ascii="Times New Roman" w:eastAsia="Calibri" w:hAnsi="Times New Roman" w:cs="Times New Roman"/>
          <w:color w:val="000000"/>
          <w:sz w:val="24"/>
          <w:szCs w:val="24"/>
          <w:shd w:val="clear" w:color="auto" w:fill="FFFFFF"/>
        </w:rPr>
      </w:pPr>
    </w:p>
    <w:p w:rsidR="007A0407" w:rsidRPr="007A0407" w:rsidRDefault="007A0407" w:rsidP="007A0407">
      <w:pPr>
        <w:numPr>
          <w:ilvl w:val="0"/>
          <w:numId w:val="34"/>
        </w:numPr>
        <w:tabs>
          <w:tab w:val="left" w:pos="426"/>
        </w:tabs>
        <w:spacing w:after="0" w:line="276" w:lineRule="auto"/>
        <w:contextualSpacing/>
        <w:jc w:val="both"/>
        <w:rPr>
          <w:rFonts w:ascii="Times New Roman" w:eastAsia="Times New Roman" w:hAnsi="Times New Roman" w:cs="Times New Roman"/>
          <w:b/>
          <w:bCs/>
          <w:i/>
          <w:color w:val="000000"/>
          <w:sz w:val="24"/>
          <w:szCs w:val="24"/>
          <w:lang w:eastAsia="en-GB"/>
        </w:rPr>
      </w:pPr>
      <w:r w:rsidRPr="007A0407">
        <w:rPr>
          <w:rFonts w:ascii="Times New Roman" w:eastAsia="Times New Roman" w:hAnsi="Times New Roman" w:cs="Times New Roman"/>
          <w:b/>
          <w:bCs/>
          <w:i/>
          <w:color w:val="000000"/>
          <w:sz w:val="24"/>
          <w:szCs w:val="24"/>
          <w:lang w:eastAsia="en-GB"/>
        </w:rPr>
        <w:t xml:space="preserve">Наредба за условията и изискванията за изграждане и експлоатация на депа и на други съоръжения и инсталации за оползотворяване и обезвреждане на отпадъци </w:t>
      </w:r>
      <w:r w:rsidRPr="007A0407">
        <w:rPr>
          <w:rFonts w:ascii="Times New Roman" w:eastAsia="Times New Roman" w:hAnsi="Times New Roman" w:cs="Times New Roman"/>
          <w:bCs/>
          <w:i/>
          <w:color w:val="000000"/>
          <w:sz w:val="24"/>
          <w:szCs w:val="24"/>
          <w:lang w:eastAsia="en-GB"/>
        </w:rPr>
        <w:t>(</w:t>
      </w:r>
      <w:proofErr w:type="spellStart"/>
      <w:r w:rsidRPr="007A0407">
        <w:rPr>
          <w:rFonts w:ascii="Times New Roman" w:eastAsia="Times New Roman" w:hAnsi="Times New Roman" w:cs="Times New Roman"/>
          <w:bCs/>
          <w:i/>
          <w:color w:val="000000"/>
          <w:sz w:val="24"/>
          <w:szCs w:val="24"/>
          <w:lang w:eastAsia="en-GB"/>
        </w:rPr>
        <w:t>О</w:t>
      </w:r>
      <w:r w:rsidRPr="007A0407">
        <w:rPr>
          <w:rFonts w:ascii="Times New Roman" w:eastAsia="Calibri" w:hAnsi="Times New Roman" w:cs="Times New Roman"/>
          <w:i/>
          <w:color w:val="000000"/>
          <w:sz w:val="24"/>
          <w:szCs w:val="24"/>
          <w:shd w:val="clear" w:color="auto" w:fill="FEFEFE"/>
        </w:rPr>
        <w:t>бн</w:t>
      </w:r>
      <w:proofErr w:type="spellEnd"/>
      <w:r w:rsidRPr="007A0407">
        <w:rPr>
          <w:rFonts w:ascii="Times New Roman" w:eastAsia="Calibri" w:hAnsi="Times New Roman" w:cs="Times New Roman"/>
          <w:i/>
          <w:color w:val="000000"/>
          <w:sz w:val="24"/>
          <w:szCs w:val="24"/>
          <w:shd w:val="clear" w:color="auto" w:fill="FEFEFE"/>
        </w:rPr>
        <w:t xml:space="preserve">. ДВ. бр.80 от 13 Септември 2013г., изм. и доп. ДВ. бр.13 от 7 Февруари 2017г., в сила от 01.05.2021г., </w:t>
      </w:r>
      <w:proofErr w:type="spellStart"/>
      <w:r w:rsidRPr="007A0407">
        <w:rPr>
          <w:rFonts w:ascii="Times New Roman" w:eastAsia="Calibri" w:hAnsi="Times New Roman" w:cs="Times New Roman"/>
          <w:i/>
          <w:color w:val="000000"/>
          <w:sz w:val="24"/>
          <w:szCs w:val="24"/>
          <w:shd w:val="clear" w:color="auto" w:fill="FEFEFE"/>
        </w:rPr>
        <w:t>обн.ДВ</w:t>
      </w:r>
      <w:proofErr w:type="spellEnd"/>
      <w:r w:rsidRPr="007A0407">
        <w:rPr>
          <w:rFonts w:ascii="Times New Roman" w:eastAsia="Calibri" w:hAnsi="Times New Roman" w:cs="Times New Roman"/>
          <w:i/>
          <w:color w:val="000000"/>
          <w:sz w:val="24"/>
          <w:szCs w:val="24"/>
          <w:shd w:val="clear" w:color="auto" w:fill="FEFEFE"/>
        </w:rPr>
        <w:t>. бр.36 )</w:t>
      </w:r>
    </w:p>
    <w:p w:rsidR="007A0407" w:rsidRPr="00F93CE6" w:rsidRDefault="007A0407" w:rsidP="007A0407">
      <w:pPr>
        <w:tabs>
          <w:tab w:val="left" w:pos="284"/>
          <w:tab w:val="left" w:pos="426"/>
        </w:tabs>
        <w:spacing w:after="0" w:line="276" w:lineRule="auto"/>
        <w:jc w:val="both"/>
        <w:rPr>
          <w:rFonts w:ascii="Times New Roman" w:eastAsia="Calibri" w:hAnsi="Times New Roman" w:cs="Times New Roman"/>
          <w:color w:val="0070C0"/>
          <w:sz w:val="24"/>
          <w:szCs w:val="24"/>
        </w:rPr>
      </w:pPr>
      <w:r w:rsidRPr="007A0407">
        <w:rPr>
          <w:rFonts w:ascii="Times New Roman" w:eastAsia="Calibri" w:hAnsi="Times New Roman" w:cs="Times New Roman"/>
          <w:color w:val="000000"/>
          <w:sz w:val="24"/>
          <w:szCs w:val="24"/>
        </w:rPr>
        <w:tab/>
      </w:r>
      <w:r w:rsidRPr="007A0407">
        <w:rPr>
          <w:rFonts w:ascii="Times New Roman" w:eastAsia="Calibri" w:hAnsi="Times New Roman" w:cs="Times New Roman"/>
          <w:color w:val="000000"/>
          <w:sz w:val="24"/>
          <w:szCs w:val="24"/>
        </w:rPr>
        <w:tab/>
      </w:r>
      <w:r w:rsidRPr="007A0407">
        <w:rPr>
          <w:rFonts w:ascii="Times New Roman" w:eastAsia="Calibri" w:hAnsi="Times New Roman" w:cs="Times New Roman"/>
          <w:color w:val="000000"/>
          <w:sz w:val="24"/>
          <w:szCs w:val="24"/>
        </w:rPr>
        <w:tab/>
        <w:t xml:space="preserve">Към настоящият момент </w:t>
      </w:r>
      <w:r w:rsidRPr="00F93CE6">
        <w:rPr>
          <w:rFonts w:ascii="Times New Roman" w:eastAsia="Calibri" w:hAnsi="Times New Roman" w:cs="Times New Roman"/>
          <w:color w:val="0070C0"/>
          <w:sz w:val="24"/>
          <w:szCs w:val="24"/>
        </w:rPr>
        <w:t xml:space="preserve">вече са  </w:t>
      </w:r>
      <w:r w:rsidRPr="007A0407">
        <w:rPr>
          <w:rFonts w:ascii="Times New Roman" w:eastAsia="Calibri" w:hAnsi="Times New Roman" w:cs="Times New Roman"/>
          <w:color w:val="000000"/>
          <w:sz w:val="24"/>
          <w:szCs w:val="24"/>
        </w:rPr>
        <w:t xml:space="preserve">въведени промени към </w:t>
      </w:r>
      <w:r w:rsidRPr="007A0407">
        <w:rPr>
          <w:rFonts w:ascii="Times New Roman" w:eastAsia="Calibri" w:hAnsi="Times New Roman" w:cs="Times New Roman"/>
          <w:i/>
          <w:color w:val="000000"/>
          <w:sz w:val="24"/>
          <w:szCs w:val="24"/>
        </w:rPr>
        <w:t>Наредбата за условията и изискванията за изграждане и експлоатация на депа и на други съоръжения и инсталации за оползотворяване и обезвреждане на отпадъци</w:t>
      </w:r>
      <w:r w:rsidRPr="007A0407">
        <w:rPr>
          <w:rFonts w:ascii="Times New Roman" w:eastAsia="Calibri" w:hAnsi="Times New Roman" w:cs="Times New Roman"/>
          <w:color w:val="000000"/>
          <w:sz w:val="24"/>
          <w:szCs w:val="24"/>
        </w:rPr>
        <w:t xml:space="preserve">. </w:t>
      </w:r>
      <w:r w:rsidRPr="00F93CE6">
        <w:rPr>
          <w:rFonts w:ascii="Times New Roman" w:eastAsia="Calibri" w:hAnsi="Times New Roman" w:cs="Times New Roman"/>
          <w:color w:val="0070C0"/>
          <w:sz w:val="24"/>
          <w:szCs w:val="24"/>
        </w:rPr>
        <w:t xml:space="preserve">Въвеждат се </w:t>
      </w:r>
      <w:r w:rsidRPr="00F93CE6">
        <w:rPr>
          <w:rFonts w:ascii="Times New Roman" w:eastAsia="Times New Roman" w:hAnsi="Times New Roman" w:cs="Times New Roman"/>
          <w:color w:val="0070C0"/>
          <w:sz w:val="24"/>
          <w:szCs w:val="24"/>
          <w:lang w:eastAsia="bg-BG"/>
        </w:rPr>
        <w:t xml:space="preserve"> изискванията за постепенното намаляване депонирането на отпадъци, и по-специално на отпадъци, които са подходящи за рециклиране или друго оползотворяване.</w:t>
      </w:r>
      <w:r w:rsidR="00F93CE6" w:rsidRPr="00F93CE6">
        <w:rPr>
          <w:rFonts w:ascii="Times New Roman" w:eastAsia="Times New Roman" w:hAnsi="Times New Roman" w:cs="Times New Roman"/>
          <w:color w:val="0070C0"/>
          <w:sz w:val="24"/>
          <w:szCs w:val="24"/>
          <w:lang w:eastAsia="bg-BG"/>
        </w:rPr>
        <w:t xml:space="preserve"> </w:t>
      </w:r>
      <w:r w:rsidRPr="00F93CE6">
        <w:rPr>
          <w:rFonts w:ascii="Times New Roman" w:eastAsia="Times New Roman" w:hAnsi="Times New Roman" w:cs="Times New Roman"/>
          <w:color w:val="0070C0"/>
          <w:sz w:val="24"/>
          <w:szCs w:val="24"/>
          <w:lang w:eastAsia="bg-BG"/>
        </w:rPr>
        <w:t>Допълва се чл. 13, ал. 1 – не се допуска депонирането на разделно събрани битови отпадъци и биоотпадъци с цел подготвянето им за повторна употреба и рециклиране, с изключение на отпадъците от последващите действия по третирането на разделно събраните отпадъци, за които депонирането дава най-благоприятни за околната среда резултати в съответствие с йерархията при управление на отпадъците. Съществено изменение, което е вписано в наредбата и ще влезе в сила от 01.01.2030 г. е, че няма да се допуска депонирането на всички битови отпадъци, годни за рециклиране или друго оползотворяване, с изключение на отпадъци, за които депонирането дава най-благоприятни за околната среда резултати в съответствие с йерархията при управление на отпадъците. В чл. 38 се създава ал. 4, която гласи, че депонирането на отпадъците се прилага при спазване на йерархията при управление на отпадъците и при изпълнение на целите за подготовката за повторна употреба и на рециклирането съгласно чл. 31, ал. 1, т. 3 ЗУО. Допълнителните разпоредби уточняват и смисъла на "Неопасни отпадъци" са отпадъците по смисъла на § 1, т. 49 от допълнителните разпоредби на ЗУО."</w:t>
      </w:r>
    </w:p>
    <w:p w:rsidR="007A0407" w:rsidRPr="007A0407" w:rsidRDefault="007A0407" w:rsidP="007A0407">
      <w:pPr>
        <w:tabs>
          <w:tab w:val="left" w:pos="284"/>
          <w:tab w:val="left" w:pos="426"/>
        </w:tabs>
        <w:spacing w:after="0" w:line="276" w:lineRule="auto"/>
        <w:jc w:val="both"/>
        <w:rPr>
          <w:rFonts w:ascii="Times New Roman" w:eastAsia="Calibri" w:hAnsi="Times New Roman" w:cs="Times New Roman"/>
          <w:color w:val="000000"/>
          <w:sz w:val="24"/>
          <w:szCs w:val="24"/>
        </w:rPr>
      </w:pPr>
      <w:r w:rsidRPr="00F93CE6">
        <w:rPr>
          <w:rFonts w:ascii="Times New Roman" w:eastAsia="Calibri" w:hAnsi="Times New Roman" w:cs="Times New Roman"/>
          <w:color w:val="0070C0"/>
          <w:sz w:val="24"/>
          <w:szCs w:val="24"/>
        </w:rPr>
        <w:t xml:space="preserve">Актуализацията на </w:t>
      </w:r>
      <w:r w:rsidRPr="007A0407">
        <w:rPr>
          <w:rFonts w:ascii="Times New Roman" w:eastAsia="Calibri" w:hAnsi="Times New Roman" w:cs="Times New Roman"/>
          <w:color w:val="000000"/>
          <w:sz w:val="24"/>
          <w:szCs w:val="24"/>
        </w:rPr>
        <w:t xml:space="preserve">Наредбата </w:t>
      </w:r>
      <w:r w:rsidRPr="00F93CE6">
        <w:rPr>
          <w:rFonts w:ascii="Times New Roman" w:eastAsia="Calibri" w:hAnsi="Times New Roman" w:cs="Times New Roman"/>
          <w:color w:val="0070C0"/>
          <w:sz w:val="24"/>
          <w:szCs w:val="24"/>
        </w:rPr>
        <w:t xml:space="preserve">цели </w:t>
      </w:r>
      <w:r w:rsidRPr="007A0407">
        <w:rPr>
          <w:rFonts w:ascii="Times New Roman" w:eastAsia="Calibri" w:hAnsi="Times New Roman" w:cs="Times New Roman"/>
          <w:color w:val="000000"/>
          <w:sz w:val="24"/>
          <w:szCs w:val="24"/>
        </w:rPr>
        <w:t xml:space="preserve">да въведе част от изискванията на приетия на ниво ЕС през 2018 г. законодателен пакет „Отпадъци“, и по специално Директива (ЕС) 2018/850 на Европейския парламент и на Съвета от 30 май 2018 година за изменение на Директива 1999/31/ЕО относно депонирането на отпадъци. </w:t>
      </w:r>
    </w:p>
    <w:p w:rsidR="007A0407" w:rsidRPr="007A0407" w:rsidRDefault="007A0407" w:rsidP="007A0407">
      <w:pPr>
        <w:tabs>
          <w:tab w:val="left" w:pos="284"/>
          <w:tab w:val="left" w:pos="426"/>
        </w:tabs>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ab/>
      </w:r>
      <w:r w:rsidRPr="007A0407">
        <w:rPr>
          <w:rFonts w:ascii="Times New Roman" w:eastAsia="Calibri" w:hAnsi="Times New Roman" w:cs="Times New Roman"/>
          <w:color w:val="000000"/>
          <w:sz w:val="24"/>
          <w:szCs w:val="24"/>
        </w:rPr>
        <w:tab/>
      </w:r>
      <w:r w:rsidRPr="007A0407">
        <w:rPr>
          <w:rFonts w:ascii="Times New Roman" w:eastAsia="Calibri" w:hAnsi="Times New Roman" w:cs="Times New Roman"/>
          <w:color w:val="000000"/>
          <w:sz w:val="24"/>
          <w:szCs w:val="24"/>
        </w:rPr>
        <w:tab/>
        <w:t>С изменението на Директива 1999/31/ЕО е въведена цел за намаляване до 10 % на депонираните битови отпадъци до 2035 г., която може да бъде отложена с 5 г., при условие, че държавата е постигнала намаление до 25 % към същата година. Същевременно, от 2030 г. се въвежда ограничение за депониране на битови отпадъци, годни за рециклиране или друго оползотворяване</w:t>
      </w:r>
    </w:p>
    <w:p w:rsidR="007A0407" w:rsidRPr="007A0407" w:rsidRDefault="007A0407" w:rsidP="007A0407">
      <w:pPr>
        <w:spacing w:after="0" w:line="276" w:lineRule="auto"/>
        <w:ind w:firstLine="720"/>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 проекта на НИД на Наредба № 6 се цели отстраняване на нарушението за нетранспониране в срок на Директива (ЕС) 2018/850 на Европейския парламент и на Съвета от 30 май 2018 година за изменение на Директива 1999/31/ЕО относно депонирането на отпадъци.</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p>
    <w:p w:rsidR="007A0407" w:rsidRPr="007A0407" w:rsidRDefault="007A0407" w:rsidP="007A0407">
      <w:pPr>
        <w:numPr>
          <w:ilvl w:val="0"/>
          <w:numId w:val="34"/>
        </w:numPr>
        <w:tabs>
          <w:tab w:val="left" w:pos="426"/>
        </w:tabs>
        <w:spacing w:after="0" w:line="276" w:lineRule="auto"/>
        <w:ind w:hanging="720"/>
        <w:contextualSpacing/>
        <w:jc w:val="both"/>
        <w:rPr>
          <w:rFonts w:ascii="Times New Roman" w:eastAsia="Calibri" w:hAnsi="Times New Roman" w:cs="Times New Roman"/>
          <w:b/>
          <w:i/>
          <w:color w:val="000000"/>
          <w:sz w:val="24"/>
          <w:szCs w:val="24"/>
          <w:lang w:eastAsia="bg-BG"/>
        </w:rPr>
      </w:pPr>
      <w:r w:rsidRPr="007A0407">
        <w:rPr>
          <w:rFonts w:ascii="Times New Roman" w:eastAsia="Calibri" w:hAnsi="Times New Roman" w:cs="Times New Roman"/>
          <w:b/>
          <w:i/>
          <w:color w:val="000000"/>
          <w:sz w:val="24"/>
          <w:szCs w:val="24"/>
        </w:rPr>
        <w:t>Национален план за управление на отпадъците (НПУО) 2021 – 2028 г.</w:t>
      </w:r>
    </w:p>
    <w:p w:rsidR="007A0407" w:rsidRPr="007A0407" w:rsidRDefault="007A0407" w:rsidP="007A0407">
      <w:pPr>
        <w:spacing w:after="120" w:line="276" w:lineRule="auto"/>
        <w:jc w:val="both"/>
        <w:rPr>
          <w:rFonts w:ascii="Times New Roman" w:eastAsia="Calibri" w:hAnsi="Times New Roman" w:cs="Times New Roman"/>
          <w:color w:val="FF0000"/>
          <w:sz w:val="24"/>
          <w:szCs w:val="24"/>
        </w:rPr>
      </w:pPr>
      <w:r w:rsidRPr="007A0407">
        <w:rPr>
          <w:rFonts w:ascii="Times New Roman" w:eastAsia="Times New Roman" w:hAnsi="Times New Roman" w:cs="Times New Roman"/>
          <w:color w:val="000000"/>
          <w:sz w:val="24"/>
          <w:szCs w:val="24"/>
          <w:lang w:eastAsia="bg-BG"/>
        </w:rPr>
        <w:t xml:space="preserve">Националният план за управление на отпадъците (НПУО) е разработен в съответствие с чл. 28 и  чл.29 от Рамковата директива за отпадъци и чл. 49 и чл.50 от ЗУО. НПУО е част от цялостната национална система за планиране. При разработване на плана са взети предвид основните постановки за развитието на България с времеви хоризонт 2021 – 2028 г. </w:t>
      </w:r>
      <w:r w:rsidRPr="00D5031A">
        <w:rPr>
          <w:rFonts w:ascii="Times New Roman" w:eastAsia="Calibri" w:hAnsi="Times New Roman" w:cs="Times New Roman"/>
          <w:color w:val="0070C0"/>
          <w:sz w:val="24"/>
          <w:szCs w:val="24"/>
        </w:rPr>
        <w:t>НПУО и НППОО са разработени от МОСВ, с водеща дирекция „Управление на отпадъците и опазване на почвите” в процеса на разработване, консултации и одобрение. НПУО и НППОО бяха разработени в рамките на бюджетна линия № BG16M1OP002-6.002-0012 „Разработване на стратегически документи за програмен период 2021-2027 г.“ по Приоритетна ос 6 “Техническа помощ“ на оперативна програма „Околна среда 2014- 2020 г.“. След процедурата на обществени консултации и процедурата на екологична оценка, проведена по реда на ЗООС, НПУО и НППОО са одобрени с Решение № 459 на МС от 17.06.2021г</w:t>
      </w:r>
      <w:r w:rsidRPr="007A0407">
        <w:rPr>
          <w:rFonts w:ascii="Times New Roman" w:eastAsia="Calibri" w:hAnsi="Times New Roman" w:cs="Times New Roman"/>
          <w:color w:val="FF0000"/>
          <w:sz w:val="24"/>
          <w:szCs w:val="24"/>
        </w:rPr>
        <w:t>.</w:t>
      </w:r>
    </w:p>
    <w:p w:rsidR="007A0407" w:rsidRPr="007A0407" w:rsidRDefault="007A0407" w:rsidP="007A0407">
      <w:pPr>
        <w:widowControl w:val="0"/>
        <w:autoSpaceDE w:val="0"/>
        <w:autoSpaceDN w:val="0"/>
        <w:adjustRightInd w:val="0"/>
        <w:spacing w:after="0" w:line="276" w:lineRule="auto"/>
        <w:ind w:firstLine="720"/>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Генералната стратегическа цел на страната в сферата на управление на отпадъците е: „Общество и бизнес, които подобряват прилагането на йерархията на управление на отпадъците във всички процеси.“</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 xml:space="preserve">Формулирани са три стратегическите цели, гарантиращи постигането на генералната стратегическа цел, като следва: </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Цел 1: Намаляване на вредното въздействие на отпадъците чрез предотвратяване образуването им и насърчаване на повторното им използване</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Цел 2: Увеличаване на количествата на рециклираните и оползотворени отпадъци</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Цел 3: Намаляване на количествата и на риска от депонираните битови отпадъци</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Направени са прогнози и финансови разчети за необходимите инвестиции за постигане на целите на НПУО.</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Изпълнението на програмите с мерки от НПУО ще осигури достигане на националните цели за управление на отпадъците, произтичащи от европейското законодателство и ЗУО.</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Националния план за управление на отпадъците има следната структура и съдържание:</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Основни изводи от анализа на състоянието на управлението на отпадъците</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SWOT анализ (анализ на силните и слабите страни, възможностите и заплахите)</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Цели и подцели</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План за действие с Програми от мерки за постигане на целите</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Координация с други планове и програми</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Система за контрол на изпълнението, оценка на резултатите, отчети актуализация на  НПУО</w:t>
      </w:r>
    </w:p>
    <w:p w:rsidR="007A0407" w:rsidRPr="007A0407" w:rsidRDefault="007A0407" w:rsidP="007A0407">
      <w:pPr>
        <w:numPr>
          <w:ilvl w:val="0"/>
          <w:numId w:val="40"/>
        </w:num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Приложения, в които са представени - Подробните анализи за състоянието на управлението на отпадъците</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Times New Roman" w:hAnsi="Times New Roman" w:cs="Times New Roman"/>
          <w:color w:val="000000"/>
          <w:sz w:val="24"/>
          <w:szCs w:val="24"/>
          <w:lang w:eastAsia="bg-BG"/>
        </w:rPr>
        <w:t>Генералната стратегическа цел, която се поставя в НПУО е: „</w:t>
      </w:r>
      <w:r w:rsidRPr="007A0407">
        <w:rPr>
          <w:rFonts w:ascii="Times New Roman" w:eastAsia="Calibri" w:hAnsi="Times New Roman" w:cs="Times New Roman"/>
          <w:b/>
          <w:color w:val="000000"/>
          <w:sz w:val="24"/>
          <w:szCs w:val="24"/>
        </w:rPr>
        <w:t>Общество и бизнес, които подобряват прилагането на  йерархията на управление на отпадъците във всички процеси и нива</w:t>
      </w:r>
      <w:r w:rsidRPr="007A0407">
        <w:rPr>
          <w:rFonts w:ascii="Times New Roman" w:eastAsia="Calibri" w:hAnsi="Times New Roman" w:cs="Times New Roman"/>
          <w:color w:val="000000"/>
          <w:sz w:val="24"/>
          <w:szCs w:val="24"/>
        </w:rPr>
        <w:t>“. Стратегическите цели, гарантиращи постигането на генералната стратегическа цел и съответстващите на тях програми от мерки, разгледани в НПУО са:</w:t>
      </w:r>
    </w:p>
    <w:tbl>
      <w:tblPr>
        <w:tblOverlap w:val="never"/>
        <w:tblW w:w="9483" w:type="dxa"/>
        <w:tblInd w:w="10" w:type="dxa"/>
        <w:tblLayout w:type="fixed"/>
        <w:tblCellMar>
          <w:left w:w="10" w:type="dxa"/>
          <w:right w:w="10" w:type="dxa"/>
        </w:tblCellMar>
        <w:tblLook w:val="04A0" w:firstRow="1" w:lastRow="0" w:firstColumn="1" w:lastColumn="0" w:noHBand="0" w:noVBand="1"/>
      </w:tblPr>
      <w:tblGrid>
        <w:gridCol w:w="4096"/>
        <w:gridCol w:w="5387"/>
      </w:tblGrid>
      <w:tr w:rsidR="007A0407" w:rsidRPr="007A0407" w:rsidTr="00314E86">
        <w:trPr>
          <w:trHeight w:val="432"/>
        </w:trPr>
        <w:tc>
          <w:tcPr>
            <w:tcW w:w="4096" w:type="dxa"/>
            <w:tcBorders>
              <w:top w:val="single" w:sz="4" w:space="0" w:color="auto"/>
              <w:left w:val="single" w:sz="4" w:space="0" w:color="auto"/>
            </w:tcBorders>
            <w:shd w:val="clear" w:color="auto" w:fill="FFFFFF"/>
          </w:tcPr>
          <w:p w:rsidR="007A0407" w:rsidRPr="007A0407" w:rsidRDefault="007A0407" w:rsidP="007A0407">
            <w:pPr>
              <w:widowControl w:val="0"/>
              <w:spacing w:after="120" w:line="276" w:lineRule="auto"/>
              <w:jc w:val="center"/>
              <w:rPr>
                <w:rFonts w:ascii="Times New Roman" w:eastAsia="Calibri" w:hAnsi="Times New Roman" w:cs="Times New Roman"/>
                <w:b/>
                <w:color w:val="000000"/>
                <w:sz w:val="24"/>
                <w:szCs w:val="24"/>
              </w:rPr>
            </w:pPr>
            <w:bookmarkStart w:id="5" w:name="_Hlk51161912"/>
            <w:r w:rsidRPr="007A0407">
              <w:rPr>
                <w:rFonts w:ascii="Times New Roman" w:eastAsia="Calibri" w:hAnsi="Times New Roman" w:cs="Times New Roman"/>
                <w:b/>
                <w:color w:val="000000"/>
                <w:sz w:val="24"/>
                <w:szCs w:val="24"/>
              </w:rPr>
              <w:t>Цел</w:t>
            </w:r>
          </w:p>
        </w:tc>
        <w:tc>
          <w:tcPr>
            <w:tcW w:w="5387" w:type="dxa"/>
            <w:tcBorders>
              <w:top w:val="single" w:sz="4" w:space="0" w:color="auto"/>
              <w:left w:val="single" w:sz="4" w:space="0" w:color="auto"/>
              <w:right w:val="single" w:sz="4" w:space="0" w:color="auto"/>
            </w:tcBorders>
            <w:shd w:val="clear" w:color="auto" w:fill="FFFFFF"/>
          </w:tcPr>
          <w:p w:rsidR="007A0407" w:rsidRPr="007A0407" w:rsidRDefault="007A0407" w:rsidP="007A0407">
            <w:pPr>
              <w:widowControl w:val="0"/>
              <w:spacing w:after="120" w:line="276" w:lineRule="auto"/>
              <w:jc w:val="center"/>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Програма</w:t>
            </w:r>
          </w:p>
        </w:tc>
      </w:tr>
      <w:tr w:rsidR="007A0407" w:rsidRPr="007A0407" w:rsidTr="00314E86">
        <w:trPr>
          <w:trHeight w:val="1734"/>
        </w:trPr>
        <w:tc>
          <w:tcPr>
            <w:tcW w:w="4096" w:type="dxa"/>
            <w:tcBorders>
              <w:top w:val="single" w:sz="4" w:space="0" w:color="auto"/>
              <w:left w:val="single" w:sz="4" w:space="0" w:color="auto"/>
            </w:tcBorders>
            <w:shd w:val="clear" w:color="auto" w:fill="FFFFFF"/>
          </w:tcPr>
          <w:p w:rsidR="007A0407" w:rsidRPr="007A0407" w:rsidRDefault="007A0407" w:rsidP="007A0407">
            <w:pPr>
              <w:widowControl w:val="0"/>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Цел 1: Намаляване на вредното въздействие на отпадъците чрез предотвратяване образуването им и насърчаване на повторното им използване</w:t>
            </w:r>
          </w:p>
        </w:tc>
        <w:tc>
          <w:tcPr>
            <w:tcW w:w="5387" w:type="dxa"/>
            <w:tcBorders>
              <w:top w:val="single" w:sz="4" w:space="0" w:color="auto"/>
              <w:left w:val="single" w:sz="4" w:space="0" w:color="auto"/>
              <w:right w:val="single" w:sz="4" w:space="0" w:color="auto"/>
            </w:tcBorders>
            <w:shd w:val="clear" w:color="auto" w:fill="FFFFFF"/>
          </w:tcPr>
          <w:p w:rsidR="007A0407" w:rsidRPr="007A0407" w:rsidRDefault="007A0407" w:rsidP="007A0407">
            <w:pPr>
              <w:widowControl w:val="0"/>
              <w:spacing w:after="120" w:line="276" w:lineRule="auto"/>
              <w:ind w:left="55"/>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Национална програма за предотвратяване образуването на отпадъци с Подпрограма за предотвратяване на образуването на хранителни отпадъци</w:t>
            </w:r>
            <w:r w:rsidRPr="007A0407" w:rsidDel="00AE463C">
              <w:rPr>
                <w:rFonts w:ascii="Times New Roman" w:eastAsia="Calibri" w:hAnsi="Times New Roman" w:cs="Times New Roman"/>
                <w:color w:val="000000"/>
                <w:sz w:val="24"/>
                <w:szCs w:val="24"/>
              </w:rPr>
              <w:t xml:space="preserve"> </w:t>
            </w:r>
          </w:p>
        </w:tc>
      </w:tr>
      <w:tr w:rsidR="007A0407" w:rsidRPr="007A0407" w:rsidTr="00314E86">
        <w:trPr>
          <w:trHeight w:val="3092"/>
        </w:trPr>
        <w:tc>
          <w:tcPr>
            <w:tcW w:w="4096" w:type="dxa"/>
            <w:tcBorders>
              <w:top w:val="single" w:sz="4" w:space="0" w:color="auto"/>
              <w:left w:val="single" w:sz="4" w:space="0" w:color="auto"/>
              <w:bottom w:val="single" w:sz="4" w:space="0" w:color="auto"/>
            </w:tcBorders>
            <w:shd w:val="clear" w:color="auto" w:fill="FFFFFF"/>
          </w:tcPr>
          <w:p w:rsidR="007A0407" w:rsidRPr="007A0407" w:rsidRDefault="007A0407" w:rsidP="007A0407">
            <w:pPr>
              <w:widowControl w:val="0"/>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Цел 2: Увеличаване на количествата на рециклираните и оползотворени отпадъци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A0407" w:rsidRPr="007A0407" w:rsidRDefault="007A0407" w:rsidP="007A0407">
            <w:pPr>
              <w:widowControl w:val="0"/>
              <w:tabs>
                <w:tab w:val="left" w:pos="-14"/>
              </w:tabs>
              <w:spacing w:after="120" w:line="276" w:lineRule="auto"/>
              <w:ind w:left="55"/>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Програма за достигане на целите за подготовка за повторна употреба и за рециклиране на битовите отпадъци</w:t>
            </w:r>
          </w:p>
          <w:p w:rsidR="007A0407" w:rsidRPr="007A0407" w:rsidRDefault="007A0407" w:rsidP="007A0407">
            <w:pPr>
              <w:widowControl w:val="0"/>
              <w:tabs>
                <w:tab w:val="left" w:pos="-14"/>
              </w:tabs>
              <w:spacing w:after="120" w:line="276" w:lineRule="auto"/>
              <w:ind w:left="55"/>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Програма за достигане на целите за рециклиране и оползотворяване на строителни отпадъци и отпадъци от разрушаване на сгради</w:t>
            </w:r>
          </w:p>
          <w:p w:rsidR="007A0407" w:rsidRPr="007A0407" w:rsidRDefault="007A0407" w:rsidP="007A0407">
            <w:pPr>
              <w:widowControl w:val="0"/>
              <w:tabs>
                <w:tab w:val="left" w:pos="-14"/>
              </w:tabs>
              <w:spacing w:after="120" w:line="276" w:lineRule="auto"/>
              <w:ind w:left="55"/>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Програма за достигане на целите за рециклиране и оползотворяване на МРО с </w:t>
            </w:r>
          </w:p>
          <w:p w:rsidR="007A0407" w:rsidRPr="007A0407" w:rsidRDefault="007A0407" w:rsidP="007A0407">
            <w:pPr>
              <w:widowControl w:val="0"/>
              <w:tabs>
                <w:tab w:val="left" w:pos="-14"/>
              </w:tabs>
              <w:spacing w:after="120" w:line="276" w:lineRule="auto"/>
              <w:ind w:left="55"/>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Подпрограма за управление на опаковките и отпадъците от опаковки</w:t>
            </w:r>
          </w:p>
        </w:tc>
      </w:tr>
      <w:tr w:rsidR="007A0407" w:rsidRPr="007A0407" w:rsidTr="00314E86">
        <w:trPr>
          <w:trHeight w:val="686"/>
        </w:trPr>
        <w:tc>
          <w:tcPr>
            <w:tcW w:w="4096" w:type="dxa"/>
            <w:tcBorders>
              <w:top w:val="single" w:sz="4" w:space="0" w:color="auto"/>
              <w:left w:val="single" w:sz="4" w:space="0" w:color="auto"/>
              <w:bottom w:val="single" w:sz="4" w:space="0" w:color="auto"/>
            </w:tcBorders>
            <w:shd w:val="clear" w:color="auto" w:fill="FFFFFF"/>
          </w:tcPr>
          <w:p w:rsidR="007A0407" w:rsidRPr="007A0407" w:rsidRDefault="007A0407" w:rsidP="007A0407">
            <w:pPr>
              <w:widowControl w:val="0"/>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Цел 3: Намаляване на количествата и на риска от депонираните битови отпадъци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7A0407" w:rsidRPr="007A0407" w:rsidRDefault="007A0407" w:rsidP="007A0407">
            <w:pPr>
              <w:widowControl w:val="0"/>
              <w:spacing w:after="120" w:line="276" w:lineRule="auto"/>
              <w:ind w:left="55"/>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Програма за намаляване на количествата и на риска от депонираните битови отпадъци</w:t>
            </w:r>
          </w:p>
        </w:tc>
      </w:tr>
      <w:bookmarkEnd w:id="5"/>
    </w:tbl>
    <w:p w:rsidR="007A0407" w:rsidRPr="007A0407" w:rsidRDefault="007A0407" w:rsidP="007A0407">
      <w:pPr>
        <w:spacing w:after="120" w:line="276" w:lineRule="auto"/>
        <w:jc w:val="both"/>
        <w:rPr>
          <w:rFonts w:ascii="Times New Roman" w:eastAsia="Calibri" w:hAnsi="Times New Roman" w:cs="Times New Roman"/>
          <w:b/>
          <w:color w:val="000000"/>
          <w:sz w:val="24"/>
          <w:szCs w:val="24"/>
        </w:rPr>
      </w:pP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Всяка една от програмите (</w:t>
      </w:r>
      <w:r w:rsidRPr="007A0407">
        <w:rPr>
          <w:rFonts w:ascii="Times New Roman" w:eastAsia="Tahoma" w:hAnsi="Times New Roman" w:cs="Times New Roman"/>
          <w:color w:val="000000"/>
          <w:sz w:val="24"/>
          <w:szCs w:val="24"/>
          <w:lang w:eastAsia="bg-BG" w:bidi="bg-BG"/>
        </w:rPr>
        <w:t>подпрограмите</w:t>
      </w:r>
      <w:r w:rsidRPr="007A0407">
        <w:rPr>
          <w:rFonts w:ascii="Times New Roman" w:eastAsia="Calibri" w:hAnsi="Times New Roman" w:cs="Times New Roman"/>
          <w:color w:val="000000"/>
          <w:sz w:val="24"/>
          <w:szCs w:val="24"/>
        </w:rPr>
        <w:t>) към НПУО 2021-2028 г. съдържа кратко описание, а в таблицата към нея представя всички бъдещи мерки с източници на финансиране, които основно са общински и държавен бюджет, средства от европейски структурни и инвестиционни фондове, бюджет на ПУДООС и др. Тъй като общините имат сериозни отговорности по управление на отпадъците, това предполага и предвиждането на значителни общински финансови средства.</w:t>
      </w: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Програмите (подпрограмите) съдържат както инвестиционни мерки, така и неинвестиционни - "меки" мерки.</w:t>
      </w: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ab/>
        <w:t>„Инвестиционните мерки“ включват основно изграждането на инфраструктура. Инвестиционните мерки за различните видове инсталации са остойностени на базата на капацитета на инсталациите в съответствие с избрания от МОСВ сценарий за бъдещото развитие на политиката по управление на отпадъците в следващия програмен период и средни инвестиции на тон/капацитет от сключените договори по ОПОС 2014-2020 г. за изграждане на регионални системи за управление на отпадъците. Инвестиционните мерки за съдове, транспортни средства, компостери и др. са остойностени на базата на съответния брой съдове/транспортни средства и др., идентифициран в резултат на анализите и прогнозите и съответните средни цени в резултат на пазарно проучване.</w:t>
      </w: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ab/>
        <w:t>"Меките мерки“ включват разнообразни дейности в т.ч.: нормативни промени; назначаване на служители; обучение на служители; подготовка на покани за подаване на проекти; подготовка на проекти; разработване на методики, инструкции и др. административни актове; изпълнение на контролни дейности; провеждане на информационни кампании; разработване и внедряване на информационни системи и др. Част от тях са остойностени на базата на информация за изпълнението на сходни дейности и експертни допускания. Другата част от "меките" мерки не са остойностени. Такива са мерките, влизащи в обхвата на дейностите, изпълнявани от съответните институции, отговарящи за изпълнението на съответната мярка напр. МОСВ, РИОСВ, общините и др. и са финансирани от бюджета на дейността на съответната институция.</w:t>
      </w:r>
    </w:p>
    <w:p w:rsidR="007A0407" w:rsidRPr="007A0407" w:rsidRDefault="007A0407" w:rsidP="007A0407">
      <w:pPr>
        <w:spacing w:after="120" w:line="276" w:lineRule="auto"/>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 xml:space="preserve">Приблизителната стойност на програмите, заложени в Плана, е 1 </w:t>
      </w:r>
      <w:r w:rsidRPr="007A0407">
        <w:rPr>
          <w:rFonts w:ascii="Times New Roman" w:eastAsia="Calibri" w:hAnsi="Times New Roman" w:cs="Times New Roman"/>
          <w:b/>
          <w:bCs/>
          <w:color w:val="000000"/>
          <w:sz w:val="24"/>
          <w:szCs w:val="24"/>
          <w:shd w:val="clear" w:color="auto" w:fill="FFFFFF"/>
        </w:rPr>
        <w:t xml:space="preserve">милиард 688 милиона лева и е </w:t>
      </w:r>
      <w:r w:rsidRPr="007A0407">
        <w:rPr>
          <w:rFonts w:ascii="Times New Roman" w:eastAsia="Calibri" w:hAnsi="Times New Roman" w:cs="Times New Roman"/>
          <w:b/>
          <w:color w:val="000000"/>
          <w:sz w:val="24"/>
          <w:szCs w:val="24"/>
        </w:rPr>
        <w:t>представена в следващата таблица.</w:t>
      </w:r>
    </w:p>
    <w:tbl>
      <w:tblPr>
        <w:tblW w:w="0" w:type="auto"/>
        <w:jc w:val="center"/>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shd w:val="clear" w:color="auto" w:fill="FFFFFF"/>
        <w:tblLook w:val="04A0" w:firstRow="1" w:lastRow="0" w:firstColumn="1" w:lastColumn="0" w:noHBand="0" w:noVBand="1"/>
      </w:tblPr>
      <w:tblGrid>
        <w:gridCol w:w="7455"/>
        <w:gridCol w:w="1587"/>
      </w:tblGrid>
      <w:tr w:rsidR="007A0407" w:rsidRPr="007A0407" w:rsidTr="00314E86">
        <w:trPr>
          <w:tblHeader/>
          <w:jc w:val="center"/>
        </w:trPr>
        <w:tc>
          <w:tcPr>
            <w:tcW w:w="7455" w:type="dxa"/>
            <w:shd w:val="clear" w:color="auto" w:fill="BFBFBF"/>
          </w:tcPr>
          <w:p w:rsidR="007A0407" w:rsidRPr="007A0407" w:rsidRDefault="007A0407" w:rsidP="007A0407">
            <w:pPr>
              <w:spacing w:after="120" w:line="276" w:lineRule="auto"/>
              <w:jc w:val="center"/>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Програма</w:t>
            </w:r>
          </w:p>
        </w:tc>
        <w:tc>
          <w:tcPr>
            <w:tcW w:w="1587" w:type="dxa"/>
            <w:shd w:val="clear" w:color="auto" w:fill="BFBFBF"/>
          </w:tcPr>
          <w:p w:rsidR="007A0407" w:rsidRPr="007A0407" w:rsidRDefault="007A0407" w:rsidP="007A0407">
            <w:pPr>
              <w:spacing w:after="120" w:line="276" w:lineRule="auto"/>
              <w:jc w:val="center"/>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 xml:space="preserve">Стойност </w:t>
            </w:r>
          </w:p>
          <w:p w:rsidR="007A0407" w:rsidRPr="007A0407" w:rsidRDefault="007A0407" w:rsidP="007A0407">
            <w:pPr>
              <w:spacing w:after="120" w:line="276" w:lineRule="auto"/>
              <w:jc w:val="center"/>
              <w:rPr>
                <w:rFonts w:ascii="Times New Roman" w:eastAsia="Times New Roman" w:hAnsi="Times New Roman" w:cs="Times New Roman"/>
                <w:b/>
                <w:bCs/>
                <w:color w:val="000000"/>
                <w:sz w:val="24"/>
                <w:szCs w:val="24"/>
              </w:rPr>
            </w:pPr>
            <w:r w:rsidRPr="007A0407">
              <w:rPr>
                <w:rFonts w:ascii="Times New Roman" w:eastAsia="Times New Roman" w:hAnsi="Times New Roman" w:cs="Times New Roman"/>
                <w:b/>
                <w:bCs/>
                <w:color w:val="000000"/>
                <w:sz w:val="24"/>
                <w:szCs w:val="24"/>
              </w:rPr>
              <w:t>(млн. лв.)</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 xml:space="preserve">Програма </w:t>
            </w:r>
            <w:r w:rsidRPr="007A0407">
              <w:rPr>
                <w:rFonts w:ascii="Times New Roman" w:eastAsia="Calibri" w:hAnsi="Times New Roman" w:cs="Times New Roman"/>
                <w:color w:val="000000"/>
                <w:sz w:val="24"/>
                <w:szCs w:val="24"/>
              </w:rPr>
              <w:t>за предотвратяване на образуването на отпадъци</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241,178</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Подпрограма</w:t>
            </w:r>
            <w:r w:rsidRPr="007A0407">
              <w:rPr>
                <w:rFonts w:ascii="Times New Roman" w:eastAsia="Calibri" w:hAnsi="Times New Roman" w:cs="Times New Roman"/>
                <w:i/>
                <w:color w:val="000000"/>
                <w:sz w:val="24"/>
                <w:szCs w:val="24"/>
              </w:rPr>
              <w:t xml:space="preserve"> </w:t>
            </w:r>
            <w:r w:rsidRPr="007A0407">
              <w:rPr>
                <w:rFonts w:ascii="Times New Roman" w:eastAsia="Calibri" w:hAnsi="Times New Roman" w:cs="Times New Roman"/>
                <w:color w:val="000000"/>
                <w:sz w:val="24"/>
                <w:szCs w:val="24"/>
              </w:rPr>
              <w:t>за предотвратяване на образуването на хранителни отпадъци</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74,65</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Програма</w:t>
            </w:r>
            <w:r w:rsidRPr="007A0407">
              <w:rPr>
                <w:rFonts w:ascii="Times New Roman" w:eastAsia="Calibri" w:hAnsi="Times New Roman" w:cs="Times New Roman"/>
                <w:color w:val="000000"/>
                <w:sz w:val="24"/>
                <w:szCs w:val="24"/>
              </w:rPr>
              <w:t xml:space="preserve"> за достигане на целите за подготовка за повторна употреба и за рециклиране на битовите отпадъци</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617,70</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Програма</w:t>
            </w:r>
            <w:r w:rsidRPr="007A0407">
              <w:rPr>
                <w:rFonts w:ascii="Times New Roman" w:eastAsia="Calibri" w:hAnsi="Times New Roman" w:cs="Times New Roman"/>
                <w:color w:val="000000"/>
                <w:sz w:val="24"/>
                <w:szCs w:val="24"/>
              </w:rPr>
              <w:t xml:space="preserve"> за достигане на целите за рециклиране и оползотворяване на строителни отпадъци и отпадъци от разрушаване на сгради</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89,983</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 xml:space="preserve">Програма </w:t>
            </w:r>
            <w:r w:rsidRPr="007A0407">
              <w:rPr>
                <w:rFonts w:ascii="Times New Roman" w:eastAsia="Calibri" w:hAnsi="Times New Roman" w:cs="Times New Roman"/>
                <w:color w:val="000000"/>
                <w:sz w:val="24"/>
                <w:szCs w:val="24"/>
              </w:rPr>
              <w:t>за достигане на целите за рециклиране и оползотворяване на Масово разпространени отпадъци</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3,7</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Подпрограма</w:t>
            </w:r>
            <w:r w:rsidRPr="007A0407">
              <w:rPr>
                <w:rFonts w:ascii="Times New Roman" w:eastAsia="Calibri" w:hAnsi="Times New Roman" w:cs="Times New Roman"/>
                <w:color w:val="000000"/>
                <w:sz w:val="24"/>
                <w:szCs w:val="24"/>
              </w:rPr>
              <w:t xml:space="preserve"> за управление на опаковките и отпадъците от опаковки</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43,57</w:t>
            </w:r>
          </w:p>
        </w:tc>
      </w:tr>
      <w:tr w:rsidR="007A0407" w:rsidRPr="007A0407" w:rsidTr="00314E86">
        <w:trPr>
          <w:jc w:val="center"/>
        </w:trPr>
        <w:tc>
          <w:tcPr>
            <w:tcW w:w="7455" w:type="dxa"/>
            <w:shd w:val="clear" w:color="auto" w:fill="FFFFFF"/>
            <w:vAlign w:val="bottom"/>
          </w:tcPr>
          <w:p w:rsidR="007A0407" w:rsidRPr="007A0407" w:rsidRDefault="007A0407" w:rsidP="007A0407">
            <w:pPr>
              <w:spacing w:after="120" w:line="276" w:lineRule="auto"/>
              <w:rPr>
                <w:rFonts w:ascii="Times New Roman" w:eastAsia="Calibri" w:hAnsi="Times New Roman" w:cs="Times New Roman"/>
                <w:color w:val="000000"/>
                <w:sz w:val="24"/>
                <w:szCs w:val="24"/>
              </w:rPr>
            </w:pPr>
            <w:r w:rsidRPr="007A0407">
              <w:rPr>
                <w:rFonts w:ascii="Times New Roman" w:eastAsia="Calibri" w:hAnsi="Times New Roman" w:cs="Times New Roman"/>
                <w:b/>
                <w:color w:val="000000"/>
                <w:sz w:val="24"/>
                <w:szCs w:val="24"/>
              </w:rPr>
              <w:t>Програма</w:t>
            </w:r>
            <w:r w:rsidRPr="007A0407">
              <w:rPr>
                <w:rFonts w:ascii="Times New Roman" w:eastAsia="Calibri" w:hAnsi="Times New Roman" w:cs="Times New Roman"/>
                <w:color w:val="000000"/>
                <w:sz w:val="24"/>
                <w:szCs w:val="24"/>
              </w:rPr>
              <w:t xml:space="preserve"> за намаляване на количествата и риска от депонираните битови отпадъци </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617,376</w:t>
            </w:r>
          </w:p>
        </w:tc>
      </w:tr>
      <w:tr w:rsidR="007A0407" w:rsidRPr="007A0407" w:rsidTr="00314E86">
        <w:trPr>
          <w:jc w:val="center"/>
        </w:trPr>
        <w:tc>
          <w:tcPr>
            <w:tcW w:w="7455" w:type="dxa"/>
            <w:shd w:val="clear" w:color="auto" w:fill="FFFFFF"/>
          </w:tcPr>
          <w:p w:rsidR="007A0407" w:rsidRPr="007A0407" w:rsidRDefault="007A0407" w:rsidP="007A0407">
            <w:pPr>
              <w:spacing w:after="120" w:line="276" w:lineRule="auto"/>
              <w:jc w:val="both"/>
              <w:rPr>
                <w:rFonts w:ascii="Times New Roman" w:eastAsia="Times New Roman" w:hAnsi="Times New Roman" w:cs="Times New Roman"/>
                <w:b/>
                <w:bCs/>
                <w:iCs/>
                <w:color w:val="000000"/>
                <w:sz w:val="24"/>
                <w:szCs w:val="24"/>
              </w:rPr>
            </w:pPr>
            <w:r w:rsidRPr="007A0407">
              <w:rPr>
                <w:rFonts w:ascii="Times New Roman" w:eastAsia="Times New Roman" w:hAnsi="Times New Roman" w:cs="Times New Roman"/>
                <w:b/>
                <w:bCs/>
                <w:iCs/>
                <w:color w:val="000000"/>
                <w:sz w:val="24"/>
                <w:szCs w:val="24"/>
              </w:rPr>
              <w:t>ВСИЧКО</w:t>
            </w:r>
          </w:p>
        </w:tc>
        <w:tc>
          <w:tcPr>
            <w:tcW w:w="1587" w:type="dxa"/>
            <w:shd w:val="clear" w:color="auto" w:fill="FFFFFF"/>
            <w:vAlign w:val="bottom"/>
          </w:tcPr>
          <w:p w:rsidR="007A0407" w:rsidRPr="007A0407" w:rsidRDefault="007A0407" w:rsidP="007A0407">
            <w:pPr>
              <w:spacing w:after="120" w:line="276" w:lineRule="auto"/>
              <w:jc w:val="right"/>
              <w:rPr>
                <w:rFonts w:ascii="Times New Roman" w:eastAsia="Calibri" w:hAnsi="Times New Roman" w:cs="Times New Roman"/>
                <w:b/>
                <w:bCs/>
                <w:color w:val="000000"/>
                <w:sz w:val="24"/>
                <w:szCs w:val="24"/>
              </w:rPr>
            </w:pPr>
            <w:r w:rsidRPr="007A0407">
              <w:rPr>
                <w:rFonts w:ascii="Times New Roman" w:eastAsia="Calibri" w:hAnsi="Times New Roman" w:cs="Times New Roman"/>
                <w:b/>
                <w:bCs/>
                <w:color w:val="000000"/>
                <w:sz w:val="24"/>
                <w:szCs w:val="24"/>
              </w:rPr>
              <w:t>1 688,15</w:t>
            </w:r>
          </w:p>
        </w:tc>
      </w:tr>
    </w:tbl>
    <w:p w:rsidR="007A0407" w:rsidRPr="007A0407" w:rsidRDefault="007A0407" w:rsidP="007A0407">
      <w:pPr>
        <w:spacing w:after="120" w:line="276" w:lineRule="auto"/>
        <w:jc w:val="both"/>
        <w:rPr>
          <w:rFonts w:ascii="Times New Roman" w:eastAsia="Calibri" w:hAnsi="Times New Roman" w:cs="Times New Roman"/>
          <w:color w:val="000000"/>
          <w:sz w:val="24"/>
          <w:szCs w:val="24"/>
        </w:rPr>
      </w:pP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На инвестиционните мерки се падат 78% от планираните разходи в НПУО 2021-2028, а на меките мерки се падат съответно 22%. </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Приложенията към НПУО включват:</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№1  - Подробен доклад за същестуващата ситуация и напредъка по управление на отпадъците в страната за периода 2008 – 2018 г.</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№2 – Прогнози/варианти за бъдещето развитие на политиката по управление на отпадъците за следващия програмен период;</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№3 – Варианти/сценарии за бъдещото развитие на политиката по управление на отпадъците и оценка на влиянието/тежестта върху населението, бизнес и държавата</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№4 – Списък на регионите и регионалните сдружения за управление на отпадъците (РДО);</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№5 - Отпадъци извън обхвата на РДО, ЗУО и НПУО</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№6 – Индикативен списък на РСУО, в които могат да се изградят допълнителни модули за стабилизиране на биоразградимата фракция към инсталация за сепариране;</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№7 – Индикативен списък на РСУО, в които могат да се изградят инсталации за предварително третиране</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№8 – Индикативен списък на РСУО, в които е необходимо да се осигурят инсталации за третиране на биоразградими отпадъци във връзка със задълженията за разделно събиране на хранителни отпадъци;</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Приложение №9 – Индикативен списък на РСУО, в които могат да се изградят депа за битови отпадъци, допълнителни клетки и довеждаща инфраструктура</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НПУО прави следните препоръки към под</w:t>
      </w:r>
      <w:r w:rsidR="00D5031A">
        <w:rPr>
          <w:rFonts w:ascii="Times New Roman" w:eastAsia="Times New Roman" w:hAnsi="Times New Roman" w:cs="Times New Roman"/>
          <w:color w:val="000000"/>
          <w:sz w:val="24"/>
          <w:szCs w:val="24"/>
          <w:lang w:eastAsia="bg-BG"/>
        </w:rPr>
        <w:t>обрение на контролните функции</w:t>
      </w:r>
      <w:r w:rsidRPr="007A0407">
        <w:rPr>
          <w:rFonts w:ascii="Times New Roman" w:eastAsia="Times New Roman" w:hAnsi="Times New Roman" w:cs="Times New Roman"/>
          <w:color w:val="000000"/>
          <w:sz w:val="24"/>
          <w:szCs w:val="24"/>
          <w:lang w:eastAsia="bg-BG"/>
        </w:rPr>
        <w:t xml:space="preserve"> в общините във връзка с управлението на отпадъците на тяхната територия:</w:t>
      </w:r>
    </w:p>
    <w:p w:rsidR="007A0407" w:rsidRPr="007A0407" w:rsidRDefault="007A0407" w:rsidP="007A0407">
      <w:pPr>
        <w:numPr>
          <w:ilvl w:val="0"/>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Необходимо е общините да изготвят годишен план и годишен отчет за контролната дейност по отпадъците, които да се одобряват от ръководството на общината, а резултатите от контролната дейност да се публикуват периодично на интернет страницата за осведомяване на обществеността;</w:t>
      </w:r>
    </w:p>
    <w:p w:rsidR="007A0407" w:rsidRPr="007A0407" w:rsidRDefault="007A0407" w:rsidP="007A0407">
      <w:pPr>
        <w:numPr>
          <w:ilvl w:val="0"/>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 xml:space="preserve">За подобряване на капацитета на общинските служители трябва да се провеждат обучителни програми, в т.ч. по отношение на контролните им функции. </w:t>
      </w:r>
    </w:p>
    <w:p w:rsidR="007A0407" w:rsidRPr="007A0407" w:rsidRDefault="007A0407" w:rsidP="007A0407">
      <w:pPr>
        <w:numPr>
          <w:ilvl w:val="0"/>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За повишаване капацитета на общините за изпълнение на функциите с отпадъци и особено за подобряване на контрола е необходимо:</w:t>
      </w:r>
    </w:p>
    <w:p w:rsidR="007A0407" w:rsidRPr="007A0407" w:rsidRDefault="007A0407" w:rsidP="007A0407">
      <w:pPr>
        <w:numPr>
          <w:ilvl w:val="1"/>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Назначаване на допълнителни служители, вкл. служители, занимаващи се основно с управление на отпадъците в общинските администрации</w:t>
      </w:r>
    </w:p>
    <w:p w:rsidR="007A0407" w:rsidRPr="007A0407" w:rsidRDefault="007A0407" w:rsidP="007A0407">
      <w:pPr>
        <w:numPr>
          <w:ilvl w:val="1"/>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Непрекъснати обучения на общинските служители, включително на новопостъпващи в сектор отпадъци, като за целта МОСВ може да разработи проекти по различни финансиращи програми</w:t>
      </w:r>
    </w:p>
    <w:p w:rsidR="007A0407" w:rsidRPr="007A0407" w:rsidRDefault="007A0407" w:rsidP="007A0407">
      <w:pPr>
        <w:numPr>
          <w:ilvl w:val="1"/>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Запазване високото ниво на квалификация на служителите, чрез система на обучение в рамките на МОСВ и различни проекти</w:t>
      </w:r>
    </w:p>
    <w:p w:rsidR="007A0407" w:rsidRPr="007A0407" w:rsidRDefault="007A0407" w:rsidP="007A0407">
      <w:pPr>
        <w:numPr>
          <w:ilvl w:val="1"/>
          <w:numId w:val="40"/>
        </w:numPr>
        <w:spacing w:after="12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Осигуряване на достатъчно автомобили с цел повишаване мобилността и възможност за извършване на планирани и внезапни проверки в общинските администрации.</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Calibri" w:hAnsi="Times New Roman" w:cs="Times New Roman"/>
          <w:color w:val="000000"/>
          <w:sz w:val="24"/>
          <w:szCs w:val="24"/>
        </w:rPr>
        <w:t>Общините могат да се възползват активно от различни програми за изпълнението на проекти за предотвратяване образуването на отпадъци (ПОО), да организират и координират създаването и функционирането на местна общност, обединена около идеите за „нулеви отпадъци“, под тяхна координация да се осъществяват различни дарителски кампании и дейности, водещи до ПОО</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rPr>
        <w:t>Общините своевременно следва да осигуряват необходимите средства за рекултивация в съответствие с нормативните изисквания, заложени в Закона за управление на отпадъците;</w:t>
      </w:r>
    </w:p>
    <w:p w:rsidR="007A0407" w:rsidRPr="007A0407" w:rsidRDefault="007A0407" w:rsidP="007A0407">
      <w:pPr>
        <w:numPr>
          <w:ilvl w:val="0"/>
          <w:numId w:val="40"/>
        </w:numPr>
        <w:spacing w:after="0" w:line="276" w:lineRule="auto"/>
        <w:jc w:val="both"/>
        <w:rPr>
          <w:rFonts w:ascii="Times New Roman" w:eastAsia="Times New Roman" w:hAnsi="Times New Roman" w:cs="Times New Roman"/>
          <w:color w:val="000000"/>
          <w:sz w:val="24"/>
          <w:szCs w:val="24"/>
        </w:rPr>
      </w:pPr>
      <w:r w:rsidRPr="007A0407">
        <w:rPr>
          <w:rFonts w:ascii="Times New Roman" w:eastAsia="Times New Roman" w:hAnsi="Times New Roman" w:cs="Times New Roman"/>
          <w:color w:val="000000"/>
          <w:sz w:val="24"/>
          <w:szCs w:val="24"/>
        </w:rPr>
        <w:t>С цел спазване изискванията на чл. 21, ал. 1 от Закона за управление на отпадъците, кметовете на общините от регионалните сдружения трябва своевременно да предприемат действия по възлагане и извършване на прединвестиционни проучвания за изграждане на ново съоръжение/я за третиране на битовите отпадъци най-малко три години преди изчерпване обема на депото за битови отпадъци или изтичането на експлоатационния срок на инсталацията.</w:t>
      </w:r>
    </w:p>
    <w:p w:rsidR="007A0407" w:rsidRPr="007A0407" w:rsidRDefault="007A0407" w:rsidP="007A0407">
      <w:pPr>
        <w:widowControl w:val="0"/>
        <w:numPr>
          <w:ilvl w:val="0"/>
          <w:numId w:val="40"/>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rPr>
        <w:t xml:space="preserve">Общините следва да фокусират вниманието си върху прилагащите и контролните механизми за спазване на изискванията от </w:t>
      </w:r>
      <w:r w:rsidRPr="007A0407">
        <w:rPr>
          <w:rFonts w:ascii="Times New Roman" w:eastAsia="Calibri" w:hAnsi="Times New Roman" w:cs="Times New Roman"/>
          <w:color w:val="000000"/>
          <w:sz w:val="24"/>
          <w:szCs w:val="24"/>
        </w:rPr>
        <w:t xml:space="preserve">търговски обекти, производствени, стопански и административни сгради да събират разделно отпадъците си от опаковки и да ги предават на оторизирани за целта лица за последващо рециклиране и оползотворяване. Това ще доведе не само до екологични ползи (нараснали количества разделно събрани отпадъци от опаковки), но и до намаляване на разходите на общините за третиране на битовите отпадъци поради намалени </w:t>
      </w:r>
      <w:r w:rsidRPr="007A0407">
        <w:rPr>
          <w:rFonts w:ascii="Times New Roman" w:eastAsia="Times New Roman" w:hAnsi="Times New Roman" w:cs="Times New Roman"/>
          <w:color w:val="000000"/>
          <w:sz w:val="24"/>
          <w:szCs w:val="24"/>
        </w:rPr>
        <w:t>количества битови отпадъци, извозването и третирането на които общините трябва да финансират.</w:t>
      </w:r>
    </w:p>
    <w:p w:rsidR="007A0407" w:rsidRPr="007A0407" w:rsidRDefault="007A0407" w:rsidP="007A0407">
      <w:pPr>
        <w:widowControl w:val="0"/>
        <w:autoSpaceDE w:val="0"/>
        <w:autoSpaceDN w:val="0"/>
        <w:adjustRightInd w:val="0"/>
        <w:spacing w:after="0" w:line="276" w:lineRule="auto"/>
        <w:ind w:left="720"/>
        <w:contextualSpacing/>
        <w:jc w:val="both"/>
        <w:rPr>
          <w:rFonts w:ascii="Times New Roman" w:eastAsia="Times New Roman" w:hAnsi="Times New Roman" w:cs="Times New Roman"/>
          <w:color w:val="000000"/>
          <w:sz w:val="24"/>
          <w:szCs w:val="24"/>
          <w:lang w:eastAsia="bg-BG"/>
        </w:rPr>
      </w:pPr>
    </w:p>
    <w:p w:rsidR="007A0407" w:rsidRPr="007A0407" w:rsidRDefault="007A0407" w:rsidP="007A040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bg-BG"/>
        </w:rPr>
      </w:pPr>
      <w:r w:rsidRPr="007A0407">
        <w:rPr>
          <w:rFonts w:ascii="Times New Roman" w:eastAsia="Times New Roman" w:hAnsi="Times New Roman" w:cs="Times New Roman"/>
          <w:color w:val="000000"/>
          <w:sz w:val="24"/>
          <w:szCs w:val="24"/>
          <w:lang w:eastAsia="bg-BG"/>
        </w:rPr>
        <w:t xml:space="preserve">НПУО е част от цялостната национална система за планиране. НПУО е план на прехода от управление на отпадъците към ефективно използване на отпадъците като ресурс и устойчиво развитие чрез предотвратяване на образуването им. </w:t>
      </w:r>
    </w:p>
    <w:p w:rsidR="007A0407" w:rsidRPr="007A0407" w:rsidRDefault="007A0407" w:rsidP="007A0407">
      <w:pPr>
        <w:spacing w:after="120" w:line="276" w:lineRule="auto"/>
        <w:jc w:val="both"/>
        <w:rPr>
          <w:rFonts w:ascii="Times New Roman" w:eastAsia="Calibri" w:hAnsi="Times New Roman" w:cs="Times New Roman"/>
          <w:color w:val="000000"/>
          <w:sz w:val="24"/>
          <w:szCs w:val="24"/>
        </w:rPr>
      </w:pPr>
      <w:r w:rsidRPr="007A0407">
        <w:rPr>
          <w:rFonts w:ascii="Times New Roman" w:eastAsia="Times New Roman" w:hAnsi="Times New Roman" w:cs="Times New Roman"/>
          <w:color w:val="000000"/>
          <w:sz w:val="24"/>
          <w:szCs w:val="24"/>
          <w:lang w:eastAsia="bg-BG"/>
        </w:rPr>
        <w:t>Целта е плана да подпомага централните и местните власти за концентрация на ограничените ресурси към приоритетни за финансиране проекти в сферата на управление на отпадъците от национални и европейски източници на финансиране.</w:t>
      </w:r>
      <w:r w:rsidRPr="007A0407">
        <w:rPr>
          <w:rFonts w:ascii="Times New Roman" w:eastAsia="Calibri" w:hAnsi="Times New Roman" w:cs="Times New Roman"/>
          <w:color w:val="000000"/>
          <w:sz w:val="24"/>
          <w:szCs w:val="24"/>
        </w:rPr>
        <w:t xml:space="preserve"> </w:t>
      </w:r>
    </w:p>
    <w:p w:rsidR="007A0407" w:rsidRPr="007A0407" w:rsidRDefault="007A0407" w:rsidP="007A0407">
      <w:pPr>
        <w:shd w:val="clear" w:color="auto" w:fill="FFFFFF"/>
        <w:tabs>
          <w:tab w:val="left" w:pos="426"/>
        </w:tabs>
        <w:spacing w:after="0" w:line="276" w:lineRule="auto"/>
        <w:jc w:val="both"/>
        <w:rPr>
          <w:rFonts w:ascii="Times New Roman" w:eastAsia="Calibri" w:hAnsi="Times New Roman" w:cs="Times New Roman"/>
          <w:b/>
          <w:i/>
          <w:color w:val="000000"/>
          <w:sz w:val="24"/>
          <w:szCs w:val="24"/>
        </w:rPr>
      </w:pPr>
      <w:r w:rsidRPr="007A0407">
        <w:rPr>
          <w:rFonts w:ascii="Times New Roman" w:eastAsia="Calibri" w:hAnsi="Times New Roman" w:cs="Times New Roman"/>
          <w:color w:val="000000"/>
          <w:sz w:val="24"/>
          <w:szCs w:val="24"/>
        </w:rPr>
        <w:t xml:space="preserve">11) </w:t>
      </w:r>
      <w:r w:rsidRPr="007A0407">
        <w:rPr>
          <w:rFonts w:ascii="Times New Roman" w:eastAsia="Calibri" w:hAnsi="Times New Roman" w:cs="Times New Roman"/>
          <w:b/>
          <w:i/>
          <w:color w:val="000000"/>
          <w:sz w:val="24"/>
          <w:szCs w:val="24"/>
        </w:rPr>
        <w:t>Общински програми за управление на отпадъците и тяхната актуализация – задължение съгласно Национален план за управление на отпадъците (НПУО) 2021-2028 г.</w:t>
      </w:r>
    </w:p>
    <w:p w:rsidR="00D5031A" w:rsidRPr="005B05A2" w:rsidRDefault="007A0407" w:rsidP="007A0407">
      <w:pPr>
        <w:tabs>
          <w:tab w:val="left" w:pos="426"/>
        </w:tabs>
        <w:spacing w:after="0" w:line="276" w:lineRule="auto"/>
        <w:jc w:val="both"/>
        <w:rPr>
          <w:rFonts w:ascii="Times New Roman" w:eastAsia="Calibri" w:hAnsi="Times New Roman" w:cs="Times New Roman"/>
          <w:color w:val="0070C0"/>
          <w:sz w:val="24"/>
          <w:szCs w:val="24"/>
        </w:rPr>
      </w:pPr>
      <w:r w:rsidRPr="007A0407">
        <w:rPr>
          <w:rFonts w:ascii="Times New Roman" w:eastAsia="Calibri" w:hAnsi="Times New Roman" w:cs="Times New Roman"/>
          <w:color w:val="000000"/>
          <w:sz w:val="24"/>
          <w:szCs w:val="24"/>
        </w:rPr>
        <w:tab/>
      </w:r>
      <w:r w:rsidRPr="007A0407">
        <w:rPr>
          <w:rFonts w:ascii="Times New Roman" w:eastAsia="Calibri" w:hAnsi="Times New Roman" w:cs="Times New Roman"/>
          <w:color w:val="000000"/>
          <w:sz w:val="24"/>
          <w:szCs w:val="24"/>
        </w:rPr>
        <w:tab/>
      </w:r>
      <w:r w:rsidRPr="005B05A2">
        <w:rPr>
          <w:rFonts w:ascii="Times New Roman" w:eastAsia="Calibri" w:hAnsi="Times New Roman" w:cs="Times New Roman"/>
          <w:color w:val="0070C0"/>
          <w:sz w:val="24"/>
          <w:szCs w:val="24"/>
        </w:rPr>
        <w:t xml:space="preserve">Съгласно ЗУО, местните власти следва да разработят общински програми за управление на отпадъците, които да кореспондират със структурата, целите и предвижданията на Националния план за управление на отпадъците. Закона също така дава възможност общините да разработят и регионални планове за управление на отпадъците в териториален обхват на регионалните сдружения за управление на отпадъците (РСУО). </w:t>
      </w:r>
    </w:p>
    <w:p w:rsidR="007A0407" w:rsidRPr="005B05A2" w:rsidRDefault="007A0407" w:rsidP="007A0407">
      <w:pPr>
        <w:tabs>
          <w:tab w:val="left" w:pos="426"/>
        </w:tabs>
        <w:spacing w:after="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Съгласно чл. 52 ал. 2 от ЗУО, общинските програми за управление на отпадъците са секторни програми и са неразделна част от общинските програми за опазване на околната среда. НПУО служи за основа на общинските власти при разработването на политика за управление на дейностите по отпадъците на регионално и местно ниво. Програмите се разработват съгласно издадени методически указания от министъра на око</w:t>
      </w:r>
      <w:r w:rsidR="000127EB" w:rsidRPr="005B05A2">
        <w:rPr>
          <w:rFonts w:ascii="Times New Roman" w:eastAsia="Calibri" w:hAnsi="Times New Roman" w:cs="Times New Roman"/>
          <w:color w:val="0070C0"/>
          <w:sz w:val="24"/>
          <w:szCs w:val="24"/>
        </w:rPr>
        <w:t xml:space="preserve">лната среда и водите за период, </w:t>
      </w:r>
      <w:r w:rsidRPr="005B05A2">
        <w:rPr>
          <w:rFonts w:ascii="Times New Roman" w:eastAsia="Calibri" w:hAnsi="Times New Roman" w:cs="Times New Roman"/>
          <w:color w:val="0070C0"/>
          <w:sz w:val="24"/>
          <w:szCs w:val="24"/>
        </w:rPr>
        <w:t>съвпадащ с периода на действие на актуалния НПУО. Указанията целят единен подход за разработване или актуализиране на общинските програми за управление на отпадъците и за включване на мерки за изпълнение на задълженията на кмета на общината, съгласно ЗУО, но нямат задължителен характер.</w:t>
      </w:r>
    </w:p>
    <w:p w:rsidR="007A0407" w:rsidRDefault="007A0407" w:rsidP="007A0407">
      <w:pPr>
        <w:tabs>
          <w:tab w:val="left" w:pos="426"/>
        </w:tabs>
        <w:spacing w:after="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За да се гарантира изпълнението на законовите изисквания от органите на местната власт, както и да се подпомогне постигането на стратегическите цели на НПУО се препоръчва общинските програми да имат следното съдържание:</w:t>
      </w:r>
    </w:p>
    <w:p w:rsidR="00D85751" w:rsidRPr="005B05A2" w:rsidRDefault="00D85751" w:rsidP="007A0407">
      <w:pPr>
        <w:tabs>
          <w:tab w:val="left" w:pos="426"/>
        </w:tabs>
        <w:spacing w:after="0" w:line="276" w:lineRule="auto"/>
        <w:jc w:val="both"/>
        <w:rPr>
          <w:rFonts w:ascii="Times New Roman" w:eastAsia="Calibri" w:hAnsi="Times New Roman" w:cs="Times New Roman"/>
          <w:color w:val="0070C0"/>
          <w:sz w:val="24"/>
          <w:szCs w:val="24"/>
        </w:rPr>
      </w:pPr>
    </w:p>
    <w:p w:rsidR="007A0407" w:rsidRPr="005B05A2" w:rsidRDefault="007A0407" w:rsidP="007A0407">
      <w:pPr>
        <w:tabs>
          <w:tab w:val="left" w:pos="426"/>
        </w:tabs>
        <w:spacing w:after="0" w:line="276" w:lineRule="auto"/>
        <w:jc w:val="both"/>
        <w:rPr>
          <w:rFonts w:ascii="Times New Roman" w:eastAsia="Calibri" w:hAnsi="Times New Roman" w:cs="Times New Roman"/>
          <w:color w:val="0070C0"/>
          <w:sz w:val="24"/>
          <w:szCs w:val="24"/>
        </w:rPr>
      </w:pPr>
    </w:p>
    <w:tbl>
      <w:tblPr>
        <w:tblStyle w:val="TableGrid"/>
        <w:tblW w:w="0" w:type="auto"/>
        <w:tblLook w:val="04A0" w:firstRow="1" w:lastRow="0" w:firstColumn="1" w:lastColumn="0" w:noHBand="0" w:noVBand="1"/>
      </w:tblPr>
      <w:tblGrid>
        <w:gridCol w:w="4530"/>
        <w:gridCol w:w="4530"/>
      </w:tblGrid>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І.Въведение</w:t>
            </w:r>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ІІ. Основни изводи от анализите на състоянието на управление на отпадъците за периода на действие на програмата</w:t>
            </w:r>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 xml:space="preserve">ІІІ. </w:t>
            </w:r>
            <w:r w:rsidRPr="005B05A2">
              <w:rPr>
                <w:rFonts w:ascii="Times New Roman" w:hAnsi="Times New Roman"/>
                <w:color w:val="0070C0"/>
                <w:sz w:val="24"/>
                <w:szCs w:val="24"/>
                <w:lang w:val="en-GB"/>
              </w:rPr>
              <w:t>SWOT</w:t>
            </w:r>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анализ</w:t>
            </w:r>
            <w:proofErr w:type="spellEnd"/>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ІV. Цели и приоритети</w:t>
            </w:r>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V. Подпрограми за постигане на целите с Планове за действие към всяка подпрограма</w:t>
            </w:r>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1.Програма за предотвратяване образуването на отпадъци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2.Подпрограма за предотвратяване образуването на хранителни отпадъци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3.Програма за достигане на целите за подготовка за повторна употреба и за рециклиране на битовите отпадъци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4.Програма за достигане на целите за рециклиране и оползотворяване на строителни отпадъци и отпадъци от разрушаване на сгради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5.Програма за достигане на целите за рециклиране и ополозтворяване на МРО</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6.Подпрограма за управление на опаковките и отпадъците от опаковки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 xml:space="preserve">7.Програма за </w:t>
            </w:r>
            <w:proofErr w:type="spellStart"/>
            <w:r w:rsidRPr="005B05A2">
              <w:rPr>
                <w:rFonts w:ascii="Times New Roman" w:hAnsi="Times New Roman"/>
                <w:color w:val="0070C0"/>
                <w:sz w:val="24"/>
                <w:szCs w:val="24"/>
              </w:rPr>
              <w:t>намаляване</w:t>
            </w:r>
            <w:proofErr w:type="spellEnd"/>
            <w:r w:rsidRPr="005B05A2">
              <w:rPr>
                <w:rFonts w:ascii="Times New Roman" w:hAnsi="Times New Roman"/>
                <w:color w:val="0070C0"/>
                <w:sz w:val="24"/>
                <w:szCs w:val="24"/>
              </w:rPr>
              <w:t xml:space="preserve"> на </w:t>
            </w:r>
            <w:proofErr w:type="spellStart"/>
            <w:r w:rsidRPr="005B05A2">
              <w:rPr>
                <w:rFonts w:ascii="Times New Roman" w:hAnsi="Times New Roman"/>
                <w:color w:val="0070C0"/>
                <w:sz w:val="24"/>
                <w:szCs w:val="24"/>
              </w:rPr>
              <w:t>количествата</w:t>
            </w:r>
            <w:proofErr w:type="spellEnd"/>
            <w:r w:rsidRPr="005B05A2">
              <w:rPr>
                <w:rFonts w:ascii="Times New Roman" w:hAnsi="Times New Roman"/>
                <w:color w:val="0070C0"/>
                <w:sz w:val="24"/>
                <w:szCs w:val="24"/>
              </w:rPr>
              <w:t xml:space="preserve"> и </w:t>
            </w:r>
            <w:proofErr w:type="spellStart"/>
            <w:r w:rsidRPr="005B05A2">
              <w:rPr>
                <w:rFonts w:ascii="Times New Roman" w:hAnsi="Times New Roman"/>
                <w:color w:val="0070C0"/>
                <w:sz w:val="24"/>
                <w:szCs w:val="24"/>
              </w:rPr>
              <w:t>риска</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от</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депонираните</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битови</w:t>
            </w:r>
            <w:proofErr w:type="spellEnd"/>
            <w:r w:rsidRPr="005B05A2">
              <w:rPr>
                <w:rFonts w:ascii="Times New Roman" w:hAnsi="Times New Roman"/>
                <w:color w:val="0070C0"/>
                <w:sz w:val="24"/>
                <w:szCs w:val="24"/>
              </w:rPr>
              <w:t xml:space="preserve"> отпадъци и </w:t>
            </w:r>
            <w:proofErr w:type="spellStart"/>
            <w:r w:rsidRPr="005B05A2">
              <w:rPr>
                <w:rFonts w:ascii="Times New Roman" w:hAnsi="Times New Roman"/>
                <w:color w:val="0070C0"/>
                <w:sz w:val="24"/>
                <w:szCs w:val="24"/>
              </w:rPr>
              <w:t>др</w:t>
            </w:r>
            <w:proofErr w:type="spellEnd"/>
            <w:r w:rsidRPr="005B05A2">
              <w:rPr>
                <w:rFonts w:ascii="Times New Roman" w:hAnsi="Times New Roman"/>
                <w:color w:val="0070C0"/>
                <w:sz w:val="24"/>
                <w:szCs w:val="24"/>
              </w:rPr>
              <w:t>.</w:t>
            </w:r>
          </w:p>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roofErr w:type="spellStart"/>
            <w:r w:rsidRPr="005B05A2">
              <w:rPr>
                <w:rFonts w:ascii="Times New Roman" w:hAnsi="Times New Roman"/>
                <w:color w:val="0070C0"/>
                <w:sz w:val="24"/>
                <w:szCs w:val="24"/>
              </w:rPr>
              <w:t>VІ.Координация</w:t>
            </w:r>
            <w:proofErr w:type="spellEnd"/>
            <w:r w:rsidRPr="005B05A2">
              <w:rPr>
                <w:rFonts w:ascii="Times New Roman" w:hAnsi="Times New Roman"/>
                <w:color w:val="0070C0"/>
                <w:sz w:val="24"/>
                <w:szCs w:val="24"/>
              </w:rPr>
              <w:t xml:space="preserve"> с </w:t>
            </w:r>
            <w:proofErr w:type="spellStart"/>
            <w:r w:rsidRPr="005B05A2">
              <w:rPr>
                <w:rFonts w:ascii="Times New Roman" w:hAnsi="Times New Roman"/>
                <w:color w:val="0070C0"/>
                <w:sz w:val="24"/>
                <w:szCs w:val="24"/>
              </w:rPr>
              <w:t>други</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общински</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регионални</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планове</w:t>
            </w:r>
            <w:proofErr w:type="spellEnd"/>
            <w:r w:rsidRPr="005B05A2">
              <w:rPr>
                <w:rFonts w:ascii="Times New Roman" w:hAnsi="Times New Roman"/>
                <w:color w:val="0070C0"/>
                <w:sz w:val="24"/>
                <w:szCs w:val="24"/>
              </w:rPr>
              <w:t xml:space="preserve"> и </w:t>
            </w:r>
            <w:proofErr w:type="spellStart"/>
            <w:r w:rsidRPr="005B05A2">
              <w:rPr>
                <w:rFonts w:ascii="Times New Roman" w:hAnsi="Times New Roman"/>
                <w:color w:val="0070C0"/>
                <w:sz w:val="24"/>
                <w:szCs w:val="24"/>
              </w:rPr>
              <w:t>програми</w:t>
            </w:r>
            <w:proofErr w:type="spellEnd"/>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 xml:space="preserve">VІІ.Система за </w:t>
            </w:r>
            <w:proofErr w:type="spellStart"/>
            <w:r w:rsidRPr="005B05A2">
              <w:rPr>
                <w:rFonts w:ascii="Times New Roman" w:hAnsi="Times New Roman"/>
                <w:color w:val="0070C0"/>
                <w:sz w:val="24"/>
                <w:szCs w:val="24"/>
              </w:rPr>
              <w:t>наблюдение</w:t>
            </w:r>
            <w:proofErr w:type="spellEnd"/>
            <w:r w:rsidRPr="005B05A2">
              <w:rPr>
                <w:rFonts w:ascii="Times New Roman" w:hAnsi="Times New Roman"/>
                <w:color w:val="0070C0"/>
                <w:sz w:val="24"/>
                <w:szCs w:val="24"/>
              </w:rPr>
              <w:t xml:space="preserve">, контрол и </w:t>
            </w:r>
            <w:proofErr w:type="spellStart"/>
            <w:r w:rsidRPr="005B05A2">
              <w:rPr>
                <w:rFonts w:ascii="Times New Roman" w:hAnsi="Times New Roman"/>
                <w:color w:val="0070C0"/>
                <w:sz w:val="24"/>
                <w:szCs w:val="24"/>
              </w:rPr>
              <w:t>отчитане</w:t>
            </w:r>
            <w:proofErr w:type="spellEnd"/>
            <w:r w:rsidRPr="005B05A2">
              <w:rPr>
                <w:rFonts w:ascii="Times New Roman" w:hAnsi="Times New Roman"/>
                <w:color w:val="0070C0"/>
                <w:sz w:val="24"/>
                <w:szCs w:val="24"/>
              </w:rPr>
              <w:t xml:space="preserve"> на </w:t>
            </w:r>
            <w:proofErr w:type="spellStart"/>
            <w:r w:rsidRPr="005B05A2">
              <w:rPr>
                <w:rFonts w:ascii="Times New Roman" w:hAnsi="Times New Roman"/>
                <w:color w:val="0070C0"/>
                <w:sz w:val="24"/>
                <w:szCs w:val="24"/>
              </w:rPr>
              <w:t>изпълнението</w:t>
            </w:r>
            <w:proofErr w:type="spellEnd"/>
            <w:r w:rsidRPr="005B05A2">
              <w:rPr>
                <w:rFonts w:ascii="Times New Roman" w:hAnsi="Times New Roman"/>
                <w:color w:val="0070C0"/>
                <w:sz w:val="24"/>
                <w:szCs w:val="24"/>
              </w:rPr>
              <w:t xml:space="preserve"> на </w:t>
            </w:r>
            <w:proofErr w:type="spellStart"/>
            <w:r w:rsidRPr="005B05A2">
              <w:rPr>
                <w:rFonts w:ascii="Times New Roman" w:hAnsi="Times New Roman"/>
                <w:color w:val="0070C0"/>
                <w:sz w:val="24"/>
                <w:szCs w:val="24"/>
              </w:rPr>
              <w:t>общинската</w:t>
            </w:r>
            <w:proofErr w:type="spellEnd"/>
            <w:r w:rsidRPr="005B05A2">
              <w:rPr>
                <w:rFonts w:ascii="Times New Roman" w:hAnsi="Times New Roman"/>
                <w:color w:val="0070C0"/>
                <w:sz w:val="24"/>
                <w:szCs w:val="24"/>
              </w:rPr>
              <w:t>/</w:t>
            </w:r>
            <w:proofErr w:type="spellStart"/>
            <w:r w:rsidRPr="005B05A2">
              <w:rPr>
                <w:rFonts w:ascii="Times New Roman" w:hAnsi="Times New Roman"/>
                <w:color w:val="0070C0"/>
                <w:sz w:val="24"/>
                <w:szCs w:val="24"/>
              </w:rPr>
              <w:t>регионалната</w:t>
            </w:r>
            <w:proofErr w:type="spellEnd"/>
            <w:r w:rsidRPr="005B05A2">
              <w:rPr>
                <w:rFonts w:ascii="Times New Roman" w:hAnsi="Times New Roman"/>
                <w:color w:val="0070C0"/>
                <w:sz w:val="24"/>
                <w:szCs w:val="24"/>
              </w:rPr>
              <w:t xml:space="preserve"> програма за управление на отпадъците</w:t>
            </w:r>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p>
        </w:tc>
      </w:tr>
      <w:tr w:rsidR="007A0407" w:rsidRPr="005B05A2" w:rsidTr="00314E86">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VІІІ.Приложения</w:t>
            </w:r>
          </w:p>
        </w:tc>
        <w:tc>
          <w:tcPr>
            <w:tcW w:w="4530" w:type="dxa"/>
          </w:tcPr>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1.Анализи на състоянието на управлението на отпадъци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2.Прогнози</w:t>
            </w:r>
          </w:p>
          <w:p w:rsidR="007A0407" w:rsidRPr="005B05A2" w:rsidRDefault="007A0407" w:rsidP="007A0407">
            <w:pPr>
              <w:tabs>
                <w:tab w:val="left" w:pos="426"/>
              </w:tabs>
              <w:spacing w:line="276" w:lineRule="auto"/>
              <w:jc w:val="both"/>
              <w:rPr>
                <w:rFonts w:ascii="Times New Roman" w:hAnsi="Times New Roman"/>
                <w:color w:val="0070C0"/>
                <w:sz w:val="24"/>
                <w:szCs w:val="24"/>
              </w:rPr>
            </w:pPr>
            <w:r w:rsidRPr="005B05A2">
              <w:rPr>
                <w:rFonts w:ascii="Times New Roman" w:hAnsi="Times New Roman"/>
                <w:color w:val="0070C0"/>
                <w:sz w:val="24"/>
                <w:szCs w:val="24"/>
              </w:rPr>
              <w:t xml:space="preserve">3. </w:t>
            </w:r>
            <w:proofErr w:type="spellStart"/>
            <w:r w:rsidRPr="005B05A2">
              <w:rPr>
                <w:rFonts w:ascii="Times New Roman" w:hAnsi="Times New Roman"/>
                <w:color w:val="0070C0"/>
                <w:sz w:val="24"/>
                <w:szCs w:val="24"/>
              </w:rPr>
              <w:t>Друга</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информация</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ако</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има</w:t>
            </w:r>
            <w:proofErr w:type="spellEnd"/>
            <w:r w:rsidRPr="005B05A2">
              <w:rPr>
                <w:rFonts w:ascii="Times New Roman" w:hAnsi="Times New Roman"/>
                <w:color w:val="0070C0"/>
                <w:sz w:val="24"/>
                <w:szCs w:val="24"/>
              </w:rPr>
              <w:t xml:space="preserve"> </w:t>
            </w:r>
            <w:proofErr w:type="spellStart"/>
            <w:r w:rsidRPr="005B05A2">
              <w:rPr>
                <w:rFonts w:ascii="Times New Roman" w:hAnsi="Times New Roman"/>
                <w:color w:val="0070C0"/>
                <w:sz w:val="24"/>
                <w:szCs w:val="24"/>
              </w:rPr>
              <w:t>такава</w:t>
            </w:r>
            <w:proofErr w:type="spellEnd"/>
            <w:r w:rsidRPr="005B05A2">
              <w:rPr>
                <w:rFonts w:ascii="Times New Roman" w:hAnsi="Times New Roman"/>
                <w:color w:val="0070C0"/>
                <w:sz w:val="24"/>
                <w:szCs w:val="24"/>
              </w:rPr>
              <w:t>)</w:t>
            </w:r>
          </w:p>
        </w:tc>
      </w:tr>
    </w:tbl>
    <w:p w:rsidR="007A0407" w:rsidRPr="005B05A2" w:rsidRDefault="007A0407" w:rsidP="007A0407">
      <w:pPr>
        <w:tabs>
          <w:tab w:val="left" w:pos="426"/>
        </w:tabs>
        <w:spacing w:after="0" w:line="276" w:lineRule="auto"/>
        <w:jc w:val="both"/>
        <w:rPr>
          <w:rFonts w:ascii="Times New Roman" w:eastAsia="Calibri" w:hAnsi="Times New Roman" w:cs="Times New Roman"/>
          <w:color w:val="0070C0"/>
          <w:sz w:val="24"/>
          <w:szCs w:val="24"/>
        </w:rPr>
      </w:pPr>
    </w:p>
    <w:p w:rsidR="007A0407" w:rsidRPr="005B05A2" w:rsidRDefault="007A0407" w:rsidP="007A0407">
      <w:pPr>
        <w:tabs>
          <w:tab w:val="left" w:pos="426"/>
        </w:tabs>
        <w:spacing w:after="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Разработването на програмата преминава през няколко основни етапа:</w:t>
      </w:r>
    </w:p>
    <w:p w:rsidR="007A0407" w:rsidRPr="005B05A2" w:rsidRDefault="007A0407"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предварителна подготовка – кмета на общината назначава работна експертна група, която отговаря за дейностите по изготвянето на програмата и организира консултациите със заинтересованите страни;</w:t>
      </w:r>
    </w:p>
    <w:p w:rsidR="007A0407" w:rsidRPr="005B05A2" w:rsidRDefault="007A0407"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конс</w:t>
      </w:r>
      <w:r w:rsidR="000127EB" w:rsidRPr="005B05A2">
        <w:rPr>
          <w:rFonts w:ascii="Times New Roman" w:eastAsia="Calibri" w:hAnsi="Times New Roman" w:cs="Times New Roman"/>
          <w:color w:val="0070C0"/>
          <w:sz w:val="24"/>
          <w:szCs w:val="24"/>
        </w:rPr>
        <w:t>ултации с обществеността и заин</w:t>
      </w:r>
      <w:r w:rsidRPr="005B05A2">
        <w:rPr>
          <w:rFonts w:ascii="Times New Roman" w:eastAsia="Calibri" w:hAnsi="Times New Roman" w:cs="Times New Roman"/>
          <w:color w:val="0070C0"/>
          <w:sz w:val="24"/>
          <w:szCs w:val="24"/>
        </w:rPr>
        <w:t>тересованите страни – процеса протича паралелно с изготвянето на програмата, като общината изготвя график за консултациите;</w:t>
      </w:r>
    </w:p>
    <w:p w:rsidR="007A0407" w:rsidRPr="005B05A2" w:rsidRDefault="000127EB"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анализ на текущото състо</w:t>
      </w:r>
      <w:r w:rsidR="007A0407" w:rsidRPr="005B05A2">
        <w:rPr>
          <w:rFonts w:ascii="Times New Roman" w:eastAsia="Calibri" w:hAnsi="Times New Roman" w:cs="Times New Roman"/>
          <w:color w:val="0070C0"/>
          <w:sz w:val="24"/>
          <w:szCs w:val="24"/>
        </w:rPr>
        <w:t>яние  - отправна точка за разработване на програмата. На база на анализите се генерират изходни данни, които са основа за изготвяне на оценки и прогнози. Анализите също така служат за определяне на целите, мерките и дейностите за преодоляване на констатираните пропуски и несъответствия. Периода, който най-често обхващат анализите е периода на действие на последната общинска програма за управление на отпадъците, но не по-малко от пет години;</w:t>
      </w:r>
    </w:p>
    <w:p w:rsidR="007A0407" w:rsidRPr="005B05A2" w:rsidRDefault="007A0407"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същинско планиране на целите и мерките за периода на програмата – на база на направените заключения в предходния етап на програмата (анализа), в този се определят същинските стратегически и оперативни цели;</w:t>
      </w:r>
    </w:p>
    <w:p w:rsidR="007A0407" w:rsidRPr="005B05A2" w:rsidRDefault="007A0407"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разработване на подпрограми с мерки за постигане на поставените цели – изготвят се подпрограми с включени конкретни мерки, като задължително се включват и индикатори за измерване на постигнатия напредък по мерките;</w:t>
      </w:r>
    </w:p>
    <w:p w:rsidR="007A0407" w:rsidRPr="005B05A2" w:rsidRDefault="007A0407"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разработване на система за мониторинг, отчет и контрол – описва се планираният подход за мониторинг и контрол на изпълнението на дейностите в програмата;</w:t>
      </w:r>
    </w:p>
    <w:p w:rsidR="007A0407" w:rsidRPr="005B05A2" w:rsidRDefault="007A0407" w:rsidP="007A0407">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ек</w:t>
      </w:r>
      <w:r w:rsidR="000127EB" w:rsidRPr="005B05A2">
        <w:rPr>
          <w:rFonts w:ascii="Times New Roman" w:eastAsia="Calibri" w:hAnsi="Times New Roman" w:cs="Times New Roman"/>
          <w:color w:val="0070C0"/>
          <w:sz w:val="24"/>
          <w:szCs w:val="24"/>
        </w:rPr>
        <w:t>ологична оценка и оценка на съв</w:t>
      </w:r>
      <w:r w:rsidRPr="005B05A2">
        <w:rPr>
          <w:rFonts w:ascii="Times New Roman" w:eastAsia="Calibri" w:hAnsi="Times New Roman" w:cs="Times New Roman"/>
          <w:color w:val="0070C0"/>
          <w:sz w:val="24"/>
          <w:szCs w:val="24"/>
        </w:rPr>
        <w:t>местимостта – подготвя се необходимата информация за провеждането на процедурата;</w:t>
      </w:r>
    </w:p>
    <w:p w:rsidR="000127EB" w:rsidRPr="00680956" w:rsidRDefault="007A0407" w:rsidP="00680956">
      <w:pPr>
        <w:numPr>
          <w:ilvl w:val="0"/>
          <w:numId w:val="44"/>
        </w:numPr>
        <w:tabs>
          <w:tab w:val="left" w:pos="426"/>
        </w:tabs>
        <w:spacing w:after="0" w:line="276" w:lineRule="auto"/>
        <w:contextualSpacing/>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приемане на програмата  -  кмета внася програмата в общински съвет. Приема се с решение на общински съвет и се публикува на интернет страницата на общината.</w:t>
      </w:r>
    </w:p>
    <w:p w:rsidR="007A0407" w:rsidRPr="005B05A2" w:rsidRDefault="007A0407" w:rsidP="007A0407">
      <w:pPr>
        <w:spacing w:after="12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Общинските програми за управление на отпадъците са един от най-важните инструменти за прилагане на законодателството за управление на отпадъците на местно ниво. Освен че трябва да се разработват в съответствие с чл. 52 от ЗУО, трябва пряко  или косвено да кореспондират и с другите програмни документи на общината –  областна стратегия за развитие, общински план за развитие, програми в областта на опазването на околната среда. Целта е да има съвместимост на целите и да се постигне синергичен ефект при изпълнението им.</w:t>
      </w:r>
    </w:p>
    <w:p w:rsidR="007A0407" w:rsidRPr="005B05A2" w:rsidRDefault="007A0407" w:rsidP="007A0407">
      <w:pPr>
        <w:spacing w:after="12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В изпълнение на чл.52 от ЗУО и насоките на НПУО, отчитането и изпълнението на общинските програми за управление на отпадъците се извършва чрез разработените системи за наблюдение, контрол и отчитане. В срок до 31-ви март, Кметът на общината информира общинския съвет за изпълнението на програмата през предходната</w:t>
      </w:r>
      <w:r w:rsidR="000127EB" w:rsidRPr="005B05A2">
        <w:rPr>
          <w:rFonts w:ascii="Times New Roman" w:eastAsia="Calibri" w:hAnsi="Times New Roman" w:cs="Times New Roman"/>
          <w:color w:val="0070C0"/>
          <w:sz w:val="24"/>
          <w:szCs w:val="24"/>
        </w:rPr>
        <w:t xml:space="preserve"> календарна година, като изготв</w:t>
      </w:r>
      <w:r w:rsidRPr="005B05A2">
        <w:rPr>
          <w:rFonts w:ascii="Times New Roman" w:eastAsia="Calibri" w:hAnsi="Times New Roman" w:cs="Times New Roman"/>
          <w:color w:val="0070C0"/>
          <w:sz w:val="24"/>
          <w:szCs w:val="24"/>
        </w:rPr>
        <w:t>я отчет за изпълнение. Копие от отчета се изпраща на РИОСВ.</w:t>
      </w:r>
    </w:p>
    <w:p w:rsidR="007A0407" w:rsidRPr="005B05A2" w:rsidRDefault="007A0407" w:rsidP="007A0407">
      <w:pPr>
        <w:spacing w:after="12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Необходимост от актуализиране на общинската програма за управление на отпадъците възниква при:</w:t>
      </w:r>
    </w:p>
    <w:p w:rsidR="007A0407" w:rsidRPr="005B05A2" w:rsidRDefault="007A0407" w:rsidP="007A0407">
      <w:pPr>
        <w:numPr>
          <w:ilvl w:val="0"/>
          <w:numId w:val="40"/>
        </w:numPr>
        <w:spacing w:after="120" w:line="276" w:lineRule="auto"/>
        <w:contextualSpacing/>
        <w:jc w:val="both"/>
        <w:rPr>
          <w:rFonts w:ascii="Calibri" w:eastAsia="Calibri" w:hAnsi="Calibri" w:cs="Times New Roman"/>
          <w:color w:val="0070C0"/>
        </w:rPr>
      </w:pPr>
      <w:r w:rsidRPr="005B05A2">
        <w:rPr>
          <w:rFonts w:ascii="Times New Roman" w:eastAsia="Calibri" w:hAnsi="Times New Roman" w:cs="Times New Roman"/>
          <w:color w:val="0070C0"/>
          <w:sz w:val="24"/>
          <w:szCs w:val="24"/>
        </w:rPr>
        <w:t>промяна в нормативните условия – промени в изискванията на европейското или българското законодателство;</w:t>
      </w:r>
    </w:p>
    <w:p w:rsidR="007A0407" w:rsidRPr="005B05A2" w:rsidRDefault="007A0407" w:rsidP="007A0407">
      <w:pPr>
        <w:numPr>
          <w:ilvl w:val="0"/>
          <w:numId w:val="40"/>
        </w:numPr>
        <w:spacing w:after="120" w:line="276" w:lineRule="auto"/>
        <w:contextualSpacing/>
        <w:jc w:val="both"/>
        <w:rPr>
          <w:rFonts w:ascii="Calibri" w:eastAsia="Calibri" w:hAnsi="Calibri" w:cs="Times New Roman"/>
          <w:color w:val="0070C0"/>
        </w:rPr>
      </w:pPr>
      <w:r w:rsidRPr="005B05A2">
        <w:rPr>
          <w:rFonts w:ascii="Times New Roman" w:eastAsia="Calibri" w:hAnsi="Times New Roman" w:cs="Times New Roman"/>
          <w:color w:val="0070C0"/>
          <w:sz w:val="24"/>
          <w:szCs w:val="24"/>
        </w:rPr>
        <w:t>фактори свързани с изпълнението  - изоставане в изпълнението на заложените  мерки, и/или липса на напредък за постигане на целевите индикатори, въпреки изпълнението на програмните мерки.</w:t>
      </w:r>
    </w:p>
    <w:p w:rsidR="000127EB" w:rsidRPr="005B05A2" w:rsidRDefault="000127EB" w:rsidP="000127EB">
      <w:pPr>
        <w:spacing w:after="120" w:line="276" w:lineRule="auto"/>
        <w:jc w:val="both"/>
        <w:rPr>
          <w:rFonts w:ascii="Times New Roman" w:eastAsia="Calibri" w:hAnsi="Times New Roman" w:cs="Times New Roman"/>
          <w:color w:val="0070C0"/>
          <w:sz w:val="24"/>
          <w:szCs w:val="24"/>
        </w:rPr>
      </w:pPr>
    </w:p>
    <w:p w:rsidR="000127EB" w:rsidRPr="005B05A2" w:rsidRDefault="000127EB" w:rsidP="000127EB">
      <w:pPr>
        <w:spacing w:after="120" w:line="276" w:lineRule="auto"/>
        <w:jc w:val="both"/>
        <w:rPr>
          <w:rFonts w:ascii="Times New Roman" w:eastAsia="Calibri" w:hAnsi="Times New Roman" w:cs="Times New Roman"/>
          <w:color w:val="0070C0"/>
          <w:sz w:val="24"/>
          <w:szCs w:val="24"/>
        </w:rPr>
      </w:pPr>
      <w:r w:rsidRPr="005B05A2">
        <w:rPr>
          <w:rFonts w:ascii="Times New Roman" w:eastAsia="Calibri" w:hAnsi="Times New Roman" w:cs="Times New Roman"/>
          <w:color w:val="0070C0"/>
          <w:sz w:val="24"/>
          <w:szCs w:val="24"/>
        </w:rPr>
        <w:t>Препоръки към общините:</w:t>
      </w:r>
    </w:p>
    <w:p w:rsidR="000127EB" w:rsidRPr="005B05A2" w:rsidRDefault="000127EB" w:rsidP="000127EB">
      <w:pPr>
        <w:pStyle w:val="ListParagraph"/>
        <w:numPr>
          <w:ilvl w:val="0"/>
          <w:numId w:val="40"/>
        </w:numPr>
        <w:spacing w:after="120"/>
        <w:jc w:val="both"/>
        <w:rPr>
          <w:rFonts w:ascii="Times New Roman" w:hAnsi="Times New Roman"/>
          <w:color w:val="0070C0"/>
          <w:sz w:val="24"/>
          <w:szCs w:val="24"/>
        </w:rPr>
      </w:pPr>
      <w:r w:rsidRPr="005B05A2">
        <w:rPr>
          <w:rFonts w:ascii="Times New Roman" w:hAnsi="Times New Roman"/>
          <w:color w:val="0070C0"/>
          <w:sz w:val="24"/>
          <w:szCs w:val="24"/>
        </w:rPr>
        <w:t xml:space="preserve">за </w:t>
      </w:r>
      <w:r w:rsidR="007A0407" w:rsidRPr="005B05A2">
        <w:rPr>
          <w:rFonts w:ascii="Times New Roman" w:hAnsi="Times New Roman"/>
          <w:color w:val="0070C0"/>
          <w:sz w:val="24"/>
          <w:szCs w:val="24"/>
        </w:rPr>
        <w:t xml:space="preserve"> постигането на общинските и националните цели за управление на отпадъците е препоръчително общините да предвидят междинна оценка на програмите си след тригодишен срок на изпълнение. </w:t>
      </w:r>
    </w:p>
    <w:p w:rsidR="000127EB" w:rsidRPr="005B05A2" w:rsidRDefault="000127EB" w:rsidP="000127EB">
      <w:pPr>
        <w:pStyle w:val="ListParagraph"/>
        <w:numPr>
          <w:ilvl w:val="0"/>
          <w:numId w:val="40"/>
        </w:numPr>
        <w:spacing w:after="120"/>
        <w:jc w:val="both"/>
        <w:rPr>
          <w:rFonts w:ascii="Times New Roman" w:hAnsi="Times New Roman"/>
          <w:color w:val="0070C0"/>
          <w:sz w:val="24"/>
          <w:szCs w:val="24"/>
        </w:rPr>
      </w:pPr>
      <w:r w:rsidRPr="005B05A2">
        <w:rPr>
          <w:rFonts w:ascii="Times New Roman" w:hAnsi="Times New Roman"/>
          <w:color w:val="0070C0"/>
          <w:sz w:val="24"/>
          <w:szCs w:val="24"/>
        </w:rPr>
        <w:t>з</w:t>
      </w:r>
      <w:r w:rsidR="007A0407" w:rsidRPr="005B05A2">
        <w:rPr>
          <w:rFonts w:ascii="Times New Roman" w:hAnsi="Times New Roman"/>
          <w:color w:val="0070C0"/>
          <w:sz w:val="24"/>
          <w:szCs w:val="24"/>
        </w:rPr>
        <w:t xml:space="preserve">а разработените програми за период до 2028 година, се препоръчва междинна оценка да се извърши след края на 2024 година. На база на анализа от постигнатите резултати, може да се извърши актуализация. </w:t>
      </w:r>
    </w:p>
    <w:p w:rsidR="007A0407" w:rsidRPr="005B05A2" w:rsidRDefault="007A0407" w:rsidP="000127EB">
      <w:pPr>
        <w:spacing w:after="120"/>
        <w:jc w:val="both"/>
        <w:rPr>
          <w:rFonts w:ascii="Times New Roman" w:hAnsi="Times New Roman"/>
          <w:color w:val="0070C0"/>
          <w:sz w:val="24"/>
          <w:szCs w:val="24"/>
        </w:rPr>
      </w:pPr>
      <w:r w:rsidRPr="005B05A2">
        <w:rPr>
          <w:rFonts w:ascii="Times New Roman" w:hAnsi="Times New Roman"/>
          <w:color w:val="0070C0"/>
          <w:sz w:val="24"/>
          <w:szCs w:val="24"/>
        </w:rPr>
        <w:t>Процедурата за актуализация на общинската програма за управление на отпадъци е аналогична на процедурата за разработване и одобрение на програмата. Преминава се през обществени консултации, преценка от необходимо</w:t>
      </w:r>
      <w:r w:rsidR="000127EB" w:rsidRPr="005B05A2">
        <w:rPr>
          <w:rFonts w:ascii="Times New Roman" w:hAnsi="Times New Roman"/>
          <w:color w:val="0070C0"/>
          <w:sz w:val="24"/>
          <w:szCs w:val="24"/>
        </w:rPr>
        <w:t>стта от екологична оценка и нак</w:t>
      </w:r>
      <w:r w:rsidRPr="005B05A2">
        <w:rPr>
          <w:rFonts w:ascii="Times New Roman" w:hAnsi="Times New Roman"/>
          <w:color w:val="0070C0"/>
          <w:sz w:val="24"/>
          <w:szCs w:val="24"/>
        </w:rPr>
        <w:t>рая се одобрява от общинския съвет, след което актуализи</w:t>
      </w:r>
      <w:r w:rsidR="000127EB" w:rsidRPr="005B05A2">
        <w:rPr>
          <w:rFonts w:ascii="Times New Roman" w:hAnsi="Times New Roman"/>
          <w:color w:val="0070C0"/>
          <w:sz w:val="24"/>
          <w:szCs w:val="24"/>
        </w:rPr>
        <w:t>раната вече програма се  публику</w:t>
      </w:r>
      <w:r w:rsidRPr="005B05A2">
        <w:rPr>
          <w:rFonts w:ascii="Times New Roman" w:hAnsi="Times New Roman"/>
          <w:color w:val="0070C0"/>
          <w:sz w:val="24"/>
          <w:szCs w:val="24"/>
        </w:rPr>
        <w:t>ва на сайта на общината.</w:t>
      </w:r>
    </w:p>
    <w:p w:rsidR="007A0407" w:rsidRPr="007A0407" w:rsidRDefault="007A0407" w:rsidP="007A0407">
      <w:pPr>
        <w:spacing w:after="120" w:line="276" w:lineRule="auto"/>
        <w:jc w:val="both"/>
        <w:rPr>
          <w:rFonts w:ascii="Calibri" w:eastAsia="Calibri" w:hAnsi="Calibri" w:cs="Times New Roman"/>
        </w:rPr>
      </w:pPr>
    </w:p>
    <w:p w:rsidR="007A0407" w:rsidRPr="007A0407" w:rsidRDefault="007A0407" w:rsidP="007A0407">
      <w:pPr>
        <w:widowControl w:val="0"/>
        <w:numPr>
          <w:ilvl w:val="0"/>
          <w:numId w:val="34"/>
        </w:numPr>
        <w:tabs>
          <w:tab w:val="left" w:pos="426"/>
        </w:tabs>
        <w:autoSpaceDE w:val="0"/>
        <w:autoSpaceDN w:val="0"/>
        <w:adjustRightInd w:val="0"/>
        <w:spacing w:after="0" w:line="276" w:lineRule="auto"/>
        <w:contextualSpacing/>
        <w:jc w:val="both"/>
        <w:rPr>
          <w:rFonts w:ascii="Times New Roman" w:eastAsia="Times New Roman" w:hAnsi="Times New Roman" w:cs="Times New Roman"/>
          <w:b/>
          <w:i/>
          <w:color w:val="000000"/>
          <w:sz w:val="24"/>
          <w:szCs w:val="24"/>
          <w:lang w:eastAsia="bg-BG"/>
        </w:rPr>
      </w:pPr>
      <w:r w:rsidRPr="007A0407">
        <w:rPr>
          <w:rFonts w:ascii="Times New Roman" w:eastAsia="Times New Roman" w:hAnsi="Times New Roman" w:cs="Times New Roman"/>
          <w:b/>
          <w:i/>
          <w:color w:val="000000"/>
          <w:sz w:val="24"/>
          <w:szCs w:val="24"/>
          <w:lang w:eastAsia="bg-BG"/>
        </w:rPr>
        <w:t>Стратегия и план за действие за преход към Кръгова икономика на Република България за периода 2021 – 2027 г. (проект!)</w:t>
      </w:r>
    </w:p>
    <w:p w:rsidR="007A0407" w:rsidRPr="007A0407" w:rsidRDefault="007A0407" w:rsidP="007A0407">
      <w:pPr>
        <w:widowControl w:val="0"/>
        <w:autoSpaceDE w:val="0"/>
        <w:autoSpaceDN w:val="0"/>
        <w:adjustRightInd w:val="0"/>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В областта на изпълнението на политиките в областта на околната среда, ЕС препоръчва на държавите членки от общността да разработят дългосрочна стратегическа визия и интегриран подход, чрез които националните политики да ускорят навлизането на кръговата икономика във всички икономически секторни. В тази връзка </w:t>
      </w:r>
      <w:r w:rsidRPr="00680956">
        <w:rPr>
          <w:rFonts w:ascii="Times New Roman" w:eastAsia="Calibri" w:hAnsi="Times New Roman" w:cs="Times New Roman"/>
          <w:color w:val="0070C0"/>
          <w:sz w:val="24"/>
          <w:szCs w:val="24"/>
        </w:rPr>
        <w:t xml:space="preserve">е изготвена  </w:t>
      </w:r>
      <w:r w:rsidRPr="007A0407">
        <w:rPr>
          <w:rFonts w:ascii="Times New Roman" w:eastAsia="Calibri" w:hAnsi="Times New Roman" w:cs="Times New Roman"/>
          <w:color w:val="000000"/>
          <w:sz w:val="24"/>
          <w:szCs w:val="24"/>
        </w:rPr>
        <w:t xml:space="preserve">стратегия и план за действие за преход към кръгова икономика на Република България за периода 2021- 2027 г. </w:t>
      </w:r>
    </w:p>
    <w:p w:rsidR="007A0407" w:rsidRPr="007A0407" w:rsidRDefault="007A0407" w:rsidP="007A0407">
      <w:pPr>
        <w:widowControl w:val="0"/>
        <w:autoSpaceDE w:val="0"/>
        <w:autoSpaceDN w:val="0"/>
        <w:adjustRightInd w:val="0"/>
        <w:spacing w:after="0" w:line="276" w:lineRule="auto"/>
        <w:jc w:val="both"/>
        <w:rPr>
          <w:rFonts w:ascii="Times New Roman" w:eastAsia="Calibri" w:hAnsi="Times New Roman" w:cs="Times New Roman"/>
          <w:color w:val="000000"/>
          <w:sz w:val="24"/>
          <w:szCs w:val="24"/>
        </w:rPr>
      </w:pPr>
      <w:r w:rsidRPr="004B117D">
        <w:rPr>
          <w:rFonts w:ascii="Times New Roman" w:eastAsia="Calibri" w:hAnsi="Times New Roman" w:cs="Times New Roman"/>
          <w:color w:val="0070C0"/>
          <w:sz w:val="24"/>
          <w:szCs w:val="24"/>
        </w:rPr>
        <w:t>Стратегическат</w:t>
      </w:r>
      <w:r w:rsidRPr="007A0407">
        <w:rPr>
          <w:rFonts w:ascii="Times New Roman" w:eastAsia="Calibri" w:hAnsi="Times New Roman" w:cs="Times New Roman"/>
          <w:color w:val="000000"/>
          <w:sz w:val="24"/>
          <w:szCs w:val="24"/>
        </w:rPr>
        <w:t>а част на плана съдържа визия, цели, приоритети и мерки в отделните приоритетни области с цел постигане на Кръгова икономика. При разработването на отделните приоритетни области и мерки се разглеждат и анализират:  потребностите, икономически аспекти, субекти на предложените мерки, прилагане на нови бизнес модели и модели за консумация, необходими нормативни и регулаторни мерки, в т.ч. фискални, данъчни и икономически стимули, финансиране, пазарни инициативи, ключови проекти и пилотни инициативи, възможности за международно сътрудничество и трансфер на знания и иновации и др.</w:t>
      </w:r>
    </w:p>
    <w:p w:rsidR="007A0407" w:rsidRPr="007A0407" w:rsidRDefault="007A0407" w:rsidP="007A0407">
      <w:pPr>
        <w:shd w:val="clear" w:color="auto" w:fill="FFFFFF"/>
        <w:spacing w:after="150" w:line="276" w:lineRule="auto"/>
        <w:jc w:val="both"/>
        <w:rPr>
          <w:rFonts w:ascii="Times New Roman" w:eastAsia="Times New Roman" w:hAnsi="Times New Roman" w:cs="Times New Roman"/>
          <w:color w:val="000000"/>
          <w:sz w:val="24"/>
          <w:szCs w:val="24"/>
          <w:lang w:eastAsia="bg-BG"/>
        </w:rPr>
      </w:pPr>
      <w:r w:rsidRPr="004B117D">
        <w:rPr>
          <w:rFonts w:ascii="Times New Roman" w:eastAsia="Times New Roman" w:hAnsi="Times New Roman" w:cs="Times New Roman"/>
          <w:color w:val="0070C0"/>
          <w:sz w:val="24"/>
          <w:szCs w:val="24"/>
          <w:lang w:eastAsia="bg-BG"/>
        </w:rPr>
        <w:t>В проекта на стратегията са формулирани три стратегически цели: зелена и конкурентноспособна икономика; по-малко отпадъци и по-малко ресурси, икономика в полза на потребителите</w:t>
      </w:r>
      <w:r w:rsidRPr="007A0407">
        <w:rPr>
          <w:rFonts w:ascii="Times New Roman" w:eastAsia="Times New Roman" w:hAnsi="Times New Roman" w:cs="Times New Roman"/>
          <w:color w:val="000000"/>
          <w:sz w:val="24"/>
          <w:szCs w:val="24"/>
          <w:lang w:eastAsia="bg-BG"/>
        </w:rPr>
        <w:t xml:space="preserve">. Стратегическата цел за зелена конкурентоспособна икономика в плана ще бъде обезпечена, чрез предвидените мерки за повишаване на производителността на ресурсите, въвеждане на нови бизнес модели, както и платформи за свързаност в икономиката.. </w:t>
      </w:r>
    </w:p>
    <w:p w:rsidR="007A0407" w:rsidRPr="004B117D" w:rsidRDefault="007A0407" w:rsidP="007A0407">
      <w:pPr>
        <w:shd w:val="clear" w:color="auto" w:fill="FFFFFF"/>
        <w:spacing w:after="150" w:line="276" w:lineRule="auto"/>
        <w:jc w:val="both"/>
        <w:rPr>
          <w:rFonts w:ascii="Times New Roman" w:eastAsia="Times New Roman" w:hAnsi="Times New Roman" w:cs="Times New Roman"/>
          <w:color w:val="0070C0"/>
          <w:sz w:val="24"/>
          <w:szCs w:val="24"/>
          <w:lang w:eastAsia="bg-BG"/>
        </w:rPr>
      </w:pPr>
      <w:r w:rsidRPr="007A0407">
        <w:rPr>
          <w:rFonts w:ascii="Times New Roman" w:eastAsia="Times New Roman" w:hAnsi="Times New Roman" w:cs="Times New Roman"/>
          <w:color w:val="000000"/>
          <w:sz w:val="24"/>
          <w:szCs w:val="24"/>
          <w:lang w:eastAsia="bg-BG"/>
        </w:rPr>
        <w:t xml:space="preserve">Друга основна стратегическа цел на плана е намаляване на отпадъците и повече ресурси чрез създаването на повече възможности за устойчива употреба и повторно използване на продуктите, нови модели на отговорност, осигуряване на по-качествени суровини, без депониране на отпадъци. </w:t>
      </w:r>
      <w:r w:rsidRPr="004B117D">
        <w:rPr>
          <w:rFonts w:ascii="Times New Roman" w:eastAsia="Times New Roman" w:hAnsi="Times New Roman" w:cs="Times New Roman"/>
          <w:color w:val="0070C0"/>
          <w:sz w:val="24"/>
          <w:szCs w:val="24"/>
          <w:lang w:eastAsia="bg-BG"/>
        </w:rPr>
        <w:t>На този етап все още се очаква решение на Министерски съвет за приемане на</w:t>
      </w:r>
      <w:r w:rsidR="00AC0CAF" w:rsidRPr="004B117D">
        <w:rPr>
          <w:rFonts w:ascii="Times New Roman" w:eastAsia="Times New Roman" w:hAnsi="Times New Roman" w:cs="Times New Roman"/>
          <w:color w:val="0070C0"/>
          <w:sz w:val="24"/>
          <w:szCs w:val="24"/>
          <w:lang w:eastAsia="bg-BG"/>
        </w:rPr>
        <w:t xml:space="preserve"> Стратегия и План за действие з</w:t>
      </w:r>
      <w:r w:rsidRPr="004B117D">
        <w:rPr>
          <w:rFonts w:ascii="Times New Roman" w:eastAsia="Times New Roman" w:hAnsi="Times New Roman" w:cs="Times New Roman"/>
          <w:color w:val="0070C0"/>
          <w:sz w:val="24"/>
          <w:szCs w:val="24"/>
          <w:lang w:eastAsia="bg-BG"/>
        </w:rPr>
        <w:t>а</w:t>
      </w:r>
      <w:r w:rsidR="00AC0CAF" w:rsidRPr="004B117D">
        <w:rPr>
          <w:rFonts w:ascii="Times New Roman" w:eastAsia="Times New Roman" w:hAnsi="Times New Roman" w:cs="Times New Roman"/>
          <w:color w:val="0070C0"/>
          <w:sz w:val="24"/>
          <w:szCs w:val="24"/>
          <w:lang w:eastAsia="bg-BG"/>
        </w:rPr>
        <w:t xml:space="preserve"> </w:t>
      </w:r>
      <w:r w:rsidRPr="004B117D">
        <w:rPr>
          <w:rFonts w:ascii="Times New Roman" w:eastAsia="Times New Roman" w:hAnsi="Times New Roman" w:cs="Times New Roman"/>
          <w:color w:val="0070C0"/>
          <w:sz w:val="24"/>
          <w:szCs w:val="24"/>
          <w:lang w:eastAsia="bg-BG"/>
        </w:rPr>
        <w:t>преход към кръгова икономика.</w:t>
      </w:r>
    </w:p>
    <w:p w:rsidR="007A0407" w:rsidRPr="007A0407" w:rsidRDefault="007A0407" w:rsidP="007A040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rsidR="007A0407" w:rsidRPr="007A0407" w:rsidRDefault="007A0407" w:rsidP="007A0407">
      <w:pPr>
        <w:numPr>
          <w:ilvl w:val="0"/>
          <w:numId w:val="32"/>
        </w:numPr>
        <w:spacing w:after="0" w:line="276" w:lineRule="auto"/>
        <w:contextualSpacing/>
        <w:jc w:val="both"/>
        <w:rPr>
          <w:rFonts w:ascii="Times New Roman" w:eastAsia="Calibri" w:hAnsi="Times New Roman" w:cs="Times New Roman"/>
          <w:b/>
          <w:color w:val="000000"/>
          <w:sz w:val="24"/>
          <w:szCs w:val="24"/>
        </w:rPr>
      </w:pPr>
      <w:r w:rsidRPr="007A0407">
        <w:rPr>
          <w:rFonts w:ascii="Times New Roman" w:eastAsia="Calibri" w:hAnsi="Times New Roman" w:cs="Times New Roman"/>
          <w:b/>
          <w:color w:val="000000"/>
          <w:sz w:val="24"/>
          <w:szCs w:val="24"/>
        </w:rPr>
        <w:t>Заинтересовани органи и лица от изменението на ЗУО и подзаконовата нормативна уредба</w:t>
      </w:r>
    </w:p>
    <w:p w:rsidR="007A0407" w:rsidRPr="007A0407" w:rsidRDefault="007A0407" w:rsidP="007A0407">
      <w:pPr>
        <w:spacing w:after="0" w:line="276" w:lineRule="auto"/>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Лицата, които се явяват най-засегнати и заинтересовани от измененията на ЗУО и подзаконовата нормативна уредба към него са: </w:t>
      </w:r>
    </w:p>
    <w:p w:rsidR="007A0407" w:rsidRPr="004B6428" w:rsidRDefault="007A0407" w:rsidP="00485DC3">
      <w:pPr>
        <w:numPr>
          <w:ilvl w:val="0"/>
          <w:numId w:val="41"/>
        </w:numPr>
        <w:spacing w:after="0" w:line="276" w:lineRule="auto"/>
        <w:contextualSpacing/>
        <w:jc w:val="both"/>
        <w:rPr>
          <w:rFonts w:ascii="Times New Roman" w:eastAsia="Calibri" w:hAnsi="Times New Roman" w:cs="Times New Roman"/>
          <w:color w:val="0070C0"/>
          <w:sz w:val="24"/>
          <w:szCs w:val="24"/>
        </w:rPr>
      </w:pPr>
      <w:r w:rsidRPr="007A0407">
        <w:rPr>
          <w:rFonts w:ascii="Times New Roman" w:eastAsia="Calibri" w:hAnsi="Times New Roman" w:cs="Times New Roman"/>
          <w:b/>
          <w:i/>
          <w:color w:val="000000"/>
          <w:sz w:val="24"/>
          <w:szCs w:val="24"/>
        </w:rPr>
        <w:t>Общините в България</w:t>
      </w:r>
      <w:r w:rsidRPr="007A0407">
        <w:rPr>
          <w:rFonts w:ascii="Times New Roman" w:eastAsia="Calibri" w:hAnsi="Times New Roman" w:cs="Times New Roman"/>
          <w:color w:val="000000"/>
          <w:sz w:val="24"/>
          <w:szCs w:val="24"/>
        </w:rPr>
        <w:t xml:space="preserve"> (265 бр.), които сключват договори с организациите по </w:t>
      </w:r>
      <w:r w:rsidR="00A55973">
        <w:rPr>
          <w:rFonts w:ascii="Times New Roman" w:eastAsia="Calibri" w:hAnsi="Times New Roman" w:cs="Times New Roman"/>
          <w:color w:val="000000"/>
          <w:sz w:val="24"/>
          <w:szCs w:val="24"/>
        </w:rPr>
        <w:t>разделно събиране (</w:t>
      </w:r>
      <w:r w:rsidRPr="007A0407">
        <w:rPr>
          <w:rFonts w:ascii="Times New Roman" w:eastAsia="Calibri" w:hAnsi="Times New Roman" w:cs="Times New Roman"/>
          <w:color w:val="000000"/>
          <w:sz w:val="24"/>
          <w:szCs w:val="24"/>
        </w:rPr>
        <w:t>оползотворяване на отпадъци от опаковки</w:t>
      </w:r>
      <w:r w:rsidR="00A55973">
        <w:rPr>
          <w:rFonts w:ascii="Times New Roman" w:eastAsia="Calibri" w:hAnsi="Times New Roman" w:cs="Times New Roman"/>
          <w:color w:val="000000"/>
          <w:sz w:val="24"/>
          <w:szCs w:val="24"/>
        </w:rPr>
        <w:t>)</w:t>
      </w:r>
      <w:r w:rsidRPr="007A0407">
        <w:rPr>
          <w:rFonts w:ascii="Times New Roman" w:eastAsia="Calibri" w:hAnsi="Times New Roman" w:cs="Times New Roman"/>
          <w:color w:val="000000"/>
          <w:sz w:val="24"/>
          <w:szCs w:val="24"/>
        </w:rPr>
        <w:t xml:space="preserve">. Поради заложените по-високи цели по рециклиране организациите следва да разширяват системите за разделно събиране с цел повишаване на количеството и качеството на отпадъците от опаковките за рециклиране. Общините ще получат по-висококачествена услуга за своите граждани и по-голям принос към изпълнението на общите цели за битови отпадъци, за които те са пряко отговорни. Общините от своя страна ще трябва да положат допълнителни усилия по отношение на участието им в информационни кампании, упражняване на вменените контролни функции по ЗУО, както и да въведат икономически стимул за гражданите посредством такса „битови отпадъци“, изчислявана на база количество </w:t>
      </w:r>
      <w:r w:rsidR="00680956">
        <w:rPr>
          <w:rFonts w:ascii="Times New Roman" w:eastAsia="Calibri" w:hAnsi="Times New Roman" w:cs="Times New Roman"/>
          <w:color w:val="000000"/>
          <w:sz w:val="24"/>
          <w:szCs w:val="24"/>
        </w:rPr>
        <w:t>(</w:t>
      </w:r>
      <w:r w:rsidR="00680956" w:rsidRPr="00680956">
        <w:rPr>
          <w:rFonts w:ascii="Times New Roman" w:eastAsia="Calibri" w:hAnsi="Times New Roman" w:cs="Times New Roman"/>
          <w:color w:val="0070C0"/>
          <w:sz w:val="24"/>
          <w:szCs w:val="24"/>
        </w:rPr>
        <w:t xml:space="preserve">беше планирано въвеждане </w:t>
      </w:r>
      <w:r w:rsidRPr="00680956">
        <w:rPr>
          <w:rFonts w:ascii="Times New Roman" w:eastAsia="Calibri" w:hAnsi="Times New Roman" w:cs="Times New Roman"/>
          <w:color w:val="0070C0"/>
          <w:sz w:val="24"/>
          <w:szCs w:val="24"/>
        </w:rPr>
        <w:t>от 01.01.2022 г</w:t>
      </w:r>
      <w:r w:rsidR="00680956" w:rsidRPr="00680956">
        <w:rPr>
          <w:rFonts w:ascii="Times New Roman" w:eastAsia="Calibri" w:hAnsi="Times New Roman" w:cs="Times New Roman"/>
          <w:color w:val="0070C0"/>
          <w:sz w:val="24"/>
          <w:szCs w:val="24"/>
        </w:rPr>
        <w:t>)</w:t>
      </w:r>
      <w:r w:rsidRPr="007A0407">
        <w:rPr>
          <w:rFonts w:ascii="Times New Roman" w:eastAsia="Calibri" w:hAnsi="Times New Roman" w:cs="Times New Roman"/>
          <w:color w:val="000000"/>
          <w:sz w:val="24"/>
          <w:szCs w:val="24"/>
        </w:rPr>
        <w:t>., съгласно разпоредбата на чл. 62 от ЗМДТ. Това пряко ще стимулира разделното събиране на рециклируеми отпадъци в т.ч. отпадъци от опаковки.</w:t>
      </w:r>
      <w:r w:rsidR="004B6428">
        <w:rPr>
          <w:rFonts w:ascii="Times New Roman" w:eastAsia="Calibri" w:hAnsi="Times New Roman" w:cs="Times New Roman"/>
          <w:color w:val="000000"/>
          <w:sz w:val="24"/>
          <w:szCs w:val="24"/>
        </w:rPr>
        <w:t xml:space="preserve"> </w:t>
      </w:r>
      <w:r w:rsidR="004B6428" w:rsidRPr="004B6428">
        <w:rPr>
          <w:rFonts w:ascii="Times New Roman" w:eastAsia="Calibri" w:hAnsi="Times New Roman" w:cs="Times New Roman"/>
          <w:color w:val="0070C0"/>
          <w:sz w:val="24"/>
          <w:szCs w:val="24"/>
        </w:rPr>
        <w:t>(като се приложи съответният начин за изчисление в зависимост от приетите от общинския съвет основи за услугите по чл. 62.</w:t>
      </w:r>
      <w:r w:rsidR="00485DC3">
        <w:rPr>
          <w:rFonts w:ascii="Times New Roman" w:eastAsia="Calibri" w:hAnsi="Times New Roman" w:cs="Times New Roman"/>
          <w:color w:val="0070C0"/>
          <w:sz w:val="24"/>
          <w:szCs w:val="24"/>
        </w:rPr>
        <w:t>, като к</w:t>
      </w:r>
      <w:r w:rsidR="00485DC3" w:rsidRPr="00485DC3">
        <w:rPr>
          <w:rFonts w:ascii="Times New Roman" w:eastAsia="Calibri" w:hAnsi="Times New Roman" w:cs="Times New Roman"/>
          <w:color w:val="0070C0"/>
          <w:sz w:val="24"/>
          <w:szCs w:val="24"/>
        </w:rPr>
        <w:t>оличеството битови отпадъци е водеща основа за определяне на размер</w:t>
      </w:r>
      <w:r w:rsidR="00485DC3">
        <w:rPr>
          <w:rFonts w:ascii="Times New Roman" w:eastAsia="Calibri" w:hAnsi="Times New Roman" w:cs="Times New Roman"/>
          <w:color w:val="0070C0"/>
          <w:sz w:val="24"/>
          <w:szCs w:val="24"/>
        </w:rPr>
        <w:t>а на таксата за битови отпадъци</w:t>
      </w:r>
      <w:r w:rsidR="004B6428" w:rsidRPr="004B6428">
        <w:rPr>
          <w:rFonts w:ascii="Times New Roman" w:eastAsia="Calibri" w:hAnsi="Times New Roman" w:cs="Times New Roman"/>
          <w:color w:val="0070C0"/>
          <w:sz w:val="24"/>
          <w:szCs w:val="24"/>
        </w:rPr>
        <w:t>)</w:t>
      </w:r>
      <w:r w:rsidR="00485DC3">
        <w:rPr>
          <w:rFonts w:ascii="Times New Roman" w:eastAsia="Calibri" w:hAnsi="Times New Roman" w:cs="Times New Roman"/>
          <w:color w:val="0070C0"/>
          <w:sz w:val="24"/>
          <w:szCs w:val="24"/>
        </w:rPr>
        <w:t>.</w:t>
      </w:r>
      <w:bookmarkStart w:id="6" w:name="_GoBack"/>
      <w:bookmarkEnd w:id="6"/>
    </w:p>
    <w:p w:rsidR="007A0407" w:rsidRPr="007A0407" w:rsidRDefault="007A0407" w:rsidP="007A0407">
      <w:pPr>
        <w:spacing w:after="0" w:line="276" w:lineRule="auto"/>
        <w:ind w:left="360"/>
        <w:contextualSpacing/>
        <w:jc w:val="both"/>
        <w:rPr>
          <w:rFonts w:ascii="Times New Roman" w:eastAsia="Calibri" w:hAnsi="Times New Roman" w:cs="Times New Roman"/>
          <w:color w:val="000000"/>
          <w:sz w:val="24"/>
          <w:szCs w:val="24"/>
        </w:rPr>
      </w:pPr>
    </w:p>
    <w:p w:rsidR="007A0407" w:rsidRPr="007A0407" w:rsidRDefault="007A0407" w:rsidP="007A0407">
      <w:pPr>
        <w:numPr>
          <w:ilvl w:val="0"/>
          <w:numId w:val="41"/>
        </w:numPr>
        <w:spacing w:after="0" w:line="276" w:lineRule="auto"/>
        <w:ind w:firstLine="360"/>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Лица, които извършват дейности с отпадъци</w:t>
      </w:r>
      <w:r w:rsidRPr="007A0407">
        <w:rPr>
          <w:rFonts w:ascii="Times New Roman" w:eastAsia="Calibri" w:hAnsi="Times New Roman" w:cs="Times New Roman"/>
          <w:color w:val="000000"/>
          <w:sz w:val="24"/>
          <w:szCs w:val="24"/>
        </w:rPr>
        <w:t xml:space="preserve"> – събиране, предварително третиране и рециклиране по отношение на осигуряване на суровина за рециклиране и отчитане на количествата рециклирани отпадъци от опаковки. Съгласно Публичния регистър на лицата, притежаващи документи за извършване на дейности с отпадъци лицата, които имат издадени разрешителни документи за предварително третиране на отпадъци от опаковки са над 800 бр. Тези лица ще бъ</w:t>
      </w:r>
      <w:r w:rsidR="007B2795">
        <w:rPr>
          <w:rFonts w:ascii="Times New Roman" w:eastAsia="Calibri" w:hAnsi="Times New Roman" w:cs="Times New Roman"/>
          <w:color w:val="000000"/>
          <w:sz w:val="24"/>
          <w:szCs w:val="24"/>
        </w:rPr>
        <w:t>дат засегнати, доколкото проме</w:t>
      </w:r>
      <w:r w:rsidRPr="007A0407">
        <w:rPr>
          <w:rFonts w:ascii="Times New Roman" w:eastAsia="Calibri" w:hAnsi="Times New Roman" w:cs="Times New Roman"/>
          <w:color w:val="000000"/>
          <w:sz w:val="24"/>
          <w:szCs w:val="24"/>
        </w:rPr>
        <w:t xml:space="preserve">ните предвиждат единствено рециклиране, което ще изисква по-голямо количество, но и по-високо качество на сортираните предварително третирани отпадъци предавани за рециклиране. С оглед на въведените промени в директивата по отношение на правилата за измерване и изчисляване на рециклираните количества, българските дружества не са засегнати в същата степен като в други държави членки, тъй като и към момента в България рециклираните отпадъци се отчитат единствено от крайните рециклатори за действително преработените количествата. </w:t>
      </w:r>
    </w:p>
    <w:p w:rsidR="007A0407" w:rsidRPr="007A0407" w:rsidRDefault="007A0407" w:rsidP="007A0407">
      <w:pPr>
        <w:spacing w:after="0" w:line="276" w:lineRule="auto"/>
        <w:ind w:left="720"/>
        <w:contextualSpacing/>
        <w:rPr>
          <w:rFonts w:ascii="Times New Roman" w:eastAsia="Calibri" w:hAnsi="Times New Roman" w:cs="Times New Roman"/>
          <w:color w:val="000000"/>
          <w:sz w:val="24"/>
          <w:szCs w:val="24"/>
        </w:rPr>
      </w:pPr>
    </w:p>
    <w:p w:rsidR="007A0407" w:rsidRPr="007A0407" w:rsidRDefault="007A0407" w:rsidP="007A0407">
      <w:pPr>
        <w:numPr>
          <w:ilvl w:val="0"/>
          <w:numId w:val="41"/>
        </w:numPr>
        <w:spacing w:after="0" w:line="276" w:lineRule="auto"/>
        <w:ind w:firstLine="360"/>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Организации по оползотворяване на масово разпространени отпадъци</w:t>
      </w:r>
      <w:r w:rsidRPr="007A0407">
        <w:rPr>
          <w:rFonts w:ascii="Times New Roman" w:eastAsia="Calibri" w:hAnsi="Times New Roman" w:cs="Times New Roman"/>
          <w:color w:val="000000"/>
          <w:sz w:val="24"/>
          <w:szCs w:val="24"/>
        </w:rPr>
        <w:t xml:space="preserve"> – колективни организации по смисъла на директивата, чрез които се въвежда разширена отговорност на производителя. Въведените допълнителни изисквания по отношение на разходите и модулирането на вноските, произтичащи от минимални изисквания към схемите на разширена отговорност на производителя съгласно чл. 8а от Директива 2008/98/ЕС ще изискват частични промени в администрирането и финансирането. Специално по отношение на отпадъците от опаковки организациите по оползотворяване на отпадъци от опаковки ще трябва да вложат допълнителни средства за постепенно разширяване обхвата на системите за разделно събиране с цел увеличаване на събраните и рециклирани количества за поетапното постигане на целите за 2025 г. и 2030 г. Към настоящия момент броят на засегнатите организации по оползотворяване е 33, от тях – 5 бр. за отпадъци от опаковки. </w:t>
      </w:r>
    </w:p>
    <w:p w:rsidR="007A0407" w:rsidRPr="007A0407" w:rsidRDefault="007A0407" w:rsidP="007A0407">
      <w:pPr>
        <w:spacing w:after="0" w:line="276" w:lineRule="auto"/>
        <w:ind w:left="720"/>
        <w:contextualSpacing/>
        <w:rPr>
          <w:rFonts w:ascii="Times New Roman" w:eastAsia="Calibri" w:hAnsi="Times New Roman" w:cs="Times New Roman"/>
          <w:color w:val="000000"/>
          <w:sz w:val="24"/>
          <w:szCs w:val="24"/>
        </w:rPr>
      </w:pPr>
    </w:p>
    <w:p w:rsidR="007A0407" w:rsidRPr="007A0407" w:rsidRDefault="007A0407" w:rsidP="007A0407">
      <w:pPr>
        <w:numPr>
          <w:ilvl w:val="0"/>
          <w:numId w:val="41"/>
        </w:numPr>
        <w:spacing w:after="0" w:line="276" w:lineRule="auto"/>
        <w:ind w:firstLine="360"/>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b/>
          <w:i/>
          <w:color w:val="000000"/>
          <w:sz w:val="24"/>
          <w:szCs w:val="24"/>
        </w:rPr>
        <w:t>Лица, които пускат на пазара опаковани стоки</w:t>
      </w:r>
      <w:r w:rsidRPr="007A0407">
        <w:rPr>
          <w:rFonts w:ascii="Times New Roman" w:eastAsia="Calibri" w:hAnsi="Times New Roman" w:cs="Times New Roman"/>
          <w:color w:val="000000"/>
          <w:sz w:val="24"/>
          <w:szCs w:val="24"/>
        </w:rPr>
        <w:t xml:space="preserve"> - по отношение на схемата за разширена отговорност на производителя, доколкото се въвеждат директивни изисквания към формирането на вноските в организациите по оползотворяване, в т.ч. за модулиране съобразно възможностите на продуктите да бъдат повторно използвани и по-лесно рециклирани, това може да доведе до намаляване или увеличаване на разходит</w:t>
      </w:r>
      <w:r w:rsidR="007B2795">
        <w:rPr>
          <w:rFonts w:ascii="Times New Roman" w:eastAsia="Calibri" w:hAnsi="Times New Roman" w:cs="Times New Roman"/>
          <w:color w:val="000000"/>
          <w:sz w:val="24"/>
          <w:szCs w:val="24"/>
        </w:rPr>
        <w:t xml:space="preserve">е на производители и вносители. </w:t>
      </w:r>
      <w:r w:rsidRPr="007A0407">
        <w:rPr>
          <w:rFonts w:ascii="Times New Roman" w:eastAsia="Calibri" w:hAnsi="Times New Roman" w:cs="Times New Roman"/>
          <w:color w:val="000000"/>
          <w:sz w:val="24"/>
          <w:szCs w:val="24"/>
        </w:rPr>
        <w:t>Това са общо около 10 000 юридически лица, които пускат на пазара различни стоки, които са обхванати в режим на разширена отговорност на производителя.</w:t>
      </w: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680956" w:rsidRDefault="00680956"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7B2795" w:rsidRPr="007A0407" w:rsidRDefault="007B2795" w:rsidP="007A0407">
      <w:pPr>
        <w:autoSpaceDE w:val="0"/>
        <w:autoSpaceDN w:val="0"/>
        <w:adjustRightInd w:val="0"/>
        <w:spacing w:after="120" w:line="276" w:lineRule="auto"/>
        <w:jc w:val="center"/>
        <w:rPr>
          <w:rFonts w:ascii="Times New Roman" w:eastAsia="Calibri" w:hAnsi="Times New Roman" w:cs="Times New Roman"/>
          <w:b/>
          <w:sz w:val="24"/>
          <w:szCs w:val="24"/>
        </w:rPr>
      </w:pPr>
    </w:p>
    <w:p w:rsidR="007A0407" w:rsidRPr="007A0407" w:rsidRDefault="007A0407" w:rsidP="007A0407">
      <w:pPr>
        <w:autoSpaceDE w:val="0"/>
        <w:autoSpaceDN w:val="0"/>
        <w:adjustRightInd w:val="0"/>
        <w:spacing w:after="120" w:line="276" w:lineRule="auto"/>
        <w:rPr>
          <w:rFonts w:ascii="Times New Roman" w:eastAsia="Calibri" w:hAnsi="Times New Roman" w:cs="Times New Roman"/>
          <w:b/>
          <w:sz w:val="24"/>
          <w:szCs w:val="24"/>
        </w:rPr>
      </w:pPr>
      <w:r w:rsidRPr="007A0407">
        <w:rPr>
          <w:rFonts w:ascii="Times New Roman" w:eastAsia="Calibri" w:hAnsi="Times New Roman" w:cs="Times New Roman"/>
          <w:b/>
          <w:sz w:val="24"/>
          <w:szCs w:val="24"/>
        </w:rPr>
        <w:t>СПИСЪК НА ИЗПОЛЗВАНИТЕ РЕСУРСНИ МАТЕРИАЛИ</w:t>
      </w:r>
    </w:p>
    <w:p w:rsidR="007A0407" w:rsidRPr="007A0407" w:rsidRDefault="007A0407" w:rsidP="007A0407">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Европейски зелен пакт – </w:t>
      </w:r>
      <w:hyperlink r:id="rId42" w:history="1">
        <w:r w:rsidRPr="007A0407">
          <w:rPr>
            <w:rFonts w:ascii="Times New Roman" w:eastAsia="Calibri" w:hAnsi="Times New Roman" w:cs="Times New Roman"/>
            <w:color w:val="000000"/>
            <w:sz w:val="24"/>
            <w:szCs w:val="24"/>
          </w:rPr>
          <w:t>https://eur-lex.europa.eu/legal-content/BG/TXT/HTML/?uri=CELEX:52019DC0640&amp;from=EN</w:t>
        </w:r>
      </w:hyperlink>
      <w:r w:rsidRPr="007A0407">
        <w:rPr>
          <w:rFonts w:ascii="Times New Roman" w:eastAsia="Calibri" w:hAnsi="Times New Roman" w:cs="Times New Roman"/>
          <w:color w:val="000000"/>
          <w:sz w:val="24"/>
          <w:szCs w:val="24"/>
        </w:rPr>
        <w:t>, https://ec.europa.eu/commission/presscorner/detail/bg/ip_19_6691</w:t>
      </w:r>
    </w:p>
    <w:p w:rsidR="007A0407" w:rsidRPr="007A0407" w:rsidRDefault="007A0407" w:rsidP="007A0407">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Планът за инвестиции и Механизмът за справедлив преход на Европейския зелен пакт - https://ec.europa.eu/commission/presscorner/detail/bg/ip_20_17</w:t>
      </w:r>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Европейска промишлена стратегия - план за подготвена за бъдещето икономика - https://ec.europa.eu/commission/presscorner/detail/bg/ip_20_416</w:t>
      </w:r>
    </w:p>
    <w:p w:rsidR="007A0407" w:rsidRPr="007A0407" w:rsidRDefault="007A0407" w:rsidP="007A0407">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Стратегия на ЕС за биологичното разнообразие до 2030 г.</w:t>
      </w:r>
      <w:r w:rsidRPr="007A0407">
        <w:rPr>
          <w:rFonts w:ascii="Times New Roman" w:eastAsia="Calibri" w:hAnsi="Times New Roman" w:cs="Times New Roman"/>
          <w:color w:val="000000"/>
          <w:sz w:val="24"/>
          <w:szCs w:val="24"/>
          <w:lang w:val="en-GB"/>
        </w:rPr>
        <w:t xml:space="preserve"> - </w:t>
      </w:r>
      <w:hyperlink r:id="rId43" w:history="1">
        <w:r w:rsidRPr="007A0407">
          <w:rPr>
            <w:rFonts w:ascii="Times New Roman" w:eastAsia="Calibri" w:hAnsi="Times New Roman" w:cs="Times New Roman"/>
            <w:color w:val="0000FF"/>
            <w:u w:val="single"/>
          </w:rPr>
          <w:t>https://ec.europa.eu/info/strategy/priorities-2019-2024/european-green-deal/actions-being-taken-eu/eu-biodiversity-strategy-2030_bg</w:t>
        </w:r>
      </w:hyperlink>
    </w:p>
    <w:p w:rsidR="007A0407" w:rsidRPr="007A0407" w:rsidRDefault="007A0407" w:rsidP="007A0407">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План за действие относно кръговата икономика</w:t>
      </w:r>
      <w:r w:rsidRPr="007A0407">
        <w:rPr>
          <w:rFonts w:ascii="Times New Roman" w:eastAsia="Calibri" w:hAnsi="Times New Roman" w:cs="Times New Roman"/>
          <w:color w:val="000000"/>
          <w:sz w:val="24"/>
          <w:szCs w:val="24"/>
          <w:lang w:val="en-GB"/>
        </w:rPr>
        <w:t xml:space="preserve"> - </w:t>
      </w:r>
      <w:hyperlink r:id="rId44" w:history="1">
        <w:r w:rsidRPr="007A0407">
          <w:rPr>
            <w:rFonts w:ascii="Times New Roman" w:eastAsia="Calibri" w:hAnsi="Times New Roman" w:cs="Times New Roman"/>
            <w:color w:val="0000FF"/>
            <w:u w:val="single"/>
            <w:lang w:val="en-GB"/>
          </w:rPr>
          <w:t>https://ec.europa.eu/commission/presscorner/detail/bg/fs_20_437</w:t>
        </w:r>
      </w:hyperlink>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lang w:val="en-GB"/>
        </w:rPr>
      </w:pPr>
      <w:r w:rsidRPr="007A0407">
        <w:rPr>
          <w:rFonts w:ascii="Times New Roman" w:eastAsia="Calibri" w:hAnsi="Times New Roman" w:cs="Times New Roman"/>
          <w:color w:val="000000"/>
          <w:sz w:val="24"/>
          <w:szCs w:val="24"/>
        </w:rPr>
        <w:t>Стратегията "От фермата към трапезата" за устойчивост на продоволствените системи</w:t>
      </w:r>
      <w:r w:rsidRPr="007A0407">
        <w:rPr>
          <w:rFonts w:ascii="Times New Roman" w:eastAsia="Calibri" w:hAnsi="Times New Roman" w:cs="Times New Roman"/>
          <w:color w:val="000000"/>
          <w:sz w:val="24"/>
          <w:szCs w:val="24"/>
          <w:lang w:val="en-GB"/>
        </w:rPr>
        <w:t xml:space="preserve"> - https://ec.europa.eu/info/strategy/priorities-2019-2024/european-green-deal/actions-being-taken-eu/farm-fork_bg</w:t>
      </w:r>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Стратегия на ЕС за интегриране на енергийната система и и</w:t>
      </w:r>
      <w:r w:rsidR="00680956">
        <w:rPr>
          <w:rFonts w:ascii="Times New Roman" w:eastAsia="Calibri" w:hAnsi="Times New Roman" w:cs="Times New Roman"/>
          <w:color w:val="000000"/>
          <w:sz w:val="24"/>
          <w:szCs w:val="24"/>
        </w:rPr>
        <w:t>з</w:t>
      </w:r>
      <w:r w:rsidRPr="007A0407">
        <w:rPr>
          <w:rFonts w:ascii="Times New Roman" w:eastAsia="Calibri" w:hAnsi="Times New Roman" w:cs="Times New Roman"/>
          <w:color w:val="000000"/>
          <w:sz w:val="24"/>
          <w:szCs w:val="24"/>
        </w:rPr>
        <w:t>по</w:t>
      </w:r>
      <w:r w:rsidR="00680956">
        <w:rPr>
          <w:rFonts w:ascii="Times New Roman" w:eastAsia="Calibri" w:hAnsi="Times New Roman" w:cs="Times New Roman"/>
          <w:color w:val="000000"/>
          <w:sz w:val="24"/>
          <w:szCs w:val="24"/>
        </w:rPr>
        <w:t>л</w:t>
      </w:r>
      <w:r w:rsidRPr="007A0407">
        <w:rPr>
          <w:rFonts w:ascii="Times New Roman" w:eastAsia="Calibri" w:hAnsi="Times New Roman" w:cs="Times New Roman"/>
          <w:color w:val="000000"/>
          <w:sz w:val="24"/>
          <w:szCs w:val="24"/>
        </w:rPr>
        <w:t>зване на водорода за постигане на изцяло де</w:t>
      </w:r>
      <w:r w:rsidR="00680956">
        <w:rPr>
          <w:rFonts w:ascii="Times New Roman" w:eastAsia="Calibri" w:hAnsi="Times New Roman" w:cs="Times New Roman"/>
          <w:color w:val="000000"/>
          <w:sz w:val="24"/>
          <w:szCs w:val="24"/>
        </w:rPr>
        <w:t>карбонизиран, ефективен и взаим</w:t>
      </w:r>
      <w:r w:rsidRPr="007A0407">
        <w:rPr>
          <w:rFonts w:ascii="Times New Roman" w:eastAsia="Calibri" w:hAnsi="Times New Roman" w:cs="Times New Roman"/>
          <w:color w:val="000000"/>
          <w:sz w:val="24"/>
          <w:szCs w:val="24"/>
        </w:rPr>
        <w:t>освързан енергиен сектор</w:t>
      </w:r>
      <w:r w:rsidRPr="007A0407">
        <w:rPr>
          <w:rFonts w:ascii="Times New Roman" w:eastAsia="Calibri" w:hAnsi="Times New Roman" w:cs="Times New Roman"/>
          <w:color w:val="000000"/>
          <w:sz w:val="24"/>
          <w:szCs w:val="24"/>
          <w:lang w:val="en-GB"/>
        </w:rPr>
        <w:t xml:space="preserve"> - </w:t>
      </w:r>
      <w:r w:rsidRPr="007A0407">
        <w:rPr>
          <w:rFonts w:ascii="Times New Roman" w:eastAsia="Calibri" w:hAnsi="Times New Roman" w:cs="Times New Roman"/>
          <w:color w:val="000000"/>
          <w:sz w:val="24"/>
          <w:szCs w:val="24"/>
        </w:rPr>
        <w:t>https://ec.europa.eu/energy/sites/ener/files/hydrogen_strategy.pdf</w:t>
      </w:r>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План за целите в областта на климата до 2030г.</w:t>
      </w:r>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 xml:space="preserve">План за саниране - </w:t>
      </w:r>
      <w:hyperlink r:id="rId45" w:history="1">
        <w:r w:rsidRPr="007A0407">
          <w:rPr>
            <w:rFonts w:ascii="Times New Roman" w:eastAsia="Calibri" w:hAnsi="Times New Roman" w:cs="Times New Roman"/>
            <w:color w:val="0000FF"/>
            <w:u w:val="single"/>
          </w:rPr>
          <w:t>https://ec.europa.eu/commission/presscorner/detail/bg/ip_20_1835</w:t>
        </w:r>
      </w:hyperlink>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План за метана</w:t>
      </w:r>
      <w:r w:rsidRPr="007A0407">
        <w:rPr>
          <w:rFonts w:ascii="Times New Roman" w:eastAsia="Calibri" w:hAnsi="Times New Roman" w:cs="Times New Roman"/>
          <w:color w:val="000000"/>
          <w:sz w:val="24"/>
          <w:szCs w:val="24"/>
          <w:lang w:val="en-GB"/>
        </w:rPr>
        <w:t xml:space="preserve"> - </w:t>
      </w:r>
      <w:hyperlink r:id="rId46" w:history="1">
        <w:r w:rsidRPr="007A0407">
          <w:rPr>
            <w:rFonts w:ascii="Times New Roman" w:eastAsia="Calibri" w:hAnsi="Times New Roman" w:cs="Times New Roman"/>
            <w:color w:val="0000FF"/>
            <w:u w:val="single"/>
            <w:lang w:val="en-GB"/>
          </w:rPr>
          <w:t>https://ec.europa.eu/commission/presscorner/detail/bg/ip_20_1833</w:t>
        </w:r>
      </w:hyperlink>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Стратегия за химичните вещества с цел устойчивост</w:t>
      </w:r>
      <w:r w:rsidRPr="007A0407">
        <w:rPr>
          <w:rFonts w:ascii="Times New Roman" w:eastAsia="Calibri" w:hAnsi="Times New Roman" w:cs="Times New Roman"/>
          <w:color w:val="000000"/>
          <w:sz w:val="24"/>
          <w:szCs w:val="24"/>
          <w:lang w:val="en-GB"/>
        </w:rPr>
        <w:t xml:space="preserve"> - https://ec.europa.eu/commission/presscorner/detail/bg/ip_20_1839.</w:t>
      </w:r>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bCs/>
          <w:color w:val="000000"/>
          <w:sz w:val="24"/>
          <w:szCs w:val="24"/>
        </w:rPr>
        <w:t>Енергия от възобновяеми източници в морето</w:t>
      </w:r>
      <w:r w:rsidRPr="007A0407">
        <w:rPr>
          <w:rFonts w:ascii="Times New Roman" w:eastAsia="Calibri" w:hAnsi="Times New Roman" w:cs="Times New Roman"/>
          <w:bCs/>
          <w:color w:val="000000"/>
          <w:sz w:val="24"/>
          <w:szCs w:val="24"/>
          <w:lang w:val="en-GB"/>
        </w:rPr>
        <w:t xml:space="preserve"> - https://ec.europa.eu/commission/presscorner/detail/bg/ip_20_2096</w:t>
      </w:r>
    </w:p>
    <w:p w:rsidR="007A0407" w:rsidRPr="007A0407"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bCs/>
          <w:color w:val="000000"/>
          <w:sz w:val="24"/>
          <w:szCs w:val="24"/>
        </w:rPr>
        <w:t>Европейски пакт за климата</w:t>
      </w:r>
      <w:r w:rsidRPr="007A0407">
        <w:rPr>
          <w:rFonts w:ascii="Times New Roman" w:eastAsia="Calibri" w:hAnsi="Times New Roman" w:cs="Times New Roman"/>
          <w:bCs/>
          <w:color w:val="000000"/>
          <w:sz w:val="24"/>
          <w:szCs w:val="24"/>
          <w:lang w:val="en-GB"/>
        </w:rPr>
        <w:t xml:space="preserve"> - https://ec.europa.eu/commission/presscorner/detail/bg/ip_20_2323</w:t>
      </w:r>
    </w:p>
    <w:p w:rsidR="007A0407" w:rsidRPr="00AC0CAF" w:rsidRDefault="007A0407" w:rsidP="007A0407">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Нов Европейски БАУХАУС</w:t>
      </w:r>
      <w:r w:rsidRPr="007A0407">
        <w:rPr>
          <w:rFonts w:ascii="Times New Roman" w:eastAsia="Calibri" w:hAnsi="Times New Roman" w:cs="Times New Roman"/>
          <w:color w:val="000000"/>
          <w:sz w:val="24"/>
          <w:szCs w:val="24"/>
          <w:lang w:val="en-GB"/>
        </w:rPr>
        <w:t xml:space="preserve"> - </w:t>
      </w:r>
      <w:hyperlink r:id="rId47" w:history="1">
        <w:r w:rsidR="00AC0CAF" w:rsidRPr="00E8296E">
          <w:rPr>
            <w:rStyle w:val="Hyperlink"/>
            <w:rFonts w:ascii="Times New Roman" w:eastAsia="Calibri" w:hAnsi="Times New Roman" w:cs="Times New Roman"/>
            <w:sz w:val="24"/>
            <w:szCs w:val="24"/>
            <w:lang w:val="en-GB"/>
          </w:rPr>
          <w:t>https://europa.eu/new-european-bauhaus/index_bg</w:t>
        </w:r>
      </w:hyperlink>
    </w:p>
    <w:p w:rsidR="00AC0CAF" w:rsidRDefault="00AC0CAF" w:rsidP="00AC0CAF">
      <w:pPr>
        <w:numPr>
          <w:ilvl w:val="0"/>
          <w:numId w:val="43"/>
        </w:numPr>
        <w:tabs>
          <w:tab w:val="left" w:pos="0"/>
        </w:tabs>
        <w:spacing w:after="200" w:line="276"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Национална програма за предотвратяване и намаляване на загубата на храни – 2021г. – 2026г.</w:t>
      </w:r>
      <w:r w:rsidRPr="00AC0CAF">
        <w:t xml:space="preserve"> </w:t>
      </w:r>
      <w:hyperlink r:id="rId48" w:history="1">
        <w:r w:rsidRPr="00E8296E">
          <w:rPr>
            <w:rStyle w:val="Hyperlink"/>
            <w:rFonts w:ascii="Times New Roman" w:eastAsia="Calibri" w:hAnsi="Times New Roman" w:cs="Times New Roman"/>
            <w:sz w:val="24"/>
            <w:szCs w:val="24"/>
          </w:rPr>
          <w:t>https://www.mzh.government.bg/bg/politiki-i-programi/politiki-i-strategii/nacionalna-programa-za-predotvratyavane-i-namalyavane-na-zagubat/</w:t>
        </w:r>
      </w:hyperlink>
    </w:p>
    <w:p w:rsidR="007A0407" w:rsidRPr="007A0407" w:rsidRDefault="007A0407" w:rsidP="007A0407">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rPr>
      </w:pPr>
      <w:r w:rsidRPr="007A0407">
        <w:rPr>
          <w:rFonts w:ascii="Times New Roman" w:eastAsia="Calibri" w:hAnsi="Times New Roman" w:cs="Times New Roman"/>
          <w:color w:val="000000"/>
          <w:sz w:val="24"/>
          <w:szCs w:val="24"/>
        </w:rPr>
        <w:t>Закон за управление на отпадъците (</w:t>
      </w:r>
      <w:r w:rsidRPr="007A0407">
        <w:rPr>
          <w:rFonts w:ascii="Times New Roman" w:eastAsia="Calibri" w:hAnsi="Times New Roman" w:cs="Times New Roman"/>
          <w:i/>
          <w:color w:val="000000"/>
          <w:sz w:val="24"/>
          <w:szCs w:val="24"/>
        </w:rPr>
        <w:t>ДВ, бр. 53 от 13.07.2012 г., посл. изм. ДВ, бр. 19 от 05.03.2021 г.</w:t>
      </w:r>
      <w:r w:rsidRPr="007A0407">
        <w:rPr>
          <w:rFonts w:ascii="Times New Roman" w:eastAsia="Calibri" w:hAnsi="Times New Roman" w:cs="Times New Roman"/>
          <w:color w:val="000000"/>
          <w:sz w:val="24"/>
          <w:szCs w:val="24"/>
        </w:rPr>
        <w:t>)</w:t>
      </w:r>
    </w:p>
    <w:p w:rsidR="007A0407" w:rsidRPr="007A0407" w:rsidRDefault="00393C68" w:rsidP="007A0407">
      <w:pPr>
        <w:numPr>
          <w:ilvl w:val="0"/>
          <w:numId w:val="43"/>
        </w:numPr>
        <w:tabs>
          <w:tab w:val="left" w:pos="0"/>
        </w:tabs>
        <w:spacing w:after="0" w:line="276" w:lineRule="auto"/>
        <w:contextualSpacing/>
        <w:jc w:val="both"/>
        <w:rPr>
          <w:rFonts w:ascii="Times New Roman" w:eastAsia="Calibri" w:hAnsi="Times New Roman" w:cs="Times New Roman"/>
          <w:sz w:val="24"/>
          <w:szCs w:val="24"/>
        </w:rPr>
      </w:pPr>
      <w:hyperlink r:id="rId49" w:tgtFrame="_self" w:history="1">
        <w:r w:rsidR="007A0407" w:rsidRPr="007A0407">
          <w:rPr>
            <w:rFonts w:ascii="Times New Roman" w:eastAsia="Calibri" w:hAnsi="Times New Roman" w:cs="Times New Roman"/>
            <w:sz w:val="24"/>
            <w:szCs w:val="24"/>
            <w:shd w:val="clear" w:color="auto" w:fill="FFFFFF"/>
          </w:rPr>
          <w:t>Наредба за разделно събиране на биоотпадъците и третиране на биоразградимите отпадъци</w:t>
        </w:r>
      </w:hyperlink>
      <w:r w:rsidR="007A0407" w:rsidRPr="007A0407">
        <w:rPr>
          <w:rFonts w:ascii="Times New Roman" w:eastAsia="Calibri" w:hAnsi="Times New Roman" w:cs="Times New Roman"/>
          <w:sz w:val="24"/>
          <w:szCs w:val="24"/>
          <w:shd w:val="clear" w:color="auto" w:fill="FFFFFF"/>
        </w:rPr>
        <w:t> (</w:t>
      </w:r>
      <w:r w:rsidR="007A0407" w:rsidRPr="007A0407">
        <w:rPr>
          <w:rFonts w:ascii="Times New Roman" w:eastAsia="Calibri" w:hAnsi="Times New Roman" w:cs="Times New Roman"/>
          <w:i/>
          <w:sz w:val="24"/>
          <w:szCs w:val="24"/>
          <w:shd w:val="clear" w:color="auto" w:fill="FFFFFF"/>
        </w:rPr>
        <w:t xml:space="preserve">Приета с ПМС № 20 от 25.01.2017 г., </w:t>
      </w:r>
      <w:proofErr w:type="spellStart"/>
      <w:r w:rsidR="007A0407" w:rsidRPr="007A0407">
        <w:rPr>
          <w:rFonts w:ascii="Times New Roman" w:eastAsia="Calibri" w:hAnsi="Times New Roman" w:cs="Times New Roman"/>
          <w:i/>
          <w:sz w:val="24"/>
          <w:szCs w:val="24"/>
          <w:shd w:val="clear" w:color="auto" w:fill="FFFFFF"/>
        </w:rPr>
        <w:t>Обн</w:t>
      </w:r>
      <w:proofErr w:type="spellEnd"/>
      <w:r w:rsidR="007A0407" w:rsidRPr="007A0407">
        <w:rPr>
          <w:rFonts w:ascii="Times New Roman" w:eastAsia="Calibri" w:hAnsi="Times New Roman" w:cs="Times New Roman"/>
          <w:i/>
          <w:sz w:val="24"/>
          <w:szCs w:val="24"/>
          <w:shd w:val="clear" w:color="auto" w:fill="FFFFFF"/>
        </w:rPr>
        <w:t>. ДВ. бр.11 от 31 Януари 2017г., изм. и доп. ДВ. бр.2 от 8 януари 2021 г</w:t>
      </w:r>
      <w:r w:rsidR="007A0407" w:rsidRPr="007A0407">
        <w:rPr>
          <w:rFonts w:ascii="Times New Roman" w:eastAsia="Calibri" w:hAnsi="Times New Roman" w:cs="Times New Roman"/>
          <w:sz w:val="24"/>
          <w:szCs w:val="24"/>
          <w:shd w:val="clear" w:color="auto" w:fill="FFFFFF"/>
        </w:rPr>
        <w:t>.)</w:t>
      </w:r>
    </w:p>
    <w:p w:rsidR="007A0407" w:rsidRPr="007A0407" w:rsidRDefault="00393C68" w:rsidP="007A0407">
      <w:pPr>
        <w:numPr>
          <w:ilvl w:val="0"/>
          <w:numId w:val="43"/>
        </w:numPr>
        <w:tabs>
          <w:tab w:val="left" w:pos="0"/>
        </w:tabs>
        <w:spacing w:after="0" w:line="276" w:lineRule="auto"/>
        <w:contextualSpacing/>
        <w:jc w:val="both"/>
        <w:rPr>
          <w:rFonts w:ascii="Times New Roman" w:eastAsia="Calibri" w:hAnsi="Times New Roman" w:cs="Times New Roman"/>
          <w:sz w:val="24"/>
          <w:szCs w:val="24"/>
        </w:rPr>
      </w:pPr>
      <w:hyperlink r:id="rId50" w:tgtFrame="_self" w:history="1">
        <w:r w:rsidR="007A0407" w:rsidRPr="008A2D3F">
          <w:rPr>
            <w:rFonts w:ascii="Times New Roman" w:eastAsia="Calibri" w:hAnsi="Times New Roman" w:cs="Times New Roman"/>
            <w:sz w:val="24"/>
            <w:szCs w:val="24"/>
            <w:shd w:val="clear" w:color="auto" w:fill="FFFFFF"/>
          </w:rPr>
          <w:t>Наредба за опаковките и отпадъците от опаковки</w:t>
        </w:r>
      </w:hyperlink>
      <w:r w:rsidR="007A0407" w:rsidRPr="007A0407">
        <w:rPr>
          <w:rFonts w:ascii="Times New Roman" w:eastAsia="Calibri" w:hAnsi="Times New Roman" w:cs="Times New Roman"/>
          <w:color w:val="000000"/>
          <w:sz w:val="24"/>
          <w:szCs w:val="24"/>
          <w:shd w:val="clear" w:color="auto" w:fill="FFFFFF"/>
        </w:rPr>
        <w:t> (</w:t>
      </w:r>
      <w:r w:rsidR="007A0407" w:rsidRPr="007A0407">
        <w:rPr>
          <w:rFonts w:ascii="Times New Roman" w:eastAsia="Calibri" w:hAnsi="Times New Roman" w:cs="Times New Roman"/>
          <w:i/>
          <w:color w:val="000000"/>
          <w:sz w:val="24"/>
          <w:szCs w:val="24"/>
          <w:shd w:val="clear" w:color="auto" w:fill="FFFFFF"/>
        </w:rPr>
        <w:t xml:space="preserve">Приета с ПМС № 271 от 30.10.2012 г., </w:t>
      </w:r>
      <w:proofErr w:type="spellStart"/>
      <w:r w:rsidR="007A0407" w:rsidRPr="007A0407">
        <w:rPr>
          <w:rFonts w:ascii="Times New Roman" w:eastAsia="Calibri" w:hAnsi="Times New Roman" w:cs="Times New Roman"/>
          <w:i/>
          <w:color w:val="000000"/>
          <w:sz w:val="24"/>
          <w:szCs w:val="24"/>
          <w:shd w:val="clear" w:color="auto" w:fill="FFFFFF"/>
        </w:rPr>
        <w:t>обн</w:t>
      </w:r>
      <w:proofErr w:type="spellEnd"/>
      <w:r w:rsidR="007A0407" w:rsidRPr="007A0407">
        <w:rPr>
          <w:rFonts w:ascii="Times New Roman" w:eastAsia="Calibri" w:hAnsi="Times New Roman" w:cs="Times New Roman"/>
          <w:i/>
          <w:color w:val="000000"/>
          <w:sz w:val="24"/>
          <w:szCs w:val="24"/>
          <w:shd w:val="clear" w:color="auto" w:fill="FFFFFF"/>
        </w:rPr>
        <w:t>., ДВ, бр. 85 от 6.11.2012 г., в сила от 6.11.2012 г., посл. Изм. и доп. ДВ бр. 2 от 8.01.2021 г</w:t>
      </w:r>
      <w:r w:rsidR="007A0407" w:rsidRPr="007A0407">
        <w:rPr>
          <w:rFonts w:ascii="Times New Roman" w:eastAsia="Calibri" w:hAnsi="Times New Roman" w:cs="Times New Roman"/>
          <w:color w:val="000000"/>
          <w:sz w:val="24"/>
          <w:szCs w:val="24"/>
          <w:shd w:val="clear" w:color="auto" w:fill="FFFFFF"/>
        </w:rPr>
        <w:t>.);</w:t>
      </w:r>
    </w:p>
    <w:p w:rsidR="007A0407" w:rsidRPr="008A2D3F" w:rsidRDefault="007A0407" w:rsidP="007A0407">
      <w:pPr>
        <w:numPr>
          <w:ilvl w:val="0"/>
          <w:numId w:val="43"/>
        </w:numPr>
        <w:tabs>
          <w:tab w:val="left" w:pos="284"/>
        </w:tabs>
        <w:spacing w:after="0" w:line="276" w:lineRule="auto"/>
        <w:contextualSpacing/>
        <w:jc w:val="both"/>
        <w:textAlignment w:val="center"/>
        <w:rPr>
          <w:rFonts w:ascii="Times New Roman" w:eastAsia="Calibri" w:hAnsi="Times New Roman" w:cs="Times New Roman"/>
          <w:bCs/>
          <w:color w:val="0070C0"/>
          <w:sz w:val="24"/>
          <w:szCs w:val="24"/>
        </w:rPr>
      </w:pPr>
      <w:r w:rsidRPr="008A2D3F">
        <w:rPr>
          <w:rFonts w:ascii="Times New Roman" w:eastAsia="Calibri" w:hAnsi="Times New Roman" w:cs="Times New Roman"/>
          <w:bCs/>
          <w:color w:val="0070C0"/>
          <w:sz w:val="24"/>
          <w:szCs w:val="24"/>
        </w:rPr>
        <w:t>Наредба № 7 от 19 декември 2013 г. за реда и начина за изчисляване и определяне размера на обезпеченията и отчисленията, изисквани при депониране на отпадъци (</w:t>
      </w:r>
      <w:proofErr w:type="spellStart"/>
      <w:r w:rsidRPr="008A2D3F">
        <w:rPr>
          <w:rFonts w:ascii="Times New Roman" w:eastAsia="Calibri" w:hAnsi="Times New Roman" w:cs="Times New Roman"/>
          <w:i/>
          <w:iCs/>
          <w:color w:val="0070C0"/>
          <w:sz w:val="24"/>
          <w:szCs w:val="24"/>
        </w:rPr>
        <w:t>Обн</w:t>
      </w:r>
      <w:proofErr w:type="spellEnd"/>
      <w:r w:rsidRPr="008A2D3F">
        <w:rPr>
          <w:rFonts w:ascii="Times New Roman" w:eastAsia="Calibri" w:hAnsi="Times New Roman" w:cs="Times New Roman"/>
          <w:i/>
          <w:iCs/>
          <w:color w:val="0070C0"/>
          <w:sz w:val="24"/>
          <w:szCs w:val="24"/>
        </w:rPr>
        <w:t>. ДВ. бр.111 от 27 декември 2013г., изм. и доп. ДВ. бр.26 от 22 март 2020г.,изм. и доп. ДВ. Бр.77от 16.09.2021г.)</w:t>
      </w:r>
    </w:p>
    <w:p w:rsidR="007A0407" w:rsidRPr="007A0407" w:rsidRDefault="007A0407" w:rsidP="007A0407">
      <w:pPr>
        <w:numPr>
          <w:ilvl w:val="0"/>
          <w:numId w:val="43"/>
        </w:numPr>
        <w:tabs>
          <w:tab w:val="left" w:pos="0"/>
        </w:tabs>
        <w:spacing w:after="0" w:line="276" w:lineRule="auto"/>
        <w:contextualSpacing/>
        <w:jc w:val="both"/>
        <w:rPr>
          <w:rFonts w:ascii="Times New Roman" w:eastAsia="Calibri" w:hAnsi="Times New Roman" w:cs="Times New Roman"/>
          <w:i/>
          <w:color w:val="000000"/>
          <w:sz w:val="24"/>
          <w:szCs w:val="24"/>
          <w:lang w:eastAsia="bg-BG"/>
        </w:rPr>
      </w:pPr>
      <w:r w:rsidRPr="007A0407">
        <w:rPr>
          <w:rFonts w:ascii="Times New Roman" w:eastAsia="Calibri" w:hAnsi="Times New Roman" w:cs="Times New Roman"/>
          <w:color w:val="000000"/>
          <w:sz w:val="24"/>
          <w:szCs w:val="24"/>
          <w:lang w:eastAsia="bg-BG"/>
        </w:rPr>
        <w:t>Наредба за излезли от употреба моторни превозни средства</w:t>
      </w:r>
      <w:r w:rsidRPr="007A0407">
        <w:rPr>
          <w:rFonts w:ascii="Times New Roman" w:eastAsia="Calibri" w:hAnsi="Times New Roman" w:cs="Times New Roman"/>
          <w:i/>
          <w:color w:val="000000"/>
          <w:sz w:val="24"/>
          <w:szCs w:val="24"/>
          <w:lang w:eastAsia="bg-BG"/>
        </w:rPr>
        <w:t xml:space="preserve"> (Приета с ПМС №11 от 15.01.2013 г., посл. изм. и доп. ДВ. бр. 2 от 8.01.2021 г.)</w:t>
      </w:r>
    </w:p>
    <w:p w:rsidR="007A0407" w:rsidRPr="008A2D3F" w:rsidRDefault="007A0407" w:rsidP="007A0407">
      <w:pPr>
        <w:numPr>
          <w:ilvl w:val="0"/>
          <w:numId w:val="43"/>
        </w:numPr>
        <w:spacing w:after="200" w:line="276" w:lineRule="auto"/>
        <w:contextualSpacing/>
        <w:rPr>
          <w:rFonts w:ascii="Times New Roman" w:eastAsia="Calibri" w:hAnsi="Times New Roman" w:cs="Times New Roman"/>
          <w:color w:val="0070C0"/>
          <w:sz w:val="24"/>
          <w:szCs w:val="24"/>
        </w:rPr>
      </w:pPr>
      <w:r w:rsidRPr="008A2D3F">
        <w:rPr>
          <w:rFonts w:ascii="Times New Roman" w:eastAsia="Calibri" w:hAnsi="Times New Roman" w:cs="Times New Roman"/>
          <w:color w:val="0070C0"/>
          <w:sz w:val="24"/>
          <w:szCs w:val="24"/>
        </w:rPr>
        <w:t>Наредба №1 от 4 юни 2014 г. за реда и образците, по който се предоставя информация за дейности с отпадъци, както и за реда на водене на публични регистри (</w:t>
      </w:r>
      <w:proofErr w:type="spellStart"/>
      <w:r w:rsidRPr="008A2D3F">
        <w:rPr>
          <w:rFonts w:ascii="Times New Roman" w:eastAsia="Calibri" w:hAnsi="Times New Roman" w:cs="Times New Roman"/>
          <w:color w:val="0070C0"/>
          <w:sz w:val="24"/>
          <w:szCs w:val="24"/>
        </w:rPr>
        <w:t>Обн</w:t>
      </w:r>
      <w:proofErr w:type="spellEnd"/>
      <w:r w:rsidRPr="008A2D3F">
        <w:rPr>
          <w:rFonts w:ascii="Times New Roman" w:eastAsia="Calibri" w:hAnsi="Times New Roman" w:cs="Times New Roman"/>
          <w:color w:val="0070C0"/>
          <w:sz w:val="24"/>
          <w:szCs w:val="24"/>
        </w:rPr>
        <w:t>. ДВ. бр. 51 от 20 юни 2014 г., изм. и доп. ДВ, бр. 30 от 31 Март 2020 г.,  изм. и доп. ДВ. бр.82 от 1 Октомври 2021г.)</w:t>
      </w:r>
    </w:p>
    <w:p w:rsidR="007A0407" w:rsidRPr="007A0407" w:rsidRDefault="007A0407" w:rsidP="007A0407">
      <w:pPr>
        <w:numPr>
          <w:ilvl w:val="0"/>
          <w:numId w:val="43"/>
        </w:numPr>
        <w:tabs>
          <w:tab w:val="left" w:pos="284"/>
        </w:tabs>
        <w:spacing w:after="0" w:line="276" w:lineRule="auto"/>
        <w:contextualSpacing/>
        <w:jc w:val="both"/>
        <w:rPr>
          <w:rFonts w:ascii="Times New Roman" w:eastAsia="Times New Roman" w:hAnsi="Times New Roman" w:cs="Times New Roman"/>
          <w:bCs/>
          <w:i/>
          <w:color w:val="FF0000"/>
          <w:sz w:val="24"/>
          <w:szCs w:val="24"/>
          <w:lang w:eastAsia="en-GB"/>
        </w:rPr>
      </w:pPr>
      <w:r w:rsidRPr="008A2D3F">
        <w:rPr>
          <w:rFonts w:ascii="Times New Roman" w:eastAsia="Times New Roman" w:hAnsi="Times New Roman" w:cs="Times New Roman"/>
          <w:bCs/>
          <w:color w:val="0070C0"/>
          <w:sz w:val="24"/>
          <w:szCs w:val="24"/>
          <w:lang w:eastAsia="en-GB"/>
        </w:rPr>
        <w:t>Наредба № 2 за класификация на отпадъците</w:t>
      </w:r>
      <w:r w:rsidRPr="008A2D3F">
        <w:rPr>
          <w:rFonts w:ascii="Times New Roman" w:eastAsia="Times New Roman" w:hAnsi="Times New Roman" w:cs="Times New Roman"/>
          <w:bCs/>
          <w:i/>
          <w:color w:val="0070C0"/>
          <w:sz w:val="24"/>
          <w:szCs w:val="24"/>
          <w:lang w:eastAsia="en-GB"/>
        </w:rPr>
        <w:t xml:space="preserve"> (</w:t>
      </w:r>
      <w:proofErr w:type="spellStart"/>
      <w:r w:rsidRPr="008A2D3F">
        <w:rPr>
          <w:rFonts w:ascii="Times New Roman" w:eastAsia="Calibri" w:hAnsi="Times New Roman" w:cs="Times New Roman"/>
          <w:i/>
          <w:color w:val="0070C0"/>
          <w:sz w:val="24"/>
          <w:szCs w:val="24"/>
          <w:shd w:val="clear" w:color="auto" w:fill="FFFFFF"/>
        </w:rPr>
        <w:t>обн</w:t>
      </w:r>
      <w:proofErr w:type="spellEnd"/>
      <w:r w:rsidRPr="008A2D3F">
        <w:rPr>
          <w:rFonts w:ascii="Times New Roman" w:eastAsia="Calibri" w:hAnsi="Times New Roman" w:cs="Times New Roman"/>
          <w:i/>
          <w:color w:val="0070C0"/>
          <w:sz w:val="24"/>
          <w:szCs w:val="24"/>
          <w:shd w:val="clear" w:color="auto" w:fill="FFFFFF"/>
        </w:rPr>
        <w:t>., ДВ, бр. 66 от 8.08.2014 г., изм. и доп., бр. 86 от 6.10.2020 г.,</w:t>
      </w:r>
      <w:r w:rsidRPr="008A2D3F">
        <w:rPr>
          <w:rFonts w:ascii="Verdana" w:eastAsia="Calibri" w:hAnsi="Verdana" w:cs="Times New Roman"/>
          <w:color w:val="0070C0"/>
          <w:sz w:val="18"/>
          <w:szCs w:val="18"/>
          <w:shd w:val="clear" w:color="auto" w:fill="FEFEFE"/>
        </w:rPr>
        <w:t xml:space="preserve"> </w:t>
      </w:r>
      <w:r w:rsidRPr="008A2D3F">
        <w:rPr>
          <w:rFonts w:ascii="Times New Roman" w:eastAsia="Calibri" w:hAnsi="Times New Roman" w:cs="Times New Roman"/>
          <w:color w:val="0070C0"/>
          <w:sz w:val="24"/>
          <w:szCs w:val="24"/>
          <w:shd w:val="clear" w:color="auto" w:fill="FEFEFE"/>
        </w:rPr>
        <w:t>изм. и доп. ДВ. бр.53 от 8 Юли 2022 г</w:t>
      </w:r>
      <w:r w:rsidRPr="008A2D3F">
        <w:rPr>
          <w:rFonts w:ascii="Times New Roman" w:eastAsia="Times New Roman" w:hAnsi="Times New Roman" w:cs="Times New Roman"/>
          <w:bCs/>
          <w:i/>
          <w:color w:val="0070C0"/>
          <w:sz w:val="24"/>
          <w:szCs w:val="24"/>
          <w:lang w:eastAsia="en-GB"/>
        </w:rPr>
        <w:t xml:space="preserve">.  </w:t>
      </w:r>
    </w:p>
    <w:p w:rsidR="007A0407" w:rsidRPr="007A0407" w:rsidRDefault="00393C68" w:rsidP="007A0407">
      <w:pPr>
        <w:numPr>
          <w:ilvl w:val="0"/>
          <w:numId w:val="43"/>
        </w:numPr>
        <w:tabs>
          <w:tab w:val="left" w:pos="0"/>
        </w:tabs>
        <w:spacing w:after="0" w:line="276" w:lineRule="auto"/>
        <w:contextualSpacing/>
        <w:jc w:val="both"/>
        <w:rPr>
          <w:rFonts w:ascii="Times New Roman" w:eastAsia="Calibri" w:hAnsi="Times New Roman" w:cs="Times New Roman"/>
          <w:sz w:val="24"/>
          <w:szCs w:val="24"/>
        </w:rPr>
      </w:pPr>
      <w:hyperlink r:id="rId51" w:tgtFrame="_self" w:history="1">
        <w:r w:rsidR="007A0407" w:rsidRPr="007A0407">
          <w:rPr>
            <w:rFonts w:ascii="Times New Roman" w:eastAsia="Calibri" w:hAnsi="Times New Roman" w:cs="Times New Roman"/>
            <w:sz w:val="24"/>
            <w:szCs w:val="24"/>
            <w:shd w:val="clear" w:color="auto" w:fill="FFFFFF"/>
          </w:rPr>
          <w:t>Наредба за батерии и акумулатори и за негодни за употреба батерии и акумулатори </w:t>
        </w:r>
      </w:hyperlink>
      <w:r w:rsidR="007A0407" w:rsidRPr="007A0407">
        <w:rPr>
          <w:rFonts w:ascii="Times New Roman" w:eastAsia="Calibri" w:hAnsi="Times New Roman" w:cs="Times New Roman"/>
          <w:sz w:val="24"/>
          <w:szCs w:val="24"/>
          <w:shd w:val="clear" w:color="auto" w:fill="FFFFFF"/>
        </w:rPr>
        <w:t>(</w:t>
      </w:r>
      <w:r w:rsidR="007A0407" w:rsidRPr="007A0407">
        <w:rPr>
          <w:rFonts w:ascii="Times New Roman" w:eastAsia="Calibri" w:hAnsi="Times New Roman" w:cs="Times New Roman"/>
          <w:i/>
          <w:sz w:val="24"/>
          <w:szCs w:val="24"/>
          <w:shd w:val="clear" w:color="auto" w:fill="FFFFFF"/>
        </w:rPr>
        <w:t xml:space="preserve">Приета с ПМС № 351 от 27.12.2012 г., </w:t>
      </w:r>
      <w:proofErr w:type="spellStart"/>
      <w:r w:rsidR="007A0407" w:rsidRPr="007A0407">
        <w:rPr>
          <w:rFonts w:ascii="Times New Roman" w:eastAsia="Calibri" w:hAnsi="Times New Roman" w:cs="Times New Roman"/>
          <w:i/>
          <w:sz w:val="24"/>
          <w:szCs w:val="24"/>
          <w:shd w:val="clear" w:color="auto" w:fill="FFFFFF"/>
        </w:rPr>
        <w:t>обн</w:t>
      </w:r>
      <w:proofErr w:type="spellEnd"/>
      <w:r w:rsidR="007A0407" w:rsidRPr="007A0407">
        <w:rPr>
          <w:rFonts w:ascii="Times New Roman" w:eastAsia="Calibri" w:hAnsi="Times New Roman" w:cs="Times New Roman"/>
          <w:i/>
          <w:sz w:val="24"/>
          <w:szCs w:val="24"/>
          <w:shd w:val="clear" w:color="auto" w:fill="FFFFFF"/>
        </w:rPr>
        <w:t>., ДВ, бр. 2 от 8.01.2013 г., посл. доп., бр. 2 от 8.01.2021 г.)</w:t>
      </w:r>
    </w:p>
    <w:p w:rsidR="007A0407" w:rsidRPr="007A0407" w:rsidRDefault="00393C68" w:rsidP="007A0407">
      <w:pPr>
        <w:numPr>
          <w:ilvl w:val="0"/>
          <w:numId w:val="43"/>
        </w:numPr>
        <w:tabs>
          <w:tab w:val="left" w:pos="0"/>
        </w:tabs>
        <w:spacing w:after="0" w:line="276" w:lineRule="auto"/>
        <w:contextualSpacing/>
        <w:jc w:val="both"/>
        <w:rPr>
          <w:rFonts w:ascii="Times New Roman" w:eastAsia="Calibri" w:hAnsi="Times New Roman" w:cs="Times New Roman"/>
          <w:sz w:val="24"/>
          <w:szCs w:val="24"/>
        </w:rPr>
      </w:pPr>
      <w:hyperlink r:id="rId52" w:tgtFrame="_self" w:history="1">
        <w:r w:rsidR="007A0407" w:rsidRPr="007A0407">
          <w:rPr>
            <w:rFonts w:ascii="Times New Roman" w:eastAsia="Calibri" w:hAnsi="Times New Roman" w:cs="Times New Roman"/>
            <w:sz w:val="24"/>
            <w:szCs w:val="24"/>
            <w:shd w:val="clear" w:color="auto" w:fill="FFFFFF"/>
          </w:rPr>
          <w:t>Наредба за излязлото от употреба електрическо и електронно оборудване</w:t>
        </w:r>
      </w:hyperlink>
      <w:r w:rsidR="007A0407" w:rsidRPr="007A0407">
        <w:rPr>
          <w:rFonts w:ascii="Times New Roman" w:eastAsia="Calibri" w:hAnsi="Times New Roman" w:cs="Times New Roman"/>
          <w:sz w:val="24"/>
          <w:szCs w:val="24"/>
          <w:shd w:val="clear" w:color="auto" w:fill="FFFFFF"/>
        </w:rPr>
        <w:t> (</w:t>
      </w:r>
      <w:r w:rsidR="007A0407" w:rsidRPr="007A0407">
        <w:rPr>
          <w:rFonts w:ascii="Times New Roman" w:eastAsia="Calibri" w:hAnsi="Times New Roman" w:cs="Times New Roman"/>
          <w:i/>
          <w:sz w:val="24"/>
          <w:szCs w:val="24"/>
          <w:shd w:val="clear" w:color="auto" w:fill="FFFFFF"/>
        </w:rPr>
        <w:t xml:space="preserve">Приета с ПМС № 256 от 13.11.2013 г., </w:t>
      </w:r>
      <w:proofErr w:type="spellStart"/>
      <w:r w:rsidR="007A0407" w:rsidRPr="007A0407">
        <w:rPr>
          <w:rFonts w:ascii="Times New Roman" w:eastAsia="Calibri" w:hAnsi="Times New Roman" w:cs="Times New Roman"/>
          <w:i/>
          <w:sz w:val="24"/>
          <w:szCs w:val="24"/>
          <w:shd w:val="clear" w:color="auto" w:fill="FFFFFF"/>
        </w:rPr>
        <w:t>обн</w:t>
      </w:r>
      <w:proofErr w:type="spellEnd"/>
      <w:r w:rsidR="007A0407" w:rsidRPr="007A0407">
        <w:rPr>
          <w:rFonts w:ascii="Times New Roman" w:eastAsia="Calibri" w:hAnsi="Times New Roman" w:cs="Times New Roman"/>
          <w:i/>
          <w:sz w:val="24"/>
          <w:szCs w:val="24"/>
          <w:shd w:val="clear" w:color="auto" w:fill="FFFFFF"/>
        </w:rPr>
        <w:t>., ДВ, бр. 100 от 19.11.2013 г., в сила от 1.01.2014 г., посл. изм. и доп., бр. 2 от 8.01.2021 г.).</w:t>
      </w:r>
    </w:p>
    <w:p w:rsidR="007A0407" w:rsidRPr="008A2D3F" w:rsidRDefault="007A0407" w:rsidP="007A0407">
      <w:pPr>
        <w:numPr>
          <w:ilvl w:val="0"/>
          <w:numId w:val="43"/>
        </w:numPr>
        <w:tabs>
          <w:tab w:val="left" w:pos="426"/>
        </w:tabs>
        <w:spacing w:after="0" w:line="276" w:lineRule="auto"/>
        <w:contextualSpacing/>
        <w:jc w:val="both"/>
        <w:rPr>
          <w:rFonts w:ascii="Times New Roman" w:eastAsia="Times New Roman" w:hAnsi="Times New Roman" w:cs="Times New Roman"/>
          <w:bCs/>
          <w:i/>
          <w:color w:val="0070C0"/>
          <w:sz w:val="24"/>
          <w:szCs w:val="24"/>
          <w:lang w:eastAsia="en-GB"/>
        </w:rPr>
      </w:pPr>
      <w:r w:rsidRPr="008A2D3F">
        <w:rPr>
          <w:rFonts w:ascii="Times New Roman" w:eastAsia="Times New Roman" w:hAnsi="Times New Roman" w:cs="Times New Roman"/>
          <w:bCs/>
          <w:color w:val="0070C0"/>
          <w:sz w:val="24"/>
          <w:szCs w:val="24"/>
          <w:lang w:eastAsia="en-GB"/>
        </w:rPr>
        <w:t xml:space="preserve">Наредба за условията и изискванията за изграждане и експлоатация на депа и на други съоръжения и инсталации за оползотворяване и обезвреждане на отпадъци </w:t>
      </w:r>
      <w:r w:rsidRPr="008A2D3F">
        <w:rPr>
          <w:rFonts w:ascii="Times New Roman" w:eastAsia="Times New Roman" w:hAnsi="Times New Roman" w:cs="Times New Roman"/>
          <w:bCs/>
          <w:i/>
          <w:color w:val="0070C0"/>
          <w:sz w:val="24"/>
          <w:szCs w:val="24"/>
          <w:lang w:eastAsia="en-GB"/>
        </w:rPr>
        <w:t>(</w:t>
      </w:r>
      <w:proofErr w:type="spellStart"/>
      <w:r w:rsidRPr="008A2D3F">
        <w:rPr>
          <w:rFonts w:ascii="Times New Roman" w:eastAsia="Times New Roman" w:hAnsi="Times New Roman" w:cs="Times New Roman"/>
          <w:bCs/>
          <w:i/>
          <w:color w:val="0070C0"/>
          <w:sz w:val="24"/>
          <w:szCs w:val="24"/>
          <w:lang w:eastAsia="en-GB"/>
        </w:rPr>
        <w:t>О</w:t>
      </w:r>
      <w:r w:rsidRPr="008A2D3F">
        <w:rPr>
          <w:rFonts w:ascii="Times New Roman" w:eastAsia="Calibri" w:hAnsi="Times New Roman" w:cs="Times New Roman"/>
          <w:i/>
          <w:color w:val="0070C0"/>
          <w:sz w:val="24"/>
          <w:szCs w:val="24"/>
          <w:shd w:val="clear" w:color="auto" w:fill="FEFEFE"/>
        </w:rPr>
        <w:t>бн</w:t>
      </w:r>
      <w:proofErr w:type="spellEnd"/>
      <w:r w:rsidRPr="008A2D3F">
        <w:rPr>
          <w:rFonts w:ascii="Times New Roman" w:eastAsia="Calibri" w:hAnsi="Times New Roman" w:cs="Times New Roman"/>
          <w:i/>
          <w:color w:val="0070C0"/>
          <w:sz w:val="24"/>
          <w:szCs w:val="24"/>
          <w:shd w:val="clear" w:color="auto" w:fill="FEFEFE"/>
        </w:rPr>
        <w:t xml:space="preserve">. ДВ. бр.80 от 13 Септември 2013г., изм. и доп. ДВ. бр.13 от 7 Февруари 2017г., в сила от 01.05.2021г., </w:t>
      </w:r>
      <w:proofErr w:type="spellStart"/>
      <w:r w:rsidRPr="008A2D3F">
        <w:rPr>
          <w:rFonts w:ascii="Times New Roman" w:eastAsia="Calibri" w:hAnsi="Times New Roman" w:cs="Times New Roman"/>
          <w:i/>
          <w:color w:val="0070C0"/>
          <w:sz w:val="24"/>
          <w:szCs w:val="24"/>
          <w:shd w:val="clear" w:color="auto" w:fill="FEFEFE"/>
        </w:rPr>
        <w:t>обн.ДВ</w:t>
      </w:r>
      <w:proofErr w:type="spellEnd"/>
      <w:r w:rsidRPr="008A2D3F">
        <w:rPr>
          <w:rFonts w:ascii="Times New Roman" w:eastAsia="Calibri" w:hAnsi="Times New Roman" w:cs="Times New Roman"/>
          <w:i/>
          <w:color w:val="0070C0"/>
          <w:sz w:val="24"/>
          <w:szCs w:val="24"/>
          <w:shd w:val="clear" w:color="auto" w:fill="FEFEFE"/>
        </w:rPr>
        <w:t>. бр.36 )</w:t>
      </w:r>
    </w:p>
    <w:p w:rsidR="008A2D3F" w:rsidRDefault="007A0407" w:rsidP="008A2D3F">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rPr>
        <w:t>Национален план за управление на отпадъците (НПУО) 2021 – 2028 г.</w:t>
      </w:r>
      <w:r w:rsidR="008A2D3F">
        <w:rPr>
          <w:rFonts w:ascii="Times New Roman" w:eastAsia="Calibri" w:hAnsi="Times New Roman" w:cs="Times New Roman"/>
          <w:color w:val="000000"/>
          <w:sz w:val="24"/>
          <w:szCs w:val="24"/>
        </w:rPr>
        <w:t xml:space="preserve"> - </w:t>
      </w:r>
      <w:hyperlink r:id="rId53" w:history="1">
        <w:r w:rsidR="008A2D3F" w:rsidRPr="0083346C">
          <w:rPr>
            <w:rStyle w:val="Hyperlink"/>
            <w:rFonts w:ascii="Times New Roman" w:eastAsia="Calibri" w:hAnsi="Times New Roman" w:cs="Times New Roman"/>
            <w:sz w:val="24"/>
            <w:szCs w:val="24"/>
          </w:rPr>
          <w:t>https://www.moew.government.bg/static/media/ups/tiny/%D0%A3%D0%9E%D0%9E%D0%9F/%D0%9D%D0%9F%D0%A3%D0%9E-2021-2028/NPUO_2021-2028.pdf</w:t>
        </w:r>
      </w:hyperlink>
    </w:p>
    <w:p w:rsidR="008A2D3F" w:rsidRPr="008A2D3F" w:rsidRDefault="007A0407" w:rsidP="008A2D3F">
      <w:pPr>
        <w:numPr>
          <w:ilvl w:val="0"/>
          <w:numId w:val="43"/>
        </w:numPr>
        <w:tabs>
          <w:tab w:val="left" w:pos="0"/>
        </w:tabs>
        <w:spacing w:after="0" w:line="276" w:lineRule="auto"/>
        <w:contextualSpacing/>
        <w:jc w:val="both"/>
        <w:rPr>
          <w:rFonts w:ascii="Times New Roman" w:eastAsia="Calibri" w:hAnsi="Times New Roman" w:cs="Times New Roman"/>
          <w:color w:val="000000"/>
          <w:sz w:val="24"/>
          <w:szCs w:val="24"/>
          <w:lang w:eastAsia="bg-BG"/>
        </w:rPr>
      </w:pPr>
      <w:r w:rsidRPr="008A2D3F">
        <w:rPr>
          <w:rFonts w:ascii="Times New Roman" w:eastAsia="Calibri" w:hAnsi="Times New Roman" w:cs="Times New Roman"/>
          <w:color w:val="0070C0"/>
          <w:sz w:val="24"/>
          <w:szCs w:val="24"/>
        </w:rPr>
        <w:t>Методически указания за разработване на общински/регионални програми за управление на отпадъците, МОСВ, 08.2021 г.</w:t>
      </w:r>
      <w:r w:rsidR="008A2D3F" w:rsidRPr="008A2D3F">
        <w:rPr>
          <w:rFonts w:ascii="Times New Roman" w:eastAsia="Calibri" w:hAnsi="Times New Roman" w:cs="Times New Roman"/>
          <w:color w:val="0070C0"/>
          <w:sz w:val="24"/>
          <w:szCs w:val="24"/>
        </w:rPr>
        <w:t xml:space="preserve"> - https://www.moew.government.bg/static/media/ups/tiny/%D0%A3%D0%9E%D0%9E%D0%9F/Ukazaniq_programi_upravlenie_otpadaci.pdf</w:t>
      </w:r>
    </w:p>
    <w:p w:rsidR="007A0407" w:rsidRDefault="007A0407" w:rsidP="008A2D3F">
      <w:pPr>
        <w:widowControl w:val="0"/>
        <w:numPr>
          <w:ilvl w:val="0"/>
          <w:numId w:val="43"/>
        </w:numPr>
        <w:tabs>
          <w:tab w:val="left" w:pos="0"/>
        </w:tab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bg-BG"/>
        </w:rPr>
      </w:pPr>
      <w:r w:rsidRPr="007A0407">
        <w:rPr>
          <w:rFonts w:ascii="Times New Roman" w:eastAsia="Calibri" w:hAnsi="Times New Roman" w:cs="Times New Roman"/>
          <w:color w:val="000000"/>
          <w:sz w:val="24"/>
          <w:szCs w:val="24"/>
          <w:lang w:eastAsia="bg-BG"/>
        </w:rPr>
        <w:t>Стратегия и план за действие за преход към Кръгова икономика на Република България за периода 2021 – 2027 г. (проект!)</w:t>
      </w:r>
      <w:r w:rsidR="008A2D3F">
        <w:rPr>
          <w:rFonts w:ascii="Times New Roman" w:eastAsia="Calibri" w:hAnsi="Times New Roman" w:cs="Times New Roman"/>
          <w:color w:val="000000"/>
          <w:sz w:val="24"/>
          <w:szCs w:val="24"/>
          <w:lang w:eastAsia="bg-BG"/>
        </w:rPr>
        <w:t xml:space="preserve"> </w:t>
      </w:r>
      <w:hyperlink r:id="rId54" w:history="1">
        <w:r w:rsidR="008A2D3F" w:rsidRPr="0083346C">
          <w:rPr>
            <w:rStyle w:val="Hyperlink"/>
            <w:rFonts w:ascii="Times New Roman" w:eastAsia="Calibri" w:hAnsi="Times New Roman" w:cs="Times New Roman"/>
            <w:sz w:val="24"/>
            <w:szCs w:val="24"/>
            <w:lang w:eastAsia="bg-BG"/>
          </w:rPr>
          <w:t>https://www.moew.government.bg/bg/strategiya-i-plan-za-dejstvie-za-prehod-kum-krugova-ikonomika-na-republika-bulgariya-za-perioda-2021-2027-g-10910/</w:t>
        </w:r>
      </w:hyperlink>
    </w:p>
    <w:p w:rsidR="008A2D3F" w:rsidRPr="007A0407" w:rsidRDefault="008A2D3F" w:rsidP="008A2D3F">
      <w:pPr>
        <w:widowControl w:val="0"/>
        <w:tabs>
          <w:tab w:val="left" w:pos="0"/>
        </w:tabs>
        <w:autoSpaceDE w:val="0"/>
        <w:autoSpaceDN w:val="0"/>
        <w:adjustRightInd w:val="0"/>
        <w:spacing w:after="0" w:line="276" w:lineRule="auto"/>
        <w:ind w:left="360"/>
        <w:contextualSpacing/>
        <w:jc w:val="both"/>
        <w:rPr>
          <w:rFonts w:ascii="Times New Roman" w:eastAsia="Calibri" w:hAnsi="Times New Roman" w:cs="Times New Roman"/>
          <w:color w:val="000000"/>
          <w:sz w:val="24"/>
          <w:szCs w:val="24"/>
          <w:lang w:eastAsia="bg-BG"/>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7A0407" w:rsidRPr="007A0407" w:rsidRDefault="007A0407" w:rsidP="007A0407">
      <w:pPr>
        <w:spacing w:after="0" w:line="276" w:lineRule="auto"/>
        <w:rPr>
          <w:rFonts w:ascii="Times New Roman" w:eastAsia="Calibri" w:hAnsi="Times New Roman" w:cs="Times New Roman"/>
          <w:bCs/>
          <w:sz w:val="24"/>
          <w:szCs w:val="24"/>
        </w:rPr>
      </w:pPr>
    </w:p>
    <w:p w:rsidR="001372BE" w:rsidRDefault="001372BE"/>
    <w:sectPr w:rsidR="00137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724"/>
    <w:multiLevelType w:val="multilevel"/>
    <w:tmpl w:val="6C1E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C36AD"/>
    <w:multiLevelType w:val="hybridMultilevel"/>
    <w:tmpl w:val="DB38B234"/>
    <w:lvl w:ilvl="0" w:tplc="AA980CDE">
      <w:start w:val="10"/>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CC1D6E"/>
    <w:multiLevelType w:val="hybridMultilevel"/>
    <w:tmpl w:val="D310AC9C"/>
    <w:lvl w:ilvl="0" w:tplc="58AAF866">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31BC0"/>
    <w:multiLevelType w:val="hybridMultilevel"/>
    <w:tmpl w:val="CB2A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2771"/>
    <w:multiLevelType w:val="hybridMultilevel"/>
    <w:tmpl w:val="C434811E"/>
    <w:lvl w:ilvl="0" w:tplc="4F3C194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B5854"/>
    <w:multiLevelType w:val="hybridMultilevel"/>
    <w:tmpl w:val="B32044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94A53"/>
    <w:multiLevelType w:val="hybridMultilevel"/>
    <w:tmpl w:val="2E92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74116B"/>
    <w:multiLevelType w:val="hybridMultilevel"/>
    <w:tmpl w:val="D0363ED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F6C1DDA"/>
    <w:multiLevelType w:val="hybridMultilevel"/>
    <w:tmpl w:val="8740463A"/>
    <w:lvl w:ilvl="0" w:tplc="59B60A3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958DB"/>
    <w:multiLevelType w:val="hybridMultilevel"/>
    <w:tmpl w:val="CBEC9632"/>
    <w:lvl w:ilvl="0" w:tplc="F85C7D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1214B"/>
    <w:multiLevelType w:val="hybridMultilevel"/>
    <w:tmpl w:val="085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37AD"/>
    <w:multiLevelType w:val="hybridMultilevel"/>
    <w:tmpl w:val="3072F420"/>
    <w:lvl w:ilvl="0" w:tplc="FFC4AA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720DA"/>
    <w:multiLevelType w:val="hybridMultilevel"/>
    <w:tmpl w:val="2EFA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40E7C"/>
    <w:multiLevelType w:val="hybridMultilevel"/>
    <w:tmpl w:val="9B1C236A"/>
    <w:lvl w:ilvl="0" w:tplc="32EC03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F58BB"/>
    <w:multiLevelType w:val="multilevel"/>
    <w:tmpl w:val="D3B2F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353FE"/>
    <w:multiLevelType w:val="hybridMultilevel"/>
    <w:tmpl w:val="36060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97765"/>
    <w:multiLevelType w:val="hybridMultilevel"/>
    <w:tmpl w:val="49FC9B28"/>
    <w:lvl w:ilvl="0" w:tplc="59B60A3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D5909"/>
    <w:multiLevelType w:val="hybridMultilevel"/>
    <w:tmpl w:val="13A605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4316903"/>
    <w:multiLevelType w:val="hybridMultilevel"/>
    <w:tmpl w:val="5CF20E12"/>
    <w:lvl w:ilvl="0" w:tplc="ACD0276A">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3E6D1302"/>
    <w:multiLevelType w:val="hybridMultilevel"/>
    <w:tmpl w:val="D34A4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D3873"/>
    <w:multiLevelType w:val="hybridMultilevel"/>
    <w:tmpl w:val="AA4CCA10"/>
    <w:lvl w:ilvl="0" w:tplc="58D44A18">
      <w:start w:val="1"/>
      <w:numFmt w:val="decimal"/>
      <w:lvlText w:val="%1.)"/>
      <w:lvlJc w:val="left"/>
      <w:pPr>
        <w:ind w:left="785"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1245A7"/>
    <w:multiLevelType w:val="hybridMultilevel"/>
    <w:tmpl w:val="665E8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96AC6"/>
    <w:multiLevelType w:val="hybridMultilevel"/>
    <w:tmpl w:val="59D820BA"/>
    <w:lvl w:ilvl="0" w:tplc="9FC83E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F5C61"/>
    <w:multiLevelType w:val="hybridMultilevel"/>
    <w:tmpl w:val="636C83B2"/>
    <w:lvl w:ilvl="0" w:tplc="D89EB4D8">
      <w:start w:val="1"/>
      <w:numFmt w:val="bullet"/>
      <w:lvlText w:val="•"/>
      <w:lvlJc w:val="left"/>
      <w:pPr>
        <w:tabs>
          <w:tab w:val="num" w:pos="720"/>
        </w:tabs>
        <w:ind w:left="720" w:hanging="360"/>
      </w:pPr>
      <w:rPr>
        <w:rFonts w:ascii="Times New Roman" w:hAnsi="Times New Roman" w:hint="default"/>
      </w:rPr>
    </w:lvl>
    <w:lvl w:ilvl="1" w:tplc="523C5354" w:tentative="1">
      <w:start w:val="1"/>
      <w:numFmt w:val="bullet"/>
      <w:lvlText w:val="•"/>
      <w:lvlJc w:val="left"/>
      <w:pPr>
        <w:tabs>
          <w:tab w:val="num" w:pos="1440"/>
        </w:tabs>
        <w:ind w:left="1440" w:hanging="360"/>
      </w:pPr>
      <w:rPr>
        <w:rFonts w:ascii="Times New Roman" w:hAnsi="Times New Roman" w:hint="default"/>
      </w:rPr>
    </w:lvl>
    <w:lvl w:ilvl="2" w:tplc="3BF20404" w:tentative="1">
      <w:start w:val="1"/>
      <w:numFmt w:val="bullet"/>
      <w:lvlText w:val="•"/>
      <w:lvlJc w:val="left"/>
      <w:pPr>
        <w:tabs>
          <w:tab w:val="num" w:pos="2160"/>
        </w:tabs>
        <w:ind w:left="2160" w:hanging="360"/>
      </w:pPr>
      <w:rPr>
        <w:rFonts w:ascii="Times New Roman" w:hAnsi="Times New Roman" w:hint="default"/>
      </w:rPr>
    </w:lvl>
    <w:lvl w:ilvl="3" w:tplc="8F90F60A" w:tentative="1">
      <w:start w:val="1"/>
      <w:numFmt w:val="bullet"/>
      <w:lvlText w:val="•"/>
      <w:lvlJc w:val="left"/>
      <w:pPr>
        <w:tabs>
          <w:tab w:val="num" w:pos="2880"/>
        </w:tabs>
        <w:ind w:left="2880" w:hanging="360"/>
      </w:pPr>
      <w:rPr>
        <w:rFonts w:ascii="Times New Roman" w:hAnsi="Times New Roman" w:hint="default"/>
      </w:rPr>
    </w:lvl>
    <w:lvl w:ilvl="4" w:tplc="6A76CF80" w:tentative="1">
      <w:start w:val="1"/>
      <w:numFmt w:val="bullet"/>
      <w:lvlText w:val="•"/>
      <w:lvlJc w:val="left"/>
      <w:pPr>
        <w:tabs>
          <w:tab w:val="num" w:pos="3600"/>
        </w:tabs>
        <w:ind w:left="3600" w:hanging="360"/>
      </w:pPr>
      <w:rPr>
        <w:rFonts w:ascii="Times New Roman" w:hAnsi="Times New Roman" w:hint="default"/>
      </w:rPr>
    </w:lvl>
    <w:lvl w:ilvl="5" w:tplc="001CB0BA" w:tentative="1">
      <w:start w:val="1"/>
      <w:numFmt w:val="bullet"/>
      <w:lvlText w:val="•"/>
      <w:lvlJc w:val="left"/>
      <w:pPr>
        <w:tabs>
          <w:tab w:val="num" w:pos="4320"/>
        </w:tabs>
        <w:ind w:left="4320" w:hanging="360"/>
      </w:pPr>
      <w:rPr>
        <w:rFonts w:ascii="Times New Roman" w:hAnsi="Times New Roman" w:hint="default"/>
      </w:rPr>
    </w:lvl>
    <w:lvl w:ilvl="6" w:tplc="765419B4" w:tentative="1">
      <w:start w:val="1"/>
      <w:numFmt w:val="bullet"/>
      <w:lvlText w:val="•"/>
      <w:lvlJc w:val="left"/>
      <w:pPr>
        <w:tabs>
          <w:tab w:val="num" w:pos="5040"/>
        </w:tabs>
        <w:ind w:left="5040" w:hanging="360"/>
      </w:pPr>
      <w:rPr>
        <w:rFonts w:ascii="Times New Roman" w:hAnsi="Times New Roman" w:hint="default"/>
      </w:rPr>
    </w:lvl>
    <w:lvl w:ilvl="7" w:tplc="530C581A" w:tentative="1">
      <w:start w:val="1"/>
      <w:numFmt w:val="bullet"/>
      <w:lvlText w:val="•"/>
      <w:lvlJc w:val="left"/>
      <w:pPr>
        <w:tabs>
          <w:tab w:val="num" w:pos="5760"/>
        </w:tabs>
        <w:ind w:left="5760" w:hanging="360"/>
      </w:pPr>
      <w:rPr>
        <w:rFonts w:ascii="Times New Roman" w:hAnsi="Times New Roman" w:hint="default"/>
      </w:rPr>
    </w:lvl>
    <w:lvl w:ilvl="8" w:tplc="594E7CC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FF05A3"/>
    <w:multiLevelType w:val="hybridMultilevel"/>
    <w:tmpl w:val="124401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F03AD"/>
    <w:multiLevelType w:val="hybridMultilevel"/>
    <w:tmpl w:val="62CE0F44"/>
    <w:lvl w:ilvl="0" w:tplc="FFC4AA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63986"/>
    <w:multiLevelType w:val="hybridMultilevel"/>
    <w:tmpl w:val="330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9600B"/>
    <w:multiLevelType w:val="hybridMultilevel"/>
    <w:tmpl w:val="FC68C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5C50"/>
    <w:multiLevelType w:val="multilevel"/>
    <w:tmpl w:val="DF3A4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7E7AC3"/>
    <w:multiLevelType w:val="hybridMultilevel"/>
    <w:tmpl w:val="C4E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B656F20"/>
    <w:multiLevelType w:val="hybridMultilevel"/>
    <w:tmpl w:val="C69A8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357CD"/>
    <w:multiLevelType w:val="hybridMultilevel"/>
    <w:tmpl w:val="18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C38B2"/>
    <w:multiLevelType w:val="hybridMultilevel"/>
    <w:tmpl w:val="841E0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6E385B"/>
    <w:multiLevelType w:val="hybridMultilevel"/>
    <w:tmpl w:val="6D76E886"/>
    <w:lvl w:ilvl="0" w:tplc="59B60A3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21CAF"/>
    <w:multiLevelType w:val="hybridMultilevel"/>
    <w:tmpl w:val="3BF48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3002B"/>
    <w:multiLevelType w:val="multilevel"/>
    <w:tmpl w:val="5332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B1BC1"/>
    <w:multiLevelType w:val="hybridMultilevel"/>
    <w:tmpl w:val="ED30E92C"/>
    <w:lvl w:ilvl="0" w:tplc="FFC4AA0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D65FB"/>
    <w:multiLevelType w:val="hybridMultilevel"/>
    <w:tmpl w:val="303CC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D5E7A"/>
    <w:multiLevelType w:val="hybridMultilevel"/>
    <w:tmpl w:val="A52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A28A7"/>
    <w:multiLevelType w:val="hybridMultilevel"/>
    <w:tmpl w:val="A0F2CE14"/>
    <w:lvl w:ilvl="0" w:tplc="4BF8D8DC">
      <w:start w:val="1"/>
      <w:numFmt w:val="bullet"/>
      <w:lvlText w:val="•"/>
      <w:lvlJc w:val="left"/>
      <w:pPr>
        <w:tabs>
          <w:tab w:val="num" w:pos="720"/>
        </w:tabs>
        <w:ind w:left="720" w:hanging="360"/>
      </w:pPr>
      <w:rPr>
        <w:rFonts w:ascii="Times New Roman" w:hAnsi="Times New Roman" w:hint="default"/>
      </w:rPr>
    </w:lvl>
    <w:lvl w:ilvl="1" w:tplc="30E880CC" w:tentative="1">
      <w:start w:val="1"/>
      <w:numFmt w:val="bullet"/>
      <w:lvlText w:val="•"/>
      <w:lvlJc w:val="left"/>
      <w:pPr>
        <w:tabs>
          <w:tab w:val="num" w:pos="1440"/>
        </w:tabs>
        <w:ind w:left="1440" w:hanging="360"/>
      </w:pPr>
      <w:rPr>
        <w:rFonts w:ascii="Times New Roman" w:hAnsi="Times New Roman" w:hint="default"/>
      </w:rPr>
    </w:lvl>
    <w:lvl w:ilvl="2" w:tplc="757C82E8" w:tentative="1">
      <w:start w:val="1"/>
      <w:numFmt w:val="bullet"/>
      <w:lvlText w:val="•"/>
      <w:lvlJc w:val="left"/>
      <w:pPr>
        <w:tabs>
          <w:tab w:val="num" w:pos="2160"/>
        </w:tabs>
        <w:ind w:left="2160" w:hanging="360"/>
      </w:pPr>
      <w:rPr>
        <w:rFonts w:ascii="Times New Roman" w:hAnsi="Times New Roman" w:hint="default"/>
      </w:rPr>
    </w:lvl>
    <w:lvl w:ilvl="3" w:tplc="76984496" w:tentative="1">
      <w:start w:val="1"/>
      <w:numFmt w:val="bullet"/>
      <w:lvlText w:val="•"/>
      <w:lvlJc w:val="left"/>
      <w:pPr>
        <w:tabs>
          <w:tab w:val="num" w:pos="2880"/>
        </w:tabs>
        <w:ind w:left="2880" w:hanging="360"/>
      </w:pPr>
      <w:rPr>
        <w:rFonts w:ascii="Times New Roman" w:hAnsi="Times New Roman" w:hint="default"/>
      </w:rPr>
    </w:lvl>
    <w:lvl w:ilvl="4" w:tplc="A2B2EF00" w:tentative="1">
      <w:start w:val="1"/>
      <w:numFmt w:val="bullet"/>
      <w:lvlText w:val="•"/>
      <w:lvlJc w:val="left"/>
      <w:pPr>
        <w:tabs>
          <w:tab w:val="num" w:pos="3600"/>
        </w:tabs>
        <w:ind w:left="3600" w:hanging="360"/>
      </w:pPr>
      <w:rPr>
        <w:rFonts w:ascii="Times New Roman" w:hAnsi="Times New Roman" w:hint="default"/>
      </w:rPr>
    </w:lvl>
    <w:lvl w:ilvl="5" w:tplc="894A519A" w:tentative="1">
      <w:start w:val="1"/>
      <w:numFmt w:val="bullet"/>
      <w:lvlText w:val="•"/>
      <w:lvlJc w:val="left"/>
      <w:pPr>
        <w:tabs>
          <w:tab w:val="num" w:pos="4320"/>
        </w:tabs>
        <w:ind w:left="4320" w:hanging="360"/>
      </w:pPr>
      <w:rPr>
        <w:rFonts w:ascii="Times New Roman" w:hAnsi="Times New Roman" w:hint="default"/>
      </w:rPr>
    </w:lvl>
    <w:lvl w:ilvl="6" w:tplc="FE0CA742" w:tentative="1">
      <w:start w:val="1"/>
      <w:numFmt w:val="bullet"/>
      <w:lvlText w:val="•"/>
      <w:lvlJc w:val="left"/>
      <w:pPr>
        <w:tabs>
          <w:tab w:val="num" w:pos="5040"/>
        </w:tabs>
        <w:ind w:left="5040" w:hanging="360"/>
      </w:pPr>
      <w:rPr>
        <w:rFonts w:ascii="Times New Roman" w:hAnsi="Times New Roman" w:hint="default"/>
      </w:rPr>
    </w:lvl>
    <w:lvl w:ilvl="7" w:tplc="25BAD074" w:tentative="1">
      <w:start w:val="1"/>
      <w:numFmt w:val="bullet"/>
      <w:lvlText w:val="•"/>
      <w:lvlJc w:val="left"/>
      <w:pPr>
        <w:tabs>
          <w:tab w:val="num" w:pos="5760"/>
        </w:tabs>
        <w:ind w:left="5760" w:hanging="360"/>
      </w:pPr>
      <w:rPr>
        <w:rFonts w:ascii="Times New Roman" w:hAnsi="Times New Roman" w:hint="default"/>
      </w:rPr>
    </w:lvl>
    <w:lvl w:ilvl="8" w:tplc="6E70238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E3F2F9E"/>
    <w:multiLevelType w:val="hybridMultilevel"/>
    <w:tmpl w:val="181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5D3D36"/>
    <w:multiLevelType w:val="hybridMultilevel"/>
    <w:tmpl w:val="18B2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85ABC"/>
    <w:multiLevelType w:val="hybridMultilevel"/>
    <w:tmpl w:val="7B746D38"/>
    <w:lvl w:ilvl="0" w:tplc="4F3C1944">
      <w:start w:val="3"/>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F6D400B"/>
    <w:multiLevelType w:val="hybridMultilevel"/>
    <w:tmpl w:val="E788C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D5CB2"/>
    <w:multiLevelType w:val="hybridMultilevel"/>
    <w:tmpl w:val="B350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1"/>
  </w:num>
  <w:num w:numId="3">
    <w:abstractNumId w:val="36"/>
  </w:num>
  <w:num w:numId="4">
    <w:abstractNumId w:val="0"/>
  </w:num>
  <w:num w:numId="5">
    <w:abstractNumId w:val="10"/>
  </w:num>
  <w:num w:numId="6">
    <w:abstractNumId w:val="40"/>
  </w:num>
  <w:num w:numId="7">
    <w:abstractNumId w:val="3"/>
  </w:num>
  <w:num w:numId="8">
    <w:abstractNumId w:val="15"/>
  </w:num>
  <w:num w:numId="9">
    <w:abstractNumId w:val="27"/>
  </w:num>
  <w:num w:numId="10">
    <w:abstractNumId w:val="33"/>
  </w:num>
  <w:num w:numId="11">
    <w:abstractNumId w:val="4"/>
  </w:num>
  <w:num w:numId="12">
    <w:abstractNumId w:val="29"/>
  </w:num>
  <w:num w:numId="13">
    <w:abstractNumId w:val="42"/>
  </w:num>
  <w:num w:numId="14">
    <w:abstractNumId w:val="18"/>
  </w:num>
  <w:num w:numId="15">
    <w:abstractNumId w:val="1"/>
  </w:num>
  <w:num w:numId="16">
    <w:abstractNumId w:val="14"/>
  </w:num>
  <w:num w:numId="17">
    <w:abstractNumId w:val="37"/>
  </w:num>
  <w:num w:numId="18">
    <w:abstractNumId w:val="39"/>
  </w:num>
  <w:num w:numId="19">
    <w:abstractNumId w:val="12"/>
  </w:num>
  <w:num w:numId="20">
    <w:abstractNumId w:val="30"/>
  </w:num>
  <w:num w:numId="21">
    <w:abstractNumId w:val="6"/>
  </w:num>
  <w:num w:numId="22">
    <w:abstractNumId w:val="7"/>
  </w:num>
  <w:num w:numId="23">
    <w:abstractNumId w:val="28"/>
  </w:num>
  <w:num w:numId="24">
    <w:abstractNumId w:val="43"/>
  </w:num>
  <w:num w:numId="25">
    <w:abstractNumId w:val="22"/>
  </w:num>
  <w:num w:numId="26">
    <w:abstractNumId w:val="34"/>
  </w:num>
  <w:num w:numId="27">
    <w:abstractNumId w:val="32"/>
  </w:num>
  <w:num w:numId="28">
    <w:abstractNumId w:val="8"/>
  </w:num>
  <w:num w:numId="29">
    <w:abstractNumId w:val="45"/>
  </w:num>
  <w:num w:numId="30">
    <w:abstractNumId w:val="16"/>
  </w:num>
  <w:num w:numId="31">
    <w:abstractNumId w:val="35"/>
  </w:num>
  <w:num w:numId="32">
    <w:abstractNumId w:val="13"/>
  </w:num>
  <w:num w:numId="33">
    <w:abstractNumId w:val="46"/>
  </w:num>
  <w:num w:numId="34">
    <w:abstractNumId w:val="21"/>
  </w:num>
  <w:num w:numId="35">
    <w:abstractNumId w:val="9"/>
  </w:num>
  <w:num w:numId="36">
    <w:abstractNumId w:val="5"/>
  </w:num>
  <w:num w:numId="37">
    <w:abstractNumId w:val="26"/>
  </w:num>
  <w:num w:numId="38">
    <w:abstractNumId w:val="20"/>
  </w:num>
  <w:num w:numId="39">
    <w:abstractNumId w:val="25"/>
  </w:num>
  <w:num w:numId="40">
    <w:abstractNumId w:val="38"/>
  </w:num>
  <w:num w:numId="41">
    <w:abstractNumId w:val="11"/>
  </w:num>
  <w:num w:numId="42">
    <w:abstractNumId w:val="23"/>
  </w:num>
  <w:num w:numId="43">
    <w:abstractNumId w:val="2"/>
  </w:num>
  <w:num w:numId="44">
    <w:abstractNumId w:val="17"/>
  </w:num>
  <w:num w:numId="45">
    <w:abstractNumId w:val="41"/>
  </w:num>
  <w:num w:numId="46">
    <w:abstractNumId w:val="24"/>
  </w:num>
  <w:num w:numId="47">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07"/>
    <w:rsid w:val="000020B1"/>
    <w:rsid w:val="00010B91"/>
    <w:rsid w:val="000127EB"/>
    <w:rsid w:val="00072B64"/>
    <w:rsid w:val="000863A4"/>
    <w:rsid w:val="000908E5"/>
    <w:rsid w:val="000A4BBF"/>
    <w:rsid w:val="000C76FB"/>
    <w:rsid w:val="001206FC"/>
    <w:rsid w:val="001372BE"/>
    <w:rsid w:val="00180768"/>
    <w:rsid w:val="001912B2"/>
    <w:rsid w:val="00192A7E"/>
    <w:rsid w:val="001D0135"/>
    <w:rsid w:val="0020088D"/>
    <w:rsid w:val="0020735D"/>
    <w:rsid w:val="002274C3"/>
    <w:rsid w:val="00237214"/>
    <w:rsid w:val="00277E1C"/>
    <w:rsid w:val="002840BA"/>
    <w:rsid w:val="00291B1C"/>
    <w:rsid w:val="002A1765"/>
    <w:rsid w:val="002F1513"/>
    <w:rsid w:val="002F1FFF"/>
    <w:rsid w:val="00314E86"/>
    <w:rsid w:val="003171CA"/>
    <w:rsid w:val="00322E88"/>
    <w:rsid w:val="00331B2B"/>
    <w:rsid w:val="00346C4F"/>
    <w:rsid w:val="003613B2"/>
    <w:rsid w:val="00371A8E"/>
    <w:rsid w:val="00393C68"/>
    <w:rsid w:val="003F62DA"/>
    <w:rsid w:val="004056E6"/>
    <w:rsid w:val="0045365B"/>
    <w:rsid w:val="004714CB"/>
    <w:rsid w:val="00481719"/>
    <w:rsid w:val="00485DC3"/>
    <w:rsid w:val="004B0D71"/>
    <w:rsid w:val="004B117D"/>
    <w:rsid w:val="004B6428"/>
    <w:rsid w:val="004E0136"/>
    <w:rsid w:val="004F4E34"/>
    <w:rsid w:val="005408E3"/>
    <w:rsid w:val="00540FF3"/>
    <w:rsid w:val="00560392"/>
    <w:rsid w:val="00583C58"/>
    <w:rsid w:val="005B05A2"/>
    <w:rsid w:val="005B3874"/>
    <w:rsid w:val="0060294A"/>
    <w:rsid w:val="00617254"/>
    <w:rsid w:val="00626341"/>
    <w:rsid w:val="00647AF2"/>
    <w:rsid w:val="006807EB"/>
    <w:rsid w:val="00680956"/>
    <w:rsid w:val="006E3277"/>
    <w:rsid w:val="00711D32"/>
    <w:rsid w:val="00714BD1"/>
    <w:rsid w:val="007354BE"/>
    <w:rsid w:val="007409AF"/>
    <w:rsid w:val="00754F19"/>
    <w:rsid w:val="007844C0"/>
    <w:rsid w:val="007A0407"/>
    <w:rsid w:val="007B2795"/>
    <w:rsid w:val="007B27ED"/>
    <w:rsid w:val="007D5084"/>
    <w:rsid w:val="007E05BA"/>
    <w:rsid w:val="007F5BD1"/>
    <w:rsid w:val="008101DC"/>
    <w:rsid w:val="00847C73"/>
    <w:rsid w:val="0086092A"/>
    <w:rsid w:val="008913DF"/>
    <w:rsid w:val="00891986"/>
    <w:rsid w:val="008A2D3F"/>
    <w:rsid w:val="008E12A9"/>
    <w:rsid w:val="008E7B03"/>
    <w:rsid w:val="009456DF"/>
    <w:rsid w:val="0098166A"/>
    <w:rsid w:val="00984959"/>
    <w:rsid w:val="009B7144"/>
    <w:rsid w:val="009B732D"/>
    <w:rsid w:val="009C36A7"/>
    <w:rsid w:val="009C5E45"/>
    <w:rsid w:val="009E0AE4"/>
    <w:rsid w:val="009E62FF"/>
    <w:rsid w:val="009F02B9"/>
    <w:rsid w:val="00A14A3B"/>
    <w:rsid w:val="00A16D0C"/>
    <w:rsid w:val="00A42EF8"/>
    <w:rsid w:val="00A5036F"/>
    <w:rsid w:val="00A55219"/>
    <w:rsid w:val="00A55973"/>
    <w:rsid w:val="00A66F48"/>
    <w:rsid w:val="00AC0CAF"/>
    <w:rsid w:val="00AD404D"/>
    <w:rsid w:val="00AD6F06"/>
    <w:rsid w:val="00AE67D7"/>
    <w:rsid w:val="00B55BD6"/>
    <w:rsid w:val="00BD4EBE"/>
    <w:rsid w:val="00BF606C"/>
    <w:rsid w:val="00C60757"/>
    <w:rsid w:val="00C630A6"/>
    <w:rsid w:val="00CA0C76"/>
    <w:rsid w:val="00CD0202"/>
    <w:rsid w:val="00CD4D43"/>
    <w:rsid w:val="00CE7E1A"/>
    <w:rsid w:val="00D14785"/>
    <w:rsid w:val="00D17AAF"/>
    <w:rsid w:val="00D424C8"/>
    <w:rsid w:val="00D44EDA"/>
    <w:rsid w:val="00D50029"/>
    <w:rsid w:val="00D5031A"/>
    <w:rsid w:val="00D57E2C"/>
    <w:rsid w:val="00D85751"/>
    <w:rsid w:val="00DB0135"/>
    <w:rsid w:val="00E27D66"/>
    <w:rsid w:val="00E31412"/>
    <w:rsid w:val="00E54CFC"/>
    <w:rsid w:val="00E60C8B"/>
    <w:rsid w:val="00EA4ED5"/>
    <w:rsid w:val="00EF5CD7"/>
    <w:rsid w:val="00F1700C"/>
    <w:rsid w:val="00F33142"/>
    <w:rsid w:val="00F5218B"/>
    <w:rsid w:val="00F87F95"/>
    <w:rsid w:val="00F93CE6"/>
    <w:rsid w:val="00F947AB"/>
    <w:rsid w:val="00F94927"/>
    <w:rsid w:val="00FB37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C8C4"/>
  <w15:chartTrackingRefBased/>
  <w15:docId w15:val="{A9325FF9-03B7-4D1E-AE85-B61C2DD8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7A0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7A04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qFormat/>
    <w:rsid w:val="007A0407"/>
    <w:pPr>
      <w:keepLines w:val="0"/>
      <w:spacing w:before="120" w:line="240" w:lineRule="auto"/>
      <w:jc w:val="both"/>
      <w:outlineLvl w:val="2"/>
    </w:pPr>
    <w:rPr>
      <w:rFonts w:ascii="Arial" w:eastAsia="Calibri" w:hAnsi="Arial" w:cs="Arial"/>
      <w:b/>
      <w:bCs/>
      <w:color w:val="000000"/>
      <w:szCs w:val="24"/>
      <w:lang w:eastAsia="x-none"/>
      <w14:textFill>
        <w14:solidFill>
          <w14:srgbClr w14:val="000000">
            <w14:lumMod w14:val="50000"/>
          </w14:srgbClr>
        </w14:solidFill>
      </w14:textFill>
    </w:rPr>
  </w:style>
  <w:style w:type="paragraph" w:styleId="Heading5">
    <w:name w:val="heading 5"/>
    <w:basedOn w:val="Normal"/>
    <w:next w:val="Normal"/>
    <w:link w:val="Heading5Char"/>
    <w:uiPriority w:val="99"/>
    <w:qFormat/>
    <w:rsid w:val="007A0407"/>
    <w:pPr>
      <w:spacing w:before="240" w:after="6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1"/>
    <w:qFormat/>
    <w:rsid w:val="007A0407"/>
    <w:pPr>
      <w:widowControl w:val="0"/>
      <w:pBdr>
        <w:top w:val="single" w:sz="4" w:space="1" w:color="auto"/>
        <w:left w:val="single" w:sz="4" w:space="4" w:color="auto"/>
        <w:bottom w:val="single" w:sz="4" w:space="1" w:color="auto"/>
        <w:right w:val="single" w:sz="4" w:space="4" w:color="auto"/>
      </w:pBdr>
      <w:shd w:val="clear" w:color="auto" w:fill="B7DFA8"/>
      <w:spacing w:after="0" w:line="240" w:lineRule="auto"/>
      <w:jc w:val="both"/>
      <w:outlineLvl w:val="0"/>
    </w:pPr>
    <w:rPr>
      <w:rFonts w:ascii="Times New Roman" w:hAnsi="Times New Roman"/>
      <w:b/>
      <w:sz w:val="24"/>
      <w:szCs w:val="24"/>
      <w:lang w:val="x-none" w:eastAsia="x-none"/>
    </w:rPr>
  </w:style>
  <w:style w:type="paragraph" w:customStyle="1" w:styleId="Heading21">
    <w:name w:val="Heading 21"/>
    <w:basedOn w:val="Normal"/>
    <w:next w:val="Normal"/>
    <w:link w:val="Heading2Char"/>
    <w:autoRedefine/>
    <w:qFormat/>
    <w:rsid w:val="007A0407"/>
    <w:pPr>
      <w:keepNext/>
      <w:spacing w:before="120" w:after="0" w:line="240" w:lineRule="auto"/>
      <w:jc w:val="both"/>
      <w:outlineLvl w:val="1"/>
    </w:pPr>
    <w:rPr>
      <w:rFonts w:ascii="Arial" w:hAnsi="Arial" w:cs="Arial"/>
      <w:b/>
      <w:bCs/>
      <w:color w:val="2A4F1C"/>
      <w:sz w:val="24"/>
      <w:szCs w:val="24"/>
      <w:lang w:eastAsia="x-none"/>
    </w:rPr>
  </w:style>
  <w:style w:type="character" w:customStyle="1" w:styleId="Heading3Char">
    <w:name w:val="Heading 3 Char"/>
    <w:basedOn w:val="DefaultParagraphFont"/>
    <w:link w:val="Heading3"/>
    <w:rsid w:val="007A0407"/>
    <w:rPr>
      <w:rFonts w:ascii="Arial" w:eastAsia="Calibri" w:hAnsi="Arial" w:cs="Arial"/>
      <w:b/>
      <w:bCs/>
      <w:color w:val="000000"/>
      <w:sz w:val="26"/>
      <w:szCs w:val="24"/>
      <w:lang w:eastAsia="x-none"/>
      <w14:textFill>
        <w14:solidFill>
          <w14:srgbClr w14:val="000000">
            <w14:lumMod w14:val="50000"/>
          </w14:srgbClr>
        </w14:solidFill>
      </w14:textFill>
    </w:rPr>
  </w:style>
  <w:style w:type="character" w:customStyle="1" w:styleId="Heading5Char">
    <w:name w:val="Heading 5 Char"/>
    <w:basedOn w:val="DefaultParagraphFont"/>
    <w:link w:val="Heading5"/>
    <w:uiPriority w:val="99"/>
    <w:rsid w:val="007A0407"/>
    <w:rPr>
      <w:rFonts w:ascii="Calibri" w:eastAsia="Times New Roman" w:hAnsi="Calibri" w:cs="Times New Roman"/>
      <w:b/>
      <w:bCs/>
      <w:i/>
      <w:iCs/>
      <w:sz w:val="26"/>
      <w:szCs w:val="26"/>
      <w:lang w:val="x-none"/>
    </w:rPr>
  </w:style>
  <w:style w:type="numbering" w:customStyle="1" w:styleId="NoList1">
    <w:name w:val="No List1"/>
    <w:next w:val="NoList"/>
    <w:uiPriority w:val="99"/>
    <w:semiHidden/>
    <w:unhideWhenUsed/>
    <w:rsid w:val="007A0407"/>
  </w:style>
  <w:style w:type="character" w:customStyle="1" w:styleId="Heading1Char">
    <w:name w:val="Heading 1 Char"/>
    <w:link w:val="Heading11"/>
    <w:uiPriority w:val="1"/>
    <w:rsid w:val="007A0407"/>
    <w:rPr>
      <w:rFonts w:ascii="Times New Roman" w:hAnsi="Times New Roman"/>
      <w:b/>
      <w:sz w:val="24"/>
      <w:szCs w:val="24"/>
      <w:shd w:val="clear" w:color="auto" w:fill="B7DFA8"/>
      <w:lang w:val="x-none" w:eastAsia="x-none"/>
    </w:rPr>
  </w:style>
  <w:style w:type="character" w:customStyle="1" w:styleId="Heading2Char">
    <w:name w:val="Heading 2 Char"/>
    <w:link w:val="Heading21"/>
    <w:rsid w:val="007A0407"/>
    <w:rPr>
      <w:rFonts w:ascii="Arial" w:hAnsi="Arial" w:cs="Arial"/>
      <w:b/>
      <w:bCs/>
      <w:color w:val="2A4F1C"/>
      <w:sz w:val="24"/>
      <w:szCs w:val="24"/>
      <w:lang w:val="bg-BG" w:eastAsia="x-none"/>
    </w:rPr>
  </w:style>
  <w:style w:type="paragraph" w:styleId="FootnoteText">
    <w:name w:val="footnote text"/>
    <w:basedOn w:val="Normal"/>
    <w:link w:val="FootnoteTextChar"/>
    <w:uiPriority w:val="99"/>
    <w:unhideWhenUsed/>
    <w:rsid w:val="007A0407"/>
    <w:pPr>
      <w:suppressAutoHyphens/>
      <w:spacing w:after="0" w:line="240" w:lineRule="auto"/>
    </w:pPr>
    <w:rPr>
      <w:rFonts w:ascii="Times CY" w:eastAsia="Times New Roman" w:hAnsi="Times CY" w:cs="Times New Roman"/>
      <w:sz w:val="20"/>
      <w:szCs w:val="20"/>
      <w:lang w:val="en-GB" w:eastAsia="ar-SA"/>
    </w:rPr>
  </w:style>
  <w:style w:type="character" w:customStyle="1" w:styleId="FootnoteTextChar">
    <w:name w:val="Footnote Text Char"/>
    <w:basedOn w:val="DefaultParagraphFont"/>
    <w:link w:val="FootnoteText"/>
    <w:uiPriority w:val="99"/>
    <w:rsid w:val="007A0407"/>
    <w:rPr>
      <w:rFonts w:ascii="Times CY" w:eastAsia="Times New Roman" w:hAnsi="Times CY" w:cs="Times New Roman"/>
      <w:sz w:val="20"/>
      <w:szCs w:val="20"/>
      <w:lang w:val="en-GB" w:eastAsia="ar-SA"/>
    </w:rPr>
  </w:style>
  <w:style w:type="character" w:styleId="FootnoteReference">
    <w:name w:val="footnote reference"/>
    <w:uiPriority w:val="99"/>
    <w:unhideWhenUsed/>
    <w:rsid w:val="007A0407"/>
    <w:rPr>
      <w:vertAlign w:val="superscript"/>
    </w:rPr>
  </w:style>
  <w:style w:type="character" w:customStyle="1" w:styleId="newstitleinside">
    <w:name w:val="newstitleinside"/>
    <w:basedOn w:val="DefaultParagraphFont"/>
    <w:rsid w:val="007A0407"/>
  </w:style>
  <w:style w:type="paragraph" w:styleId="BodyText">
    <w:name w:val="Body Text"/>
    <w:basedOn w:val="Normal"/>
    <w:link w:val="BodyTextChar"/>
    <w:autoRedefine/>
    <w:uiPriority w:val="1"/>
    <w:qFormat/>
    <w:rsid w:val="007A0407"/>
    <w:pPr>
      <w:pBdr>
        <w:top w:val="single" w:sz="4" w:space="1" w:color="auto"/>
        <w:left w:val="single" w:sz="4" w:space="4" w:color="auto"/>
        <w:bottom w:val="single" w:sz="4" w:space="6" w:color="auto"/>
        <w:right w:val="single" w:sz="4" w:space="4" w:color="auto"/>
      </w:pBdr>
      <w:shd w:val="clear" w:color="auto" w:fill="DBE5F1"/>
      <w:spacing w:after="0" w:line="276" w:lineRule="auto"/>
      <w:jc w:val="both"/>
    </w:pPr>
    <w:rPr>
      <w:rFonts w:ascii="Times New Roman" w:eastAsia="Times New Roman" w:hAnsi="Times New Roman" w:cs="Times New Roman"/>
      <w:b/>
      <w:spacing w:val="-4"/>
      <w:sz w:val="24"/>
      <w:szCs w:val="24"/>
      <w:lang w:eastAsia="x-none"/>
    </w:rPr>
  </w:style>
  <w:style w:type="character" w:customStyle="1" w:styleId="BodyTextChar">
    <w:name w:val="Body Text Char"/>
    <w:basedOn w:val="DefaultParagraphFont"/>
    <w:link w:val="BodyText"/>
    <w:uiPriority w:val="1"/>
    <w:rsid w:val="007A0407"/>
    <w:rPr>
      <w:rFonts w:ascii="Times New Roman" w:eastAsia="Times New Roman" w:hAnsi="Times New Roman" w:cs="Times New Roman"/>
      <w:b/>
      <w:spacing w:val="-4"/>
      <w:sz w:val="24"/>
      <w:szCs w:val="24"/>
      <w:shd w:val="clear" w:color="auto" w:fill="DBE5F1"/>
      <w:lang w:eastAsia="x-none"/>
    </w:rPr>
  </w:style>
  <w:style w:type="paragraph" w:customStyle="1" w:styleId="CarCharCharChar">
    <w:name w:val="Car Char Char Char"/>
    <w:basedOn w:val="Normal"/>
    <w:link w:val="CarCharCharCharChar"/>
    <w:rsid w:val="007A0407"/>
    <w:pPr>
      <w:spacing w:line="240" w:lineRule="exact"/>
    </w:pPr>
    <w:rPr>
      <w:rFonts w:ascii="Tahoma" w:eastAsia="Times New Roman" w:hAnsi="Tahoma" w:cs="Times New Roman"/>
      <w:sz w:val="20"/>
      <w:szCs w:val="20"/>
      <w:lang w:val="en-US" w:eastAsia="x-none"/>
    </w:rPr>
  </w:style>
  <w:style w:type="character" w:customStyle="1" w:styleId="CarCharCharCharChar">
    <w:name w:val="Car Char Char Char Char"/>
    <w:link w:val="CarCharCharChar"/>
    <w:rsid w:val="007A0407"/>
    <w:rPr>
      <w:rFonts w:ascii="Tahoma" w:eastAsia="Times New Roman" w:hAnsi="Tahoma" w:cs="Times New Roman"/>
      <w:sz w:val="20"/>
      <w:szCs w:val="20"/>
      <w:lang w:val="en-US" w:eastAsia="x-none"/>
    </w:rPr>
  </w:style>
  <w:style w:type="character" w:styleId="Hyperlink">
    <w:name w:val="Hyperlink"/>
    <w:uiPriority w:val="99"/>
    <w:unhideWhenUsed/>
    <w:rsid w:val="007A0407"/>
    <w:rPr>
      <w:color w:val="0000FF"/>
      <w:u w:val="single"/>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7A0407"/>
    <w:pPr>
      <w:spacing w:after="200" w:line="276" w:lineRule="auto"/>
      <w:ind w:left="720"/>
      <w:contextualSpacing/>
    </w:pPr>
    <w:rPr>
      <w:rFonts w:ascii="Calibri" w:eastAsia="Calibri" w:hAnsi="Calibri" w:cs="Times New Roman"/>
    </w:rPr>
  </w:style>
  <w:style w:type="paragraph" w:styleId="NormalWeb">
    <w:name w:val="Normal (Web)"/>
    <w:basedOn w:val="Normal"/>
    <w:uiPriority w:val="99"/>
    <w:rsid w:val="007A0407"/>
    <w:pPr>
      <w:spacing w:after="100" w:afterAutospacing="1" w:line="240" w:lineRule="auto"/>
    </w:pPr>
    <w:rPr>
      <w:rFonts w:ascii="Times New Roman" w:eastAsia="Times New Roman" w:hAnsi="Times New Roman" w:cs="Times New Roman"/>
      <w:sz w:val="24"/>
      <w:szCs w:val="24"/>
      <w:lang w:eastAsia="bg-BG"/>
    </w:rPr>
  </w:style>
  <w:style w:type="character" w:customStyle="1" w:styleId="newsbodyinside">
    <w:name w:val="newsbodyinside"/>
    <w:basedOn w:val="DefaultParagraphFont"/>
    <w:rsid w:val="007A0407"/>
  </w:style>
  <w:style w:type="paragraph" w:styleId="Header">
    <w:name w:val="header"/>
    <w:basedOn w:val="Normal"/>
    <w:link w:val="HeaderChar"/>
    <w:uiPriority w:val="99"/>
    <w:unhideWhenUsed/>
    <w:rsid w:val="007A0407"/>
    <w:pPr>
      <w:tabs>
        <w:tab w:val="center" w:pos="4536"/>
        <w:tab w:val="right" w:pos="9072"/>
      </w:tabs>
      <w:spacing w:after="200" w:line="276" w:lineRule="auto"/>
    </w:pPr>
    <w:rPr>
      <w:rFonts w:ascii="Calibri" w:eastAsia="Calibri" w:hAnsi="Calibri" w:cs="Times New Roman"/>
      <w:lang w:val="x-none"/>
    </w:rPr>
  </w:style>
  <w:style w:type="character" w:customStyle="1" w:styleId="HeaderChar">
    <w:name w:val="Header Char"/>
    <w:basedOn w:val="DefaultParagraphFont"/>
    <w:link w:val="Header"/>
    <w:uiPriority w:val="99"/>
    <w:rsid w:val="007A0407"/>
    <w:rPr>
      <w:rFonts w:ascii="Calibri" w:eastAsia="Calibri" w:hAnsi="Calibri" w:cs="Times New Roman"/>
      <w:lang w:val="x-none"/>
    </w:rPr>
  </w:style>
  <w:style w:type="paragraph" w:styleId="Footer">
    <w:name w:val="footer"/>
    <w:basedOn w:val="Normal"/>
    <w:link w:val="FooterChar"/>
    <w:uiPriority w:val="99"/>
    <w:unhideWhenUsed/>
    <w:rsid w:val="007A0407"/>
    <w:pPr>
      <w:tabs>
        <w:tab w:val="center" w:pos="4536"/>
        <w:tab w:val="right" w:pos="9072"/>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7A0407"/>
    <w:rPr>
      <w:rFonts w:ascii="Calibri" w:eastAsia="Calibri" w:hAnsi="Calibri" w:cs="Times New Roman"/>
      <w:lang w:val="x-none"/>
    </w:rPr>
  </w:style>
  <w:style w:type="paragraph" w:customStyle="1" w:styleId="Bullet0">
    <w:name w:val="Bullet 0"/>
    <w:basedOn w:val="Normal"/>
    <w:rsid w:val="007A0407"/>
    <w:pPr>
      <w:numPr>
        <w:numId w:val="2"/>
      </w:numPr>
      <w:spacing w:before="120" w:after="12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7A0407"/>
  </w:style>
  <w:style w:type="character" w:customStyle="1" w:styleId="samedocreference">
    <w:name w:val="samedocreference"/>
    <w:basedOn w:val="DefaultParagraphFont"/>
    <w:rsid w:val="007A0407"/>
  </w:style>
  <w:style w:type="character" w:customStyle="1" w:styleId="newdocreference">
    <w:name w:val="newdocreference"/>
    <w:basedOn w:val="DefaultParagraphFont"/>
    <w:rsid w:val="007A0407"/>
  </w:style>
  <w:style w:type="table" w:styleId="TableGrid">
    <w:name w:val="Table Grid"/>
    <w:basedOn w:val="TableNormal"/>
    <w:uiPriority w:val="59"/>
    <w:rsid w:val="007A040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0407"/>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BodyText3">
    <w:name w:val="Body Text 3"/>
    <w:basedOn w:val="Normal"/>
    <w:link w:val="BodyText3Char"/>
    <w:uiPriority w:val="99"/>
    <w:unhideWhenUsed/>
    <w:rsid w:val="007A040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rsid w:val="007A0407"/>
    <w:rPr>
      <w:rFonts w:ascii="Calibri" w:eastAsia="Calibri" w:hAnsi="Calibri" w:cs="Times New Roman"/>
      <w:sz w:val="16"/>
      <w:szCs w:val="16"/>
      <w:lang w:val="x-none"/>
    </w:rPr>
  </w:style>
  <w:style w:type="paragraph" w:styleId="BodyTextIndent">
    <w:name w:val="Body Text Indent"/>
    <w:basedOn w:val="Normal"/>
    <w:link w:val="BodyTextIndentChar"/>
    <w:uiPriority w:val="99"/>
    <w:semiHidden/>
    <w:unhideWhenUsed/>
    <w:rsid w:val="007A0407"/>
    <w:pPr>
      <w:spacing w:after="120" w:line="276" w:lineRule="auto"/>
      <w:ind w:left="283"/>
    </w:pPr>
    <w:rPr>
      <w:rFonts w:ascii="Calibri" w:eastAsia="Calibri" w:hAnsi="Calibri" w:cs="Times New Roman"/>
      <w:lang w:val="x-none"/>
    </w:rPr>
  </w:style>
  <w:style w:type="character" w:customStyle="1" w:styleId="BodyTextIndentChar">
    <w:name w:val="Body Text Indent Char"/>
    <w:basedOn w:val="DefaultParagraphFont"/>
    <w:link w:val="BodyTextIndent"/>
    <w:uiPriority w:val="99"/>
    <w:semiHidden/>
    <w:rsid w:val="007A0407"/>
    <w:rPr>
      <w:rFonts w:ascii="Calibri" w:eastAsia="Calibri" w:hAnsi="Calibri" w:cs="Times New Roman"/>
      <w:lang w:val="x-none"/>
    </w:rPr>
  </w:style>
  <w:style w:type="paragraph" w:customStyle="1" w:styleId="TOC11">
    <w:name w:val="TOC 11"/>
    <w:basedOn w:val="Normal"/>
    <w:next w:val="Normal"/>
    <w:autoRedefine/>
    <w:uiPriority w:val="39"/>
    <w:unhideWhenUsed/>
    <w:rsid w:val="007A0407"/>
    <w:pPr>
      <w:tabs>
        <w:tab w:val="right" w:leader="dot" w:pos="9062"/>
      </w:tabs>
      <w:spacing w:after="120" w:line="240" w:lineRule="atLeast"/>
    </w:pPr>
    <w:rPr>
      <w:rFonts w:ascii="Arial" w:eastAsia="Calibri" w:hAnsi="Arial" w:cs="Arial"/>
      <w:noProof/>
      <w:color w:val="2A4F1C"/>
      <w:sz w:val="24"/>
      <w:szCs w:val="24"/>
    </w:rPr>
  </w:style>
  <w:style w:type="paragraph" w:styleId="TOC2">
    <w:name w:val="toc 2"/>
    <w:basedOn w:val="Normal"/>
    <w:next w:val="Normal"/>
    <w:autoRedefine/>
    <w:uiPriority w:val="39"/>
    <w:unhideWhenUsed/>
    <w:rsid w:val="007A0407"/>
    <w:pPr>
      <w:tabs>
        <w:tab w:val="right" w:leader="dot" w:pos="9060"/>
      </w:tabs>
      <w:spacing w:after="120" w:line="240" w:lineRule="atLeast"/>
      <w:ind w:left="221"/>
      <w:jc w:val="both"/>
    </w:pPr>
    <w:rPr>
      <w:rFonts w:ascii="Arial" w:eastAsia="Calibri" w:hAnsi="Arial" w:cs="Times New Roman"/>
    </w:rPr>
  </w:style>
  <w:style w:type="paragraph" w:styleId="BalloonText">
    <w:name w:val="Balloon Text"/>
    <w:basedOn w:val="Normal"/>
    <w:link w:val="BalloonTextChar"/>
    <w:uiPriority w:val="99"/>
    <w:semiHidden/>
    <w:unhideWhenUsed/>
    <w:rsid w:val="007A040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A0407"/>
    <w:rPr>
      <w:rFonts w:ascii="Tahoma" w:eastAsia="Calibri" w:hAnsi="Tahoma" w:cs="Tahoma"/>
      <w:sz w:val="16"/>
      <w:szCs w:val="16"/>
    </w:rPr>
  </w:style>
  <w:style w:type="character" w:styleId="FollowedHyperlink">
    <w:name w:val="FollowedHyperlink"/>
    <w:uiPriority w:val="99"/>
    <w:semiHidden/>
    <w:unhideWhenUsed/>
    <w:rsid w:val="007A0407"/>
    <w:rPr>
      <w:color w:val="800080"/>
      <w:u w:val="single"/>
    </w:rPr>
  </w:style>
  <w:style w:type="character" w:customStyle="1" w:styleId="Heading1Char1">
    <w:name w:val="Heading 1 Char1"/>
    <w:basedOn w:val="DefaultParagraphFont"/>
    <w:link w:val="Heading1"/>
    <w:uiPriority w:val="9"/>
    <w:rsid w:val="007A04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7A0407"/>
    <w:pPr>
      <w:pBdr>
        <w:top w:val="single" w:sz="4" w:space="1" w:color="auto"/>
        <w:left w:val="single" w:sz="4" w:space="4" w:color="auto"/>
        <w:bottom w:val="single" w:sz="4" w:space="1" w:color="auto"/>
        <w:right w:val="single" w:sz="4" w:space="4" w:color="auto"/>
      </w:pBdr>
      <w:spacing w:before="480" w:line="276" w:lineRule="auto"/>
      <w:jc w:val="both"/>
      <w:outlineLvl w:val="9"/>
    </w:pPr>
    <w:rPr>
      <w:rFonts w:ascii="Cambria" w:eastAsia="MS Gothic" w:hAnsi="Cambria" w:cs="Times New Roman"/>
      <w:b/>
      <w:bCs/>
      <w:color w:val="365F91"/>
      <w:sz w:val="24"/>
      <w:szCs w:val="24"/>
      <w:lang w:val="en-US" w:eastAsia="ja-JP"/>
    </w:rPr>
  </w:style>
  <w:style w:type="paragraph" w:styleId="TOC3">
    <w:name w:val="toc 3"/>
    <w:basedOn w:val="Normal"/>
    <w:next w:val="Normal"/>
    <w:autoRedefine/>
    <w:uiPriority w:val="39"/>
    <w:unhideWhenUsed/>
    <w:rsid w:val="007A0407"/>
    <w:pPr>
      <w:spacing w:after="200" w:line="276" w:lineRule="auto"/>
      <w:ind w:left="440"/>
    </w:pPr>
    <w:rPr>
      <w:rFonts w:ascii="Calibri" w:eastAsia="Calibri" w:hAnsi="Calibri" w:cs="Times New Roman"/>
    </w:rPr>
  </w:style>
  <w:style w:type="paragraph" w:customStyle="1" w:styleId="Bullet2">
    <w:name w:val="Bullet2"/>
    <w:basedOn w:val="Normal"/>
    <w:rsid w:val="007A0407"/>
    <w:pPr>
      <w:numPr>
        <w:numId w:val="1"/>
      </w:numPr>
      <w:spacing w:after="0" w:line="240" w:lineRule="auto"/>
    </w:pPr>
    <w:rPr>
      <w:rFonts w:ascii="Calibri" w:eastAsia="Calibri" w:hAnsi="Calibri" w:cs="Times New Roman"/>
      <w:lang w:val="en-US" w:eastAsia="ar-SA"/>
    </w:rPr>
  </w:style>
  <w:style w:type="character" w:customStyle="1" w:styleId="alcapt2">
    <w:name w:val="al_capt2"/>
    <w:rsid w:val="007A0407"/>
    <w:rPr>
      <w:rFonts w:cs="Times New Roman"/>
      <w:i/>
      <w:iCs/>
    </w:rPr>
  </w:style>
  <w:style w:type="character" w:customStyle="1" w:styleId="ala88">
    <w:name w:val="al_a88"/>
    <w:rsid w:val="007A0407"/>
    <w:rPr>
      <w:rFonts w:cs="Times New Roman"/>
    </w:rPr>
  </w:style>
  <w:style w:type="character" w:customStyle="1" w:styleId="samedocreference1">
    <w:name w:val="samedocreference1"/>
    <w:rsid w:val="007A0407"/>
    <w:rPr>
      <w:i w:val="0"/>
      <w:iCs w:val="0"/>
      <w:color w:val="8B0000"/>
      <w:u w:val="single"/>
    </w:rPr>
  </w:style>
  <w:style w:type="character" w:styleId="Strong">
    <w:name w:val="Strong"/>
    <w:uiPriority w:val="22"/>
    <w:qFormat/>
    <w:rsid w:val="007A0407"/>
    <w:rPr>
      <w:b/>
      <w:bCs/>
    </w:rPr>
  </w:style>
  <w:style w:type="character" w:customStyle="1" w:styleId="2">
    <w:name w:val="Основен текст (2)_"/>
    <w:link w:val="21"/>
    <w:rsid w:val="007A0407"/>
    <w:rPr>
      <w:shd w:val="clear" w:color="auto" w:fill="FFFFFF"/>
    </w:rPr>
  </w:style>
  <w:style w:type="paragraph" w:customStyle="1" w:styleId="21">
    <w:name w:val="Основен текст (2)1"/>
    <w:basedOn w:val="Normal"/>
    <w:link w:val="2"/>
    <w:rsid w:val="007A0407"/>
    <w:pPr>
      <w:widowControl w:val="0"/>
      <w:shd w:val="clear" w:color="auto" w:fill="FFFFFF"/>
      <w:suppressAutoHyphens/>
      <w:spacing w:before="300" w:after="240" w:line="254" w:lineRule="exact"/>
      <w:jc w:val="both"/>
    </w:pPr>
  </w:style>
  <w:style w:type="character" w:customStyle="1" w:styleId="CommentTextChar">
    <w:name w:val="Comment Text Char"/>
    <w:basedOn w:val="DefaultParagraphFont"/>
    <w:link w:val="CommentText1"/>
    <w:uiPriority w:val="99"/>
    <w:semiHidden/>
    <w:rsid w:val="007A0407"/>
    <w:rPr>
      <w:rFonts w:ascii="Calibri" w:eastAsia="Calibri" w:hAnsi="Calibri" w:cs="Times New Roman"/>
    </w:rPr>
  </w:style>
  <w:style w:type="paragraph" w:customStyle="1" w:styleId="CommentText1">
    <w:name w:val="Comment Text1"/>
    <w:basedOn w:val="Normal"/>
    <w:next w:val="CommentText"/>
    <w:link w:val="CommentTextChar"/>
    <w:uiPriority w:val="99"/>
    <w:semiHidden/>
    <w:unhideWhenUsed/>
    <w:rsid w:val="007A0407"/>
    <w:pPr>
      <w:spacing w:line="240" w:lineRule="auto"/>
    </w:pPr>
    <w:rPr>
      <w:rFonts w:ascii="Calibri" w:eastAsia="Calibri" w:hAnsi="Calibri" w:cs="Times New Roman"/>
    </w:rPr>
  </w:style>
  <w:style w:type="character" w:customStyle="1" w:styleId="CommentSubjectChar">
    <w:name w:val="Comment Subject Char"/>
    <w:basedOn w:val="CommentTextChar"/>
    <w:link w:val="CommentSubject"/>
    <w:uiPriority w:val="99"/>
    <w:semiHidden/>
    <w:rsid w:val="007A0407"/>
    <w:rPr>
      <w:rFonts w:ascii="Calibri" w:eastAsia="Calibri" w:hAnsi="Calibri" w:cs="Times New Roman"/>
      <w:b/>
      <w:bCs/>
    </w:rPr>
  </w:style>
  <w:style w:type="paragraph" w:styleId="CommentText">
    <w:name w:val="annotation text"/>
    <w:basedOn w:val="Normal"/>
    <w:link w:val="CommentTextChar1"/>
    <w:uiPriority w:val="99"/>
    <w:semiHidden/>
    <w:unhideWhenUsed/>
    <w:rsid w:val="007A0407"/>
    <w:pPr>
      <w:spacing w:line="240" w:lineRule="auto"/>
    </w:pPr>
    <w:rPr>
      <w:sz w:val="20"/>
      <w:szCs w:val="20"/>
    </w:rPr>
  </w:style>
  <w:style w:type="character" w:customStyle="1" w:styleId="CommentTextChar1">
    <w:name w:val="Comment Text Char1"/>
    <w:basedOn w:val="DefaultParagraphFont"/>
    <w:link w:val="CommentText"/>
    <w:uiPriority w:val="99"/>
    <w:semiHidden/>
    <w:rsid w:val="007A0407"/>
    <w:rPr>
      <w:sz w:val="20"/>
      <w:szCs w:val="20"/>
    </w:rPr>
  </w:style>
  <w:style w:type="paragraph" w:styleId="CommentSubject">
    <w:name w:val="annotation subject"/>
    <w:basedOn w:val="CommentText"/>
    <w:next w:val="CommentText"/>
    <w:link w:val="CommentSubjectChar"/>
    <w:uiPriority w:val="99"/>
    <w:semiHidden/>
    <w:unhideWhenUsed/>
    <w:rsid w:val="007A0407"/>
    <w:rPr>
      <w:rFonts w:ascii="Calibri" w:eastAsia="Calibri" w:hAnsi="Calibri" w:cs="Times New Roman"/>
      <w:b/>
      <w:bCs/>
      <w:sz w:val="22"/>
      <w:szCs w:val="22"/>
    </w:rPr>
  </w:style>
  <w:style w:type="character" w:customStyle="1" w:styleId="CommentSubjectChar1">
    <w:name w:val="Comment Subject Char1"/>
    <w:basedOn w:val="CommentTextChar1"/>
    <w:uiPriority w:val="99"/>
    <w:semiHidden/>
    <w:rsid w:val="007A0407"/>
    <w:rPr>
      <w:b/>
      <w:bCs/>
      <w:sz w:val="20"/>
      <w:szCs w:val="20"/>
    </w:rPr>
  </w:style>
  <w:style w:type="character" w:customStyle="1" w:styleId="legaldocreference">
    <w:name w:val="legaldocreference"/>
    <w:basedOn w:val="DefaultParagraphFont"/>
    <w:rsid w:val="007A0407"/>
  </w:style>
  <w:style w:type="paragraph" w:customStyle="1" w:styleId="NoSpacing1">
    <w:name w:val="No Spacing1"/>
    <w:next w:val="NoSpacing"/>
    <w:uiPriority w:val="1"/>
    <w:qFormat/>
    <w:rsid w:val="007A0407"/>
    <w:pPr>
      <w:spacing w:after="0" w:line="240" w:lineRule="auto"/>
    </w:pPr>
  </w:style>
  <w:style w:type="paragraph" w:customStyle="1" w:styleId="Style">
    <w:name w:val="Style"/>
    <w:rsid w:val="007A040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Bodytext2">
    <w:name w:val="Body text (2)_"/>
    <w:link w:val="Bodytext20"/>
    <w:rsid w:val="007A0407"/>
    <w:rPr>
      <w:rFonts w:ascii="Times New Roman" w:eastAsia="Times New Roman" w:hAnsi="Times New Roman"/>
      <w:shd w:val="clear" w:color="auto" w:fill="FFFFFF"/>
    </w:rPr>
  </w:style>
  <w:style w:type="paragraph" w:customStyle="1" w:styleId="Bodytext20">
    <w:name w:val="Body text (2)"/>
    <w:basedOn w:val="Normal"/>
    <w:link w:val="Bodytext2"/>
    <w:rsid w:val="007A0407"/>
    <w:pPr>
      <w:widowControl w:val="0"/>
      <w:shd w:val="clear" w:color="auto" w:fill="FFFFFF"/>
      <w:spacing w:after="0" w:line="437" w:lineRule="exact"/>
      <w:ind w:hanging="380"/>
    </w:pPr>
    <w:rPr>
      <w:rFonts w:ascii="Times New Roman" w:eastAsia="Times New Roman" w:hAnsi="Times New Roman"/>
    </w:rPr>
  </w:style>
  <w:style w:type="paragraph" w:customStyle="1" w:styleId="Caption1">
    <w:name w:val="Caption1"/>
    <w:basedOn w:val="Normal"/>
    <w:next w:val="Normal"/>
    <w:uiPriority w:val="35"/>
    <w:unhideWhenUsed/>
    <w:qFormat/>
    <w:rsid w:val="007A0407"/>
    <w:pPr>
      <w:spacing w:after="200" w:line="240" w:lineRule="auto"/>
    </w:pPr>
    <w:rPr>
      <w:i/>
      <w:iCs/>
      <w:color w:val="455F51"/>
      <w:sz w:val="18"/>
      <w:szCs w:val="18"/>
    </w:rPr>
  </w:style>
  <w:style w:type="numbering" w:customStyle="1" w:styleId="NoList11">
    <w:name w:val="No List11"/>
    <w:next w:val="NoList"/>
    <w:uiPriority w:val="99"/>
    <w:semiHidden/>
    <w:unhideWhenUsed/>
    <w:rsid w:val="007A0407"/>
  </w:style>
  <w:style w:type="paragraph" w:styleId="Title">
    <w:name w:val="Title"/>
    <w:basedOn w:val="Normal"/>
    <w:link w:val="TitleChar"/>
    <w:uiPriority w:val="1"/>
    <w:qFormat/>
    <w:rsid w:val="007A0407"/>
    <w:pPr>
      <w:widowControl w:val="0"/>
      <w:autoSpaceDE w:val="0"/>
      <w:autoSpaceDN w:val="0"/>
      <w:spacing w:before="75" w:after="0" w:line="240" w:lineRule="auto"/>
      <w:ind w:left="159" w:right="158"/>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7A0407"/>
    <w:rPr>
      <w:rFonts w:ascii="Arial" w:eastAsia="Arial" w:hAnsi="Arial" w:cs="Arial"/>
      <w:b/>
      <w:bCs/>
      <w:sz w:val="28"/>
      <w:szCs w:val="28"/>
    </w:rPr>
  </w:style>
  <w:style w:type="character" w:styleId="Emphasis">
    <w:name w:val="Emphasis"/>
    <w:basedOn w:val="DefaultParagraphFont"/>
    <w:uiPriority w:val="20"/>
    <w:qFormat/>
    <w:rsid w:val="007A0407"/>
    <w:rPr>
      <w:i/>
      <w:iCs/>
    </w:rPr>
  </w:style>
  <w:style w:type="character" w:styleId="CommentReference">
    <w:name w:val="annotation reference"/>
    <w:basedOn w:val="DefaultParagraphFont"/>
    <w:uiPriority w:val="99"/>
    <w:semiHidden/>
    <w:unhideWhenUsed/>
    <w:rsid w:val="007A0407"/>
    <w:rPr>
      <w:sz w:val="16"/>
      <w:szCs w:val="16"/>
    </w:rPr>
  </w:style>
  <w:style w:type="paragraph" w:customStyle="1" w:styleId="m">
    <w:name w:val="m"/>
    <w:basedOn w:val="Normal"/>
    <w:rsid w:val="007A0407"/>
    <w:pPr>
      <w:spacing w:after="0" w:line="240" w:lineRule="auto"/>
      <w:ind w:firstLine="990"/>
      <w:jc w:val="both"/>
    </w:pPr>
    <w:rPr>
      <w:rFonts w:ascii="Times New Roman" w:eastAsia="Times New Roman" w:hAnsi="Times New Roman" w:cs="Times New Roman"/>
      <w:color w:val="000000"/>
      <w:sz w:val="24"/>
      <w:szCs w:val="24"/>
      <w:lang w:eastAsia="bg-BG"/>
    </w:rPr>
  </w:style>
  <w:style w:type="table" w:customStyle="1" w:styleId="TableGrid1">
    <w:name w:val="Table Grid1"/>
    <w:basedOn w:val="TableNormal"/>
    <w:next w:val="TableGrid"/>
    <w:uiPriority w:val="39"/>
    <w:rsid w:val="007A04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7A0407"/>
    <w:rPr>
      <w:i/>
      <w:iCs/>
      <w:color w:val="549E39"/>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rsid w:val="007A0407"/>
    <w:rPr>
      <w:rFonts w:ascii="Calibri" w:eastAsia="Calibri" w:hAnsi="Calibri" w:cs="Times New Roman"/>
    </w:rPr>
  </w:style>
  <w:style w:type="paragraph" w:customStyle="1" w:styleId="HTMLPreformatted1">
    <w:name w:val="HTML Preformatted1"/>
    <w:basedOn w:val="Normal"/>
    <w:next w:val="HTMLPreformatted"/>
    <w:link w:val="HTMLPreformattedChar"/>
    <w:uiPriority w:val="99"/>
    <w:unhideWhenUsed/>
    <w:rsid w:val="007A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rPr>
  </w:style>
  <w:style w:type="character" w:customStyle="1" w:styleId="HTMLPreformattedChar">
    <w:name w:val="HTML Preformatted Char"/>
    <w:basedOn w:val="DefaultParagraphFont"/>
    <w:link w:val="HTMLPreformatted1"/>
    <w:uiPriority w:val="99"/>
    <w:rsid w:val="007A0407"/>
    <w:rPr>
      <w:rFonts w:ascii="Courier New" w:eastAsia="Calibri" w:hAnsi="Courier New" w:cs="Courier New"/>
    </w:rPr>
  </w:style>
  <w:style w:type="paragraph" w:customStyle="1" w:styleId="Title1">
    <w:name w:val="Title1"/>
    <w:basedOn w:val="Normal"/>
    <w:rsid w:val="007A040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2Char1">
    <w:name w:val="Heading 2 Char1"/>
    <w:basedOn w:val="DefaultParagraphFont"/>
    <w:link w:val="Heading2"/>
    <w:uiPriority w:val="9"/>
    <w:semiHidden/>
    <w:rsid w:val="007A0407"/>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A0407"/>
    <w:pPr>
      <w:spacing w:after="0" w:line="240" w:lineRule="auto"/>
    </w:pPr>
  </w:style>
  <w:style w:type="character" w:styleId="IntenseEmphasis">
    <w:name w:val="Intense Emphasis"/>
    <w:basedOn w:val="DefaultParagraphFont"/>
    <w:uiPriority w:val="21"/>
    <w:qFormat/>
    <w:rsid w:val="007A0407"/>
    <w:rPr>
      <w:i/>
      <w:iCs/>
      <w:color w:val="5B9BD5" w:themeColor="accent1"/>
    </w:rPr>
  </w:style>
  <w:style w:type="paragraph" w:styleId="HTMLPreformatted">
    <w:name w:val="HTML Preformatted"/>
    <w:basedOn w:val="Normal"/>
    <w:link w:val="HTMLPreformattedChar1"/>
    <w:uiPriority w:val="99"/>
    <w:semiHidden/>
    <w:unhideWhenUsed/>
    <w:rsid w:val="007A0407"/>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7A0407"/>
    <w:rPr>
      <w:rFonts w:ascii="Consolas" w:hAnsi="Consolas"/>
      <w:sz w:val="20"/>
      <w:szCs w:val="20"/>
    </w:rPr>
  </w:style>
  <w:style w:type="character" w:customStyle="1" w:styleId="epname">
    <w:name w:val="ep_name"/>
    <w:basedOn w:val="DefaultParagraphFont"/>
    <w:rsid w:val="0032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6773">
      <w:bodyDiv w:val="1"/>
      <w:marLeft w:val="0"/>
      <w:marRight w:val="0"/>
      <w:marTop w:val="0"/>
      <w:marBottom w:val="0"/>
      <w:divBdr>
        <w:top w:val="none" w:sz="0" w:space="0" w:color="auto"/>
        <w:left w:val="none" w:sz="0" w:space="0" w:color="auto"/>
        <w:bottom w:val="none" w:sz="0" w:space="0" w:color="auto"/>
        <w:right w:val="none" w:sz="0" w:space="0" w:color="auto"/>
      </w:divBdr>
      <w:divsChild>
        <w:div w:id="1775444214">
          <w:marLeft w:val="547"/>
          <w:marRight w:val="0"/>
          <w:marTop w:val="0"/>
          <w:marBottom w:val="0"/>
          <w:divBdr>
            <w:top w:val="none" w:sz="0" w:space="0" w:color="auto"/>
            <w:left w:val="none" w:sz="0" w:space="0" w:color="auto"/>
            <w:bottom w:val="none" w:sz="0" w:space="0" w:color="auto"/>
            <w:right w:val="none" w:sz="0" w:space="0" w:color="auto"/>
          </w:divBdr>
        </w:div>
      </w:divsChild>
    </w:div>
    <w:div w:id="1053694997">
      <w:bodyDiv w:val="1"/>
      <w:marLeft w:val="0"/>
      <w:marRight w:val="0"/>
      <w:marTop w:val="0"/>
      <w:marBottom w:val="0"/>
      <w:divBdr>
        <w:top w:val="none" w:sz="0" w:space="0" w:color="auto"/>
        <w:left w:val="none" w:sz="0" w:space="0" w:color="auto"/>
        <w:bottom w:val="none" w:sz="0" w:space="0" w:color="auto"/>
        <w:right w:val="none" w:sz="0" w:space="0" w:color="auto"/>
      </w:divBdr>
      <w:divsChild>
        <w:div w:id="578713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activ.com/section/circular-economy/news/circular-economy-is-number-one-priority-of-european-green-deal/"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s://nwms.eea.government.bg/app/base/home" TargetMode="External"/><Relationship Id="rId21" Type="http://schemas.microsoft.com/office/2007/relationships/diagramDrawing" Target="diagrams/drawing1.xml"/><Relationship Id="rId34" Type="http://schemas.openxmlformats.org/officeDocument/2006/relationships/hyperlink" Target="https://www.europarl.europa.eu/legislative-train/theme-a-european-green-deal/package-fit-for-55" TargetMode="External"/><Relationship Id="rId42" Type="http://schemas.openxmlformats.org/officeDocument/2006/relationships/hyperlink" Target="https://eur-lex.europa.eu/legal-content/BG/TXT/HTML/?uri=CELEX:52019DC0640&amp;from=EN" TargetMode="External"/><Relationship Id="rId47" Type="http://schemas.openxmlformats.org/officeDocument/2006/relationships/hyperlink" Target="https://europa.eu/new-european-bauhaus/index_bg" TargetMode="External"/><Relationship Id="rId50" Type="http://schemas.openxmlformats.org/officeDocument/2006/relationships/hyperlink" Target="http://eea.government.bg/bg/legislation/waste/naredba_opakovki_21.pdf" TargetMode="External"/><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ec.europa.eu/info/law/better-regulation/have-your-say/initiatives/12656-%D0%9D%D0%B0%D1%86%D0%B8%D0%BE%D0%BD%D0%B0%D0%BB%D0%BD%D0%B8-%D1%86%D0%B5%D0%BB%D0%B8-%D0%B7%D0%B0-%D0%BD%D0%B0%D0%BC%D0%B0%D0%BB%D1%8F%D0%B2%D0%B0%D0%BD%D0%B5-%D0%BD%D0%B0-%D0%B5%D0%BC%D0%B8%D1%81%D0%B8%D0%B8%D1%82%D0%B5-%D0%A0%D0%B5%D0%B3%D0%BB%D0%B0%D0%BC%D0%B5%D0%BD%D1%82-%D0%B7%D0%B0-%D1%80%D0%B0%D0%B7%D0%BF%D1%80%D0%B5%D0%B4%D0%B5%D0%BB%D1%8F%D0%BD%D0%B5-%D0%BD%D0%B0-%D1%83%D1%81%D0%B8%D0%BB%D0%B8%D1%8F%D1%82%D0%B0-%D0%BF%D1%80%D0%B5%D0%B3%D0%BB%D0%B5%D0%B4-%D0%B2%D1%8A%D0%B7-%D0%BE%D1%81%D0%BD%D0%BE%D0%B2%D0%B0-%D0%BD%D0%B0-%D0%BF%D0%BB%D0%B0%D0%BD%D0%B0-%D0%B7%D0%B0-%D1%86%D0%B5%D0%BB%D0%B8%D1%82%D0%B5-%D0%B2-%D0%BE%D0%B1%D0%BB%D0%B0%D1%81%D1%82%D1%82%D0%B0-%D0%BD%D0%B0-%D0%BA%D0%BB%D0%B8%D0%BC%D0%B0%D1%82%D0%B0-%D0%B7%D0%B0-2030-%D0%B3_bg"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s://www.europarl.europa.eu/news/bg/press-room/20211014IPR14914/nova-strateghiia-na-es-ot-fermata-do-trapezata-za-zdravoslovna-i-ustoychiva-khrana" TargetMode="External"/><Relationship Id="rId38" Type="http://schemas.openxmlformats.org/officeDocument/2006/relationships/hyperlink" Target="https://nwms.eea.government.bg/app/base/home" TargetMode="External"/><Relationship Id="rId46" Type="http://schemas.openxmlformats.org/officeDocument/2006/relationships/hyperlink" Target="https://ec.europa.eu/commission/presscorner/detail/bg/ip_20_1833" TargetMode="External"/><Relationship Id="rId2" Type="http://schemas.openxmlformats.org/officeDocument/2006/relationships/numbering" Target="numbering.xml"/><Relationship Id="rId16" Type="http://schemas.openxmlformats.org/officeDocument/2006/relationships/hyperlink" Target="https://www.euractiv.com/section/energy-environment/news/eu-research-moonshots-focus-on-climate-crisis/" TargetMode="External"/><Relationship Id="rId20" Type="http://schemas.openxmlformats.org/officeDocument/2006/relationships/diagramColors" Target="diagrams/colors1.xml"/><Relationship Id="rId29" Type="http://schemas.openxmlformats.org/officeDocument/2006/relationships/diagramQuickStyle" Target="diagrams/quickStyle3.xml"/><Relationship Id="rId41" Type="http://schemas.openxmlformats.org/officeDocument/2006/relationships/hyperlink" Target="http://eea.government.bg/bg/legislation/waste/naredba_BA_21.pdf" TargetMode="External"/><Relationship Id="rId54" Type="http://schemas.openxmlformats.org/officeDocument/2006/relationships/hyperlink" Target="https://www.moew.government.bg/bg/strategiya-i-plan-za-dejstvie-za-prehod-kum-krugova-ikonomika-na-republika-bulgariya-za-perioda-2021-2027-g-109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ublications.europa.eu/resource/cellar/3a175757-5137-11e9-a8ed-01aa75ed71a1.0002.02/DOC_1" TargetMode="External"/><Relationship Id="rId24" Type="http://schemas.openxmlformats.org/officeDocument/2006/relationships/diagramQuickStyle" Target="diagrams/quickStyle2.xml"/><Relationship Id="rId32" Type="http://schemas.openxmlformats.org/officeDocument/2006/relationships/hyperlink" Target="https://www.europarl.europa.eu/news/bg/headlines/society/20200519STO79425/ot-fermata-do-trapezata-strateghiiata-na-es-za-ustoychivi-khranitelni-verighi" TargetMode="External"/><Relationship Id="rId37" Type="http://schemas.openxmlformats.org/officeDocument/2006/relationships/hyperlink" Target="https://www.mzh.government.bg/bg/politiki-i-programi/politiki-i-strategii/nacionalna-programa-za-predotvratyavane-i-namalyavane-na-zagubat/" TargetMode="External"/><Relationship Id="rId40" Type="http://schemas.openxmlformats.org/officeDocument/2006/relationships/hyperlink" Target="https://nwms.eea.government.bg/app/base/home" TargetMode="External"/><Relationship Id="rId45" Type="http://schemas.openxmlformats.org/officeDocument/2006/relationships/hyperlink" Target="https://ec.europa.eu/commission/presscorner/detail/bg/ip_20_1835" TargetMode="External"/><Relationship Id="rId53" Type="http://schemas.openxmlformats.org/officeDocument/2006/relationships/hyperlink" Target="https://www.moew.government.bg/static/media/ups/tiny/%D0%A3%D0%9E%D0%9E%D0%9F/%D0%9D%D0%9F%D0%A3%D0%9E-2021-2028/NPUO_2021-2028.pdf" TargetMode="External"/><Relationship Id="rId5" Type="http://schemas.openxmlformats.org/officeDocument/2006/relationships/webSettings" Target="webSettings.xml"/><Relationship Id="rId15" Type="http://schemas.openxmlformats.org/officeDocument/2006/relationships/hyperlink" Target="https://www.euractiv.com/section/energy-environment/news/europe-ringfences-35-of-research-budget-for-clean-tech/"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hyperlink" Target="https://ec.europa.eu/environment/circular-economy/first_circular_economy_action_plan.html" TargetMode="External"/><Relationship Id="rId49" Type="http://schemas.openxmlformats.org/officeDocument/2006/relationships/hyperlink" Target="http://eea.government.bg/bg/legislation/waste/Naredba_razdelno_subirane_bio_tretirane_biorazgradimi_otpaduci.pdf" TargetMode="External"/><Relationship Id="rId10" Type="http://schemas.openxmlformats.org/officeDocument/2006/relationships/hyperlink" Target="https://ec.europa.eu/info/strategy/priorities-2019-2024/european-green-deal_en" TargetMode="Externa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hyperlink" Target="https://ec.europa.eu/commission/presscorner/detail/bg/fs_20_437" TargetMode="External"/><Relationship Id="rId52" Type="http://schemas.openxmlformats.org/officeDocument/2006/relationships/hyperlink" Target="http://eea.government.bg/bg/legislation/waste/naredbaEEO_21.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euractiv.com/section/energy-environment/news/housing-renovation-plan-will-be-flagship-of-european-green-deal/"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s://ec.europa.eu/commission/presscorner/detail/en/ip_20_420" TargetMode="External"/><Relationship Id="rId43" Type="http://schemas.openxmlformats.org/officeDocument/2006/relationships/hyperlink" Target="https://ec.europa.eu/info/strategy/priorities-2019-2024/european-green-deal/actions-being-taken-eu/eu-biodiversity-strategy-2030_bg" TargetMode="External"/><Relationship Id="rId48" Type="http://schemas.openxmlformats.org/officeDocument/2006/relationships/hyperlink" Target="https://www.mzh.government.bg/bg/politiki-i-programi/politiki-i-strategii/nacionalna-programa-za-predotvratyavane-i-namalyavane-na-zagubat/" TargetMode="External"/><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eea.government.bg/bg/legislation/waste/naredba_BA_21.pdf"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F7421-56C7-4838-A2BC-EC19E58B0C9D}"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7E49EF31-4FA9-49D0-8DBE-6CF75FBE0271}">
      <dgm:prSet phldrT="[Text]" custT="1"/>
      <dgm:spPr>
        <a:xfrm rot="5400000">
          <a:off x="-92773" y="140859"/>
          <a:ext cx="618492" cy="432944"/>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11.12.19</a:t>
          </a:r>
          <a:endParaRPr lang="en-US" sz="1100" b="1">
            <a:solidFill>
              <a:srgbClr val="002060"/>
            </a:solidFill>
            <a:latin typeface="Cambria" panose="02040503050406030204" pitchFamily="18" charset="0"/>
            <a:ea typeface="Cambria" panose="02040503050406030204" pitchFamily="18" charset="0"/>
            <a:cs typeface="+mn-cs"/>
          </a:endParaRPr>
        </a:p>
      </dgm:t>
    </dgm:pt>
    <dgm:pt modelId="{8EC0FC37-5D09-4382-BA8E-3E552EDB78A0}" type="parTrans" cxnId="{3D87D482-DD28-4F80-88CB-1C6061953F12}">
      <dgm:prSet/>
      <dgm:spPr/>
      <dgm:t>
        <a:bodyPr/>
        <a:lstStyle/>
        <a:p>
          <a:endParaRPr lang="en-US"/>
        </a:p>
      </dgm:t>
    </dgm:pt>
    <dgm:pt modelId="{6EF9F1D7-DE00-4848-B090-8B88F245E0D5}" type="sibTrans" cxnId="{3D87D482-DD28-4F80-88CB-1C6061953F12}">
      <dgm:prSet/>
      <dgm:spPr/>
      <dgm:t>
        <a:bodyPr/>
        <a:lstStyle/>
        <a:p>
          <a:endParaRPr lang="en-US"/>
        </a:p>
      </dgm:t>
    </dgm:pt>
    <dgm:pt modelId="{5033C56E-1EE1-4DC5-AF51-DAEA170A3CC2}">
      <dgm:prSet phldrT="[Text]" custT="1"/>
      <dgm:spPr>
        <a:xfrm rot="5400000">
          <a:off x="3004301" y="-2523271"/>
          <a:ext cx="402231" cy="554494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Представяне на Европейския зелен пакт</a:t>
          </a:r>
          <a:endParaRPr lang="en-US" sz="1100" b="1">
            <a:solidFill>
              <a:srgbClr val="002060"/>
            </a:solidFill>
            <a:latin typeface="Cambria" panose="02040503050406030204" pitchFamily="18" charset="0"/>
            <a:ea typeface="Cambria" panose="02040503050406030204" pitchFamily="18" charset="0"/>
            <a:cs typeface="+mn-cs"/>
          </a:endParaRPr>
        </a:p>
      </dgm:t>
    </dgm:pt>
    <dgm:pt modelId="{5981F8F6-C424-479C-8C4D-7990C94F03D9}" type="parTrans" cxnId="{CE830744-7FEC-4231-B7BA-487F1249920E}">
      <dgm:prSet/>
      <dgm:spPr/>
      <dgm:t>
        <a:bodyPr/>
        <a:lstStyle/>
        <a:p>
          <a:endParaRPr lang="en-US"/>
        </a:p>
      </dgm:t>
    </dgm:pt>
    <dgm:pt modelId="{70B1E205-B7C7-437B-B6C7-2CF071149716}" type="sibTrans" cxnId="{CE830744-7FEC-4231-B7BA-487F1249920E}">
      <dgm:prSet/>
      <dgm:spPr/>
      <dgm:t>
        <a:bodyPr/>
        <a:lstStyle/>
        <a:p>
          <a:endParaRPr lang="en-US"/>
        </a:p>
      </dgm:t>
    </dgm:pt>
    <dgm:pt modelId="{28096FC4-949A-4CA6-A395-6A6ADC14CEFB}">
      <dgm:prSet phldrT="[Text]" custT="1"/>
      <dgm:spPr>
        <a:xfrm rot="5400000">
          <a:off x="-92773" y="713166"/>
          <a:ext cx="618492" cy="432944"/>
        </a:xfrm>
        <a:prstGeom prst="chevron">
          <a:avLst/>
        </a:prstGeom>
        <a:solidFill>
          <a:srgbClr val="4472C4">
            <a:hueOff val="-612779"/>
            <a:satOff val="-852"/>
            <a:lumOff val="-327"/>
            <a:alphaOff val="0"/>
          </a:srgbClr>
        </a:solidFill>
        <a:ln w="12700" cap="flat" cmpd="sng" algn="ctr">
          <a:solidFill>
            <a:srgbClr val="4472C4">
              <a:hueOff val="-612779"/>
              <a:satOff val="-852"/>
              <a:lumOff val="-327"/>
              <a:alphaOff val="0"/>
            </a:srgbClr>
          </a:solidFill>
          <a:prstDash val="solid"/>
          <a:miter lim="800000"/>
        </a:ln>
        <a:effectLst/>
      </dgm:spPr>
      <dgm:t>
        <a:bodyPr/>
        <a:lstStyle/>
        <a:p>
          <a:r>
            <a:rPr lang="en-US" sz="1100" b="1">
              <a:solidFill>
                <a:srgbClr val="002060"/>
              </a:solidFill>
              <a:latin typeface="Cambria" panose="02040503050406030204" pitchFamily="18" charset="0"/>
              <a:ea typeface="Cambria" panose="02040503050406030204" pitchFamily="18" charset="0"/>
              <a:cs typeface="+mn-cs"/>
            </a:rPr>
            <a:t>14.01.20</a:t>
          </a:r>
        </a:p>
      </dgm:t>
    </dgm:pt>
    <dgm:pt modelId="{5FA1EFBF-A943-43B2-B86B-058281845954}" type="parTrans" cxnId="{1999FF74-2F5B-4274-AA88-3A99852A9551}">
      <dgm:prSet/>
      <dgm:spPr/>
      <dgm:t>
        <a:bodyPr/>
        <a:lstStyle/>
        <a:p>
          <a:endParaRPr lang="en-US"/>
        </a:p>
      </dgm:t>
    </dgm:pt>
    <dgm:pt modelId="{F8FCDE1B-9FC6-4A67-A1E6-99E87EF6483C}" type="sibTrans" cxnId="{1999FF74-2F5B-4274-AA88-3A99852A9551}">
      <dgm:prSet/>
      <dgm:spPr/>
      <dgm:t>
        <a:bodyPr/>
        <a:lstStyle/>
        <a:p>
          <a:endParaRPr lang="en-US"/>
        </a:p>
      </dgm:t>
    </dgm:pt>
    <dgm:pt modelId="{DDE409BB-4180-4071-B379-6706BD873999}">
      <dgm:prSet phldrT="[Text]" custT="1"/>
      <dgm:spPr>
        <a:xfrm rot="5400000">
          <a:off x="3004407" y="-1951070"/>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612779"/>
              <a:satOff val="-852"/>
              <a:lumOff val="-32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Представяне на Плана за инвестиции във връзка с Европейския зелен пакт и на Механизма за справедлив преход</a:t>
          </a:r>
          <a:endParaRPr lang="en-US" sz="1100" b="1">
            <a:solidFill>
              <a:srgbClr val="002060"/>
            </a:solidFill>
            <a:latin typeface="Cambria" panose="02040503050406030204" pitchFamily="18" charset="0"/>
            <a:ea typeface="Cambria" panose="02040503050406030204" pitchFamily="18" charset="0"/>
            <a:cs typeface="+mn-cs"/>
          </a:endParaRPr>
        </a:p>
      </dgm:t>
    </dgm:pt>
    <dgm:pt modelId="{7DE82400-09E0-4433-8701-419F664541A6}" type="parTrans" cxnId="{9C8754BA-DC4C-45B8-9EC9-4CD3E9B94421}">
      <dgm:prSet/>
      <dgm:spPr/>
      <dgm:t>
        <a:bodyPr/>
        <a:lstStyle/>
        <a:p>
          <a:endParaRPr lang="en-US"/>
        </a:p>
      </dgm:t>
    </dgm:pt>
    <dgm:pt modelId="{F3378376-7C2C-4008-84EB-CDE20E78DC6E}" type="sibTrans" cxnId="{9C8754BA-DC4C-45B8-9EC9-4CD3E9B94421}">
      <dgm:prSet/>
      <dgm:spPr/>
      <dgm:t>
        <a:bodyPr/>
        <a:lstStyle/>
        <a:p>
          <a:endParaRPr lang="en-US"/>
        </a:p>
      </dgm:t>
    </dgm:pt>
    <dgm:pt modelId="{19814185-69C4-481E-9981-680EBC864CE1}">
      <dgm:prSet phldrT="[Text]" custT="1"/>
      <dgm:spPr>
        <a:xfrm rot="5400000">
          <a:off x="-92773" y="1285472"/>
          <a:ext cx="618492" cy="432944"/>
        </a:xfrm>
        <a:prstGeom prst="chevron">
          <a:avLst/>
        </a:prstGeom>
        <a:solidFill>
          <a:srgbClr val="4472C4">
            <a:hueOff val="-1225557"/>
            <a:satOff val="-1705"/>
            <a:lumOff val="-654"/>
            <a:alphaOff val="0"/>
          </a:srgbClr>
        </a:solidFill>
        <a:ln w="12700" cap="flat" cmpd="sng" algn="ctr">
          <a:solidFill>
            <a:srgbClr val="4472C4">
              <a:hueOff val="-1225557"/>
              <a:satOff val="-1705"/>
              <a:lumOff val="-65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04.03.20</a:t>
          </a:r>
          <a:endParaRPr lang="en-US" sz="1100" b="1">
            <a:solidFill>
              <a:srgbClr val="002060"/>
            </a:solidFill>
            <a:latin typeface="Cambria" panose="02040503050406030204" pitchFamily="18" charset="0"/>
            <a:ea typeface="Cambria" panose="02040503050406030204" pitchFamily="18" charset="0"/>
            <a:cs typeface="+mn-cs"/>
          </a:endParaRPr>
        </a:p>
      </dgm:t>
    </dgm:pt>
    <dgm:pt modelId="{F493C23F-D10B-450B-B226-9D356B31D502}" type="parTrans" cxnId="{813EBB6D-D4D1-40B7-9930-7047C210BECE}">
      <dgm:prSet/>
      <dgm:spPr/>
      <dgm:t>
        <a:bodyPr/>
        <a:lstStyle/>
        <a:p>
          <a:endParaRPr lang="en-US"/>
        </a:p>
      </dgm:t>
    </dgm:pt>
    <dgm:pt modelId="{A787719E-6538-4AA1-9C72-8770F7FBCAFE}" type="sibTrans" cxnId="{813EBB6D-D4D1-40B7-9930-7047C210BECE}">
      <dgm:prSet/>
      <dgm:spPr/>
      <dgm:t>
        <a:bodyPr/>
        <a:lstStyle/>
        <a:p>
          <a:endParaRPr lang="en-US"/>
        </a:p>
      </dgm:t>
    </dgm:pt>
    <dgm:pt modelId="{F7073F08-6019-4709-99BA-7CC0BFE90C7F}">
      <dgm:prSet phldrT="[Text]" custT="1"/>
      <dgm:spPr>
        <a:xfrm rot="5400000">
          <a:off x="3004407" y="-1378764"/>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1225557"/>
              <a:satOff val="-1705"/>
              <a:lumOff val="-65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Предложение за законодателен акт в областта на климата за постигане на неутрален по отношение на климата Европейски съюз до 2050г.</a:t>
          </a:r>
          <a:endParaRPr lang="en-US" sz="1100" b="1">
            <a:solidFill>
              <a:srgbClr val="002060"/>
            </a:solidFill>
            <a:latin typeface="Cambria" panose="02040503050406030204" pitchFamily="18" charset="0"/>
            <a:ea typeface="Cambria" panose="02040503050406030204" pitchFamily="18" charset="0"/>
            <a:cs typeface="+mn-cs"/>
          </a:endParaRPr>
        </a:p>
      </dgm:t>
    </dgm:pt>
    <dgm:pt modelId="{5466D1AA-DDE3-482D-8BBD-7DF668B3E18F}" type="parTrans" cxnId="{28EB9D6D-6115-4448-B97A-3A8CAB748701}">
      <dgm:prSet/>
      <dgm:spPr/>
      <dgm:t>
        <a:bodyPr/>
        <a:lstStyle/>
        <a:p>
          <a:endParaRPr lang="en-US"/>
        </a:p>
      </dgm:t>
    </dgm:pt>
    <dgm:pt modelId="{C8DE9BD1-B0CE-4214-ACF6-798080E2EF22}" type="sibTrans" cxnId="{28EB9D6D-6115-4448-B97A-3A8CAB748701}">
      <dgm:prSet/>
      <dgm:spPr/>
      <dgm:t>
        <a:bodyPr/>
        <a:lstStyle/>
        <a:p>
          <a:endParaRPr lang="en-US"/>
        </a:p>
      </dgm:t>
    </dgm:pt>
    <dgm:pt modelId="{F671849F-61F1-48C5-B2B3-9967349B90F2}">
      <dgm:prSet phldrT="[Text]" custT="1"/>
      <dgm:spPr>
        <a:xfrm rot="5400000">
          <a:off x="-92773" y="1857778"/>
          <a:ext cx="618492" cy="432944"/>
        </a:xfrm>
        <a:prstGeom prst="chevron">
          <a:avLst/>
        </a:prstGeom>
        <a:solidFill>
          <a:srgbClr val="4472C4">
            <a:hueOff val="-1838336"/>
            <a:satOff val="-2557"/>
            <a:lumOff val="-981"/>
            <a:alphaOff val="0"/>
          </a:srgbClr>
        </a:solidFill>
        <a:ln w="12700" cap="flat" cmpd="sng" algn="ctr">
          <a:solidFill>
            <a:srgbClr val="4472C4">
              <a:hueOff val="-1838336"/>
              <a:satOff val="-2557"/>
              <a:lumOff val="-981"/>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10.03.20</a:t>
          </a:r>
          <a:endParaRPr lang="en-US" sz="1100" b="1">
            <a:solidFill>
              <a:srgbClr val="002060"/>
            </a:solidFill>
            <a:latin typeface="Cambria" panose="02040503050406030204" pitchFamily="18" charset="0"/>
            <a:ea typeface="Cambria" panose="02040503050406030204" pitchFamily="18" charset="0"/>
            <a:cs typeface="+mn-cs"/>
          </a:endParaRPr>
        </a:p>
      </dgm:t>
    </dgm:pt>
    <dgm:pt modelId="{1719759C-7EB6-49FF-BD9E-79AB8CD6F25B}" type="parTrans" cxnId="{4A649223-B9A4-455D-91FA-95148BE740D8}">
      <dgm:prSet/>
      <dgm:spPr/>
      <dgm:t>
        <a:bodyPr/>
        <a:lstStyle/>
        <a:p>
          <a:endParaRPr lang="en-US"/>
        </a:p>
      </dgm:t>
    </dgm:pt>
    <dgm:pt modelId="{66E80941-0B8E-4521-B760-16567EEC6BBC}" type="sibTrans" cxnId="{4A649223-B9A4-455D-91FA-95148BE740D8}">
      <dgm:prSet/>
      <dgm:spPr/>
      <dgm:t>
        <a:bodyPr/>
        <a:lstStyle/>
        <a:p>
          <a:endParaRPr lang="en-US"/>
        </a:p>
      </dgm:t>
    </dgm:pt>
    <dgm:pt modelId="{4F14CE12-E91E-4249-B336-FFA48CC52430}">
      <dgm:prSet phldrT="[Text]" custT="1"/>
      <dgm:spPr>
        <a:xfrm rot="5400000">
          <a:off x="-92773" y="2430085"/>
          <a:ext cx="618492" cy="432944"/>
        </a:xfrm>
        <a:prstGeom prst="chevron">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11.03.20</a:t>
          </a:r>
          <a:endParaRPr lang="en-US" sz="1100" b="1">
            <a:solidFill>
              <a:srgbClr val="002060"/>
            </a:solidFill>
            <a:latin typeface="Cambria" panose="02040503050406030204" pitchFamily="18" charset="0"/>
            <a:ea typeface="Cambria" panose="02040503050406030204" pitchFamily="18" charset="0"/>
            <a:cs typeface="+mn-cs"/>
          </a:endParaRPr>
        </a:p>
      </dgm:t>
    </dgm:pt>
    <dgm:pt modelId="{69ABAEF3-C75E-4C01-91EA-773000472432}" type="parTrans" cxnId="{E7384A44-3DF7-4B8C-85EE-7FF620BA535D}">
      <dgm:prSet/>
      <dgm:spPr/>
      <dgm:t>
        <a:bodyPr/>
        <a:lstStyle/>
        <a:p>
          <a:endParaRPr lang="en-US"/>
        </a:p>
      </dgm:t>
    </dgm:pt>
    <dgm:pt modelId="{499AE70F-1C86-4B2F-B935-76D349913369}" type="sibTrans" cxnId="{E7384A44-3DF7-4B8C-85EE-7FF620BA535D}">
      <dgm:prSet/>
      <dgm:spPr/>
      <dgm:t>
        <a:bodyPr/>
        <a:lstStyle/>
        <a:p>
          <a:endParaRPr lang="en-US"/>
        </a:p>
      </dgm:t>
    </dgm:pt>
    <dgm:pt modelId="{E3706DB6-9915-4A06-A385-2936E4E4CF5B}">
      <dgm:prSet phldrT="[Text]" custT="1"/>
      <dgm:spPr>
        <a:xfrm rot="5400000">
          <a:off x="-92773" y="3122430"/>
          <a:ext cx="618492" cy="432944"/>
        </a:xfrm>
        <a:prstGeom prst="chevron">
          <a:avLst/>
        </a:prstGeom>
        <a:solidFill>
          <a:srgbClr val="4472C4">
            <a:hueOff val="-3063894"/>
            <a:satOff val="-4262"/>
            <a:lumOff val="-1634"/>
            <a:alphaOff val="0"/>
          </a:srgbClr>
        </a:solidFill>
        <a:ln w="12700" cap="flat" cmpd="sng" algn="ctr">
          <a:solidFill>
            <a:srgbClr val="4472C4">
              <a:hueOff val="-3063894"/>
              <a:satOff val="-4262"/>
              <a:lumOff val="-163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20.05.20</a:t>
          </a:r>
          <a:endParaRPr lang="en-US" sz="1100" b="1">
            <a:solidFill>
              <a:srgbClr val="002060"/>
            </a:solidFill>
            <a:latin typeface="Cambria" panose="02040503050406030204" pitchFamily="18" charset="0"/>
            <a:ea typeface="Cambria" panose="02040503050406030204" pitchFamily="18" charset="0"/>
            <a:cs typeface="+mn-cs"/>
          </a:endParaRPr>
        </a:p>
      </dgm:t>
    </dgm:pt>
    <dgm:pt modelId="{987DB11E-0B71-45D4-B2C4-9C55CDDDFA62}" type="parTrans" cxnId="{861BB625-50BC-4DA9-8D60-1C1DE7B33D4B}">
      <dgm:prSet/>
      <dgm:spPr/>
      <dgm:t>
        <a:bodyPr/>
        <a:lstStyle/>
        <a:p>
          <a:endParaRPr lang="en-US"/>
        </a:p>
      </dgm:t>
    </dgm:pt>
    <dgm:pt modelId="{BE039C6E-2B17-4F2E-B72B-AE6BF0D9EAB5}" type="sibTrans" cxnId="{861BB625-50BC-4DA9-8D60-1C1DE7B33D4B}">
      <dgm:prSet/>
      <dgm:spPr/>
      <dgm:t>
        <a:bodyPr/>
        <a:lstStyle/>
        <a:p>
          <a:endParaRPr lang="en-US"/>
        </a:p>
      </dgm:t>
    </dgm:pt>
    <dgm:pt modelId="{97AE7748-4F74-4A5A-912A-3561246FDDAA}">
      <dgm:prSet phldrT="[Text]" custT="1"/>
      <dgm:spPr>
        <a:xfrm rot="5400000">
          <a:off x="-92773" y="3694736"/>
          <a:ext cx="618492" cy="432944"/>
        </a:xfrm>
        <a:prstGeom prst="chevron">
          <a:avLst/>
        </a:prstGeom>
        <a:solidFill>
          <a:srgbClr val="4472C4">
            <a:hueOff val="-3676672"/>
            <a:satOff val="-5114"/>
            <a:lumOff val="-1961"/>
            <a:alphaOff val="0"/>
          </a:srgbClr>
        </a:solidFill>
        <a:ln w="12700" cap="flat" cmpd="sng" algn="ctr">
          <a:solidFill>
            <a:srgbClr val="4472C4">
              <a:hueOff val="-3676672"/>
              <a:satOff val="-5114"/>
              <a:lumOff val="-1961"/>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08.07.20</a:t>
          </a:r>
          <a:endParaRPr lang="en-US" sz="1100" b="1">
            <a:solidFill>
              <a:srgbClr val="002060"/>
            </a:solidFill>
            <a:latin typeface="Cambria" panose="02040503050406030204" pitchFamily="18" charset="0"/>
            <a:ea typeface="Cambria" panose="02040503050406030204" pitchFamily="18" charset="0"/>
            <a:cs typeface="+mn-cs"/>
          </a:endParaRPr>
        </a:p>
      </dgm:t>
    </dgm:pt>
    <dgm:pt modelId="{82767AAB-EBF6-4253-B690-45AC24698427}" type="parTrans" cxnId="{E82A4D02-D295-4EC4-8558-3B03011767C9}">
      <dgm:prSet/>
      <dgm:spPr/>
      <dgm:t>
        <a:bodyPr/>
        <a:lstStyle/>
        <a:p>
          <a:endParaRPr lang="en-US"/>
        </a:p>
      </dgm:t>
    </dgm:pt>
    <dgm:pt modelId="{810CD9A8-4795-44FA-838E-9114EC4AACF9}" type="sibTrans" cxnId="{E82A4D02-D295-4EC4-8558-3B03011767C9}">
      <dgm:prSet/>
      <dgm:spPr/>
      <dgm:t>
        <a:bodyPr/>
        <a:lstStyle/>
        <a:p>
          <a:endParaRPr lang="en-US"/>
        </a:p>
      </dgm:t>
    </dgm:pt>
    <dgm:pt modelId="{13823A2E-E7EE-4318-AA08-EB67FF193614}">
      <dgm:prSet phldrT="[Text]" custT="1"/>
      <dgm:spPr>
        <a:xfrm rot="5400000">
          <a:off x="-92773" y="4267043"/>
          <a:ext cx="618492" cy="432944"/>
        </a:xfrm>
        <a:prstGeom prst="chevron">
          <a:avLst/>
        </a:prstGeom>
        <a:solidFill>
          <a:srgbClr val="4472C4">
            <a:hueOff val="-4289451"/>
            <a:satOff val="-5966"/>
            <a:lumOff val="-2288"/>
            <a:alphaOff val="0"/>
          </a:srgbClr>
        </a:solidFill>
        <a:ln w="12700" cap="flat" cmpd="sng" algn="ctr">
          <a:solidFill>
            <a:srgbClr val="4472C4">
              <a:hueOff val="-4289451"/>
              <a:satOff val="-5966"/>
              <a:lumOff val="-2288"/>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17.09.20</a:t>
          </a:r>
          <a:endParaRPr lang="en-US" sz="1100" b="1">
            <a:solidFill>
              <a:srgbClr val="002060"/>
            </a:solidFill>
            <a:latin typeface="Cambria" panose="02040503050406030204" pitchFamily="18" charset="0"/>
            <a:ea typeface="Cambria" panose="02040503050406030204" pitchFamily="18" charset="0"/>
            <a:cs typeface="+mn-cs"/>
          </a:endParaRPr>
        </a:p>
      </dgm:t>
    </dgm:pt>
    <dgm:pt modelId="{F2172E88-A518-43D8-917E-0952621FAFE2}" type="parTrans" cxnId="{5341B37E-0EB4-4391-81C0-C03C69E15487}">
      <dgm:prSet/>
      <dgm:spPr/>
      <dgm:t>
        <a:bodyPr/>
        <a:lstStyle/>
        <a:p>
          <a:endParaRPr lang="en-US"/>
        </a:p>
      </dgm:t>
    </dgm:pt>
    <dgm:pt modelId="{8833960E-10A6-4C82-9D8E-5B571A8DB419}" type="sibTrans" cxnId="{5341B37E-0EB4-4391-81C0-C03C69E15487}">
      <dgm:prSet/>
      <dgm:spPr/>
      <dgm:t>
        <a:bodyPr/>
        <a:lstStyle/>
        <a:p>
          <a:endParaRPr lang="en-US"/>
        </a:p>
      </dgm:t>
    </dgm:pt>
    <dgm:pt modelId="{8957D6A8-9CAB-4965-8EE5-D04B8E740E0F}">
      <dgm:prSet phldrT="[Text]" custT="1"/>
      <dgm:spPr>
        <a:xfrm rot="5400000">
          <a:off x="-92773" y="4839349"/>
          <a:ext cx="618492" cy="432944"/>
        </a:xfrm>
        <a:prstGeom prst="chevron">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14.10.20</a:t>
          </a:r>
          <a:endParaRPr lang="en-US" sz="1100" b="1">
            <a:solidFill>
              <a:srgbClr val="002060"/>
            </a:solidFill>
            <a:latin typeface="Cambria" panose="02040503050406030204" pitchFamily="18" charset="0"/>
            <a:ea typeface="Cambria" panose="02040503050406030204" pitchFamily="18" charset="0"/>
            <a:cs typeface="+mn-cs"/>
          </a:endParaRPr>
        </a:p>
      </dgm:t>
    </dgm:pt>
    <dgm:pt modelId="{3530EE01-BE32-4581-B32E-A9585E67F11B}" type="parTrans" cxnId="{AC298E81-48E0-4028-9B14-3526F2B35573}">
      <dgm:prSet/>
      <dgm:spPr/>
      <dgm:t>
        <a:bodyPr/>
        <a:lstStyle/>
        <a:p>
          <a:endParaRPr lang="en-US"/>
        </a:p>
      </dgm:t>
    </dgm:pt>
    <dgm:pt modelId="{8D712AB5-75BB-4AC6-B0FC-AC0518522A1C}" type="sibTrans" cxnId="{AC298E81-48E0-4028-9B14-3526F2B35573}">
      <dgm:prSet/>
      <dgm:spPr/>
      <dgm:t>
        <a:bodyPr/>
        <a:lstStyle/>
        <a:p>
          <a:endParaRPr lang="en-US"/>
        </a:p>
      </dgm:t>
    </dgm:pt>
    <dgm:pt modelId="{9A8F75C1-EAC4-47B8-86D9-BFD301902AD7}">
      <dgm:prSet phldrT="[Text]" custT="1"/>
      <dgm:spPr>
        <a:xfrm rot="5400000">
          <a:off x="-92773" y="5411655"/>
          <a:ext cx="618492" cy="432944"/>
        </a:xfrm>
        <a:prstGeom prst="chevron">
          <a:avLst/>
        </a:prstGeom>
        <a:solidFill>
          <a:srgbClr val="4472C4">
            <a:hueOff val="-5515009"/>
            <a:satOff val="-7671"/>
            <a:lumOff val="-2942"/>
            <a:alphaOff val="0"/>
          </a:srgbClr>
        </a:solidFill>
        <a:ln w="12700" cap="flat" cmpd="sng" algn="ctr">
          <a:solidFill>
            <a:srgbClr val="4472C4">
              <a:hueOff val="-5515009"/>
              <a:satOff val="-7671"/>
              <a:lumOff val="-2942"/>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19.11.20</a:t>
          </a:r>
          <a:endParaRPr lang="en-US" sz="1100" b="1">
            <a:solidFill>
              <a:srgbClr val="002060"/>
            </a:solidFill>
            <a:latin typeface="Cambria" panose="02040503050406030204" pitchFamily="18" charset="0"/>
            <a:ea typeface="Cambria" panose="02040503050406030204" pitchFamily="18" charset="0"/>
            <a:cs typeface="+mn-cs"/>
          </a:endParaRPr>
        </a:p>
      </dgm:t>
    </dgm:pt>
    <dgm:pt modelId="{DD54E761-E577-4539-935A-ED8D7F646220}" type="parTrans" cxnId="{C28AC49D-BF61-406F-BF2F-933E7AF3DDA7}">
      <dgm:prSet/>
      <dgm:spPr/>
      <dgm:t>
        <a:bodyPr/>
        <a:lstStyle/>
        <a:p>
          <a:endParaRPr lang="en-US"/>
        </a:p>
      </dgm:t>
    </dgm:pt>
    <dgm:pt modelId="{9C1CEEBC-F16A-420C-A8C1-300B3B5615CA}" type="sibTrans" cxnId="{C28AC49D-BF61-406F-BF2F-933E7AF3DDA7}">
      <dgm:prSet/>
      <dgm:spPr/>
      <dgm:t>
        <a:bodyPr/>
        <a:lstStyle/>
        <a:p>
          <a:endParaRPr lang="en-US"/>
        </a:p>
      </dgm:t>
    </dgm:pt>
    <dgm:pt modelId="{9F2ED8FE-9985-4726-81A4-3CF2E3C5ABE5}">
      <dgm:prSet phldrT="[Text]" custT="1"/>
      <dgm:spPr>
        <a:xfrm rot="5400000">
          <a:off x="-92773" y="5983961"/>
          <a:ext cx="618492" cy="432944"/>
        </a:xfrm>
        <a:prstGeom prst="chevron">
          <a:avLst/>
        </a:prstGeom>
        <a:solidFill>
          <a:srgbClr val="4472C4">
            <a:hueOff val="-6127787"/>
            <a:satOff val="-8523"/>
            <a:lumOff val="-3268"/>
            <a:alphaOff val="0"/>
          </a:srgbClr>
        </a:solidFill>
        <a:ln w="12700" cap="flat" cmpd="sng" algn="ctr">
          <a:solidFill>
            <a:srgbClr val="4472C4">
              <a:hueOff val="-6127787"/>
              <a:satOff val="-8523"/>
              <a:lumOff val="-3268"/>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09.12.20</a:t>
          </a:r>
          <a:endParaRPr lang="en-US" sz="1100" b="1">
            <a:solidFill>
              <a:srgbClr val="002060"/>
            </a:solidFill>
            <a:latin typeface="Cambria" panose="02040503050406030204" pitchFamily="18" charset="0"/>
            <a:ea typeface="Cambria" panose="02040503050406030204" pitchFamily="18" charset="0"/>
            <a:cs typeface="+mn-cs"/>
          </a:endParaRPr>
        </a:p>
      </dgm:t>
    </dgm:pt>
    <dgm:pt modelId="{5781EA54-89E4-45F5-96CC-585D9EF10035}" type="parTrans" cxnId="{6A1ED06D-F208-4B84-A01A-2ABF60FF4DD0}">
      <dgm:prSet/>
      <dgm:spPr/>
      <dgm:t>
        <a:bodyPr/>
        <a:lstStyle/>
        <a:p>
          <a:endParaRPr lang="en-US"/>
        </a:p>
      </dgm:t>
    </dgm:pt>
    <dgm:pt modelId="{034C8929-917A-48D0-BCC8-B30EE0795949}" type="sibTrans" cxnId="{6A1ED06D-F208-4B84-A01A-2ABF60FF4DD0}">
      <dgm:prSet/>
      <dgm:spPr/>
      <dgm:t>
        <a:bodyPr/>
        <a:lstStyle/>
        <a:p>
          <a:endParaRPr lang="en-US"/>
        </a:p>
      </dgm:t>
    </dgm:pt>
    <dgm:pt modelId="{AB4187B3-E39B-40A6-9952-8892B4E5DAF1}">
      <dgm:prSet custT="1"/>
      <dgm:spPr>
        <a:xfrm rot="5400000">
          <a:off x="3004407" y="-806457"/>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1838336"/>
              <a:satOff val="-2557"/>
              <a:lumOff val="-981"/>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Приемане на Европейска промишлена стратегия - план за подготвена за бъдещето икономика</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1B644A3A-103D-4758-B13B-DB131394563B}" type="parTrans" cxnId="{89424C3D-C5F8-4ABF-A5F8-7AF544C9F503}">
      <dgm:prSet/>
      <dgm:spPr/>
      <dgm:t>
        <a:bodyPr/>
        <a:lstStyle/>
        <a:p>
          <a:endParaRPr lang="en-US"/>
        </a:p>
      </dgm:t>
    </dgm:pt>
    <dgm:pt modelId="{9B41B4BF-41E6-41CA-8515-BB5C8C8D6735}" type="sibTrans" cxnId="{89424C3D-C5F8-4ABF-A5F8-7AF544C9F503}">
      <dgm:prSet/>
      <dgm:spPr/>
      <dgm:t>
        <a:bodyPr/>
        <a:lstStyle/>
        <a:p>
          <a:endParaRPr lang="en-US"/>
        </a:p>
      </dgm:t>
    </dgm:pt>
    <dgm:pt modelId="{B8B0C007-60A8-43C3-A7CD-A7ADDB217D70}">
      <dgm:prSet custT="1"/>
      <dgm:spPr>
        <a:xfrm rot="5400000">
          <a:off x="3004407" y="-234151"/>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2451115"/>
              <a:satOff val="-3409"/>
              <a:lumOff val="-1307"/>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Предложение за План за действие относно кръговата икономика с акцент върху усойчивото ползване на ресурсите</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C9118355-3411-4473-9A0B-560EBFFA7EC1}" type="parTrans" cxnId="{14559DC7-E7C6-4D5C-B2D7-71143230EC99}">
      <dgm:prSet/>
      <dgm:spPr/>
      <dgm:t>
        <a:bodyPr/>
        <a:lstStyle/>
        <a:p>
          <a:endParaRPr lang="en-US"/>
        </a:p>
      </dgm:t>
    </dgm:pt>
    <dgm:pt modelId="{642F7A0D-2606-44B6-9CA4-09D06E4C0015}" type="sibTrans" cxnId="{14559DC7-E7C6-4D5C-B2D7-71143230EC99}">
      <dgm:prSet/>
      <dgm:spPr/>
      <dgm:t>
        <a:bodyPr/>
        <a:lstStyle/>
        <a:p>
          <a:endParaRPr lang="en-US"/>
        </a:p>
      </dgm:t>
    </dgm:pt>
    <dgm:pt modelId="{C9DA3208-4FD1-4C84-9F16-AD101DD1E569}">
      <dgm:prSet custT="1"/>
      <dgm:spPr>
        <a:xfrm rot="5400000">
          <a:off x="2884368" y="458193"/>
          <a:ext cx="642098" cy="5544945"/>
        </a:xfrm>
        <a:prstGeom prst="round2SameRect">
          <a:avLst/>
        </a:prstGeom>
        <a:solidFill>
          <a:sysClr val="window" lastClr="FFFFFF">
            <a:alpha val="90000"/>
            <a:hueOff val="0"/>
            <a:satOff val="0"/>
            <a:lumOff val="0"/>
            <a:alphaOff val="0"/>
          </a:sysClr>
        </a:solidFill>
        <a:ln w="12700" cap="flat" cmpd="sng" algn="ctr">
          <a:solidFill>
            <a:srgbClr val="4472C4">
              <a:hueOff val="-3063894"/>
              <a:satOff val="-4262"/>
              <a:lumOff val="-1634"/>
              <a:alphaOff val="0"/>
            </a:srgbClr>
          </a:solidFill>
          <a:prstDash val="solid"/>
          <a:miter lim="800000"/>
        </a:ln>
        <a:effectLst/>
      </dgm:spPr>
      <dgm:t>
        <a:bodyPr/>
        <a:lstStyle/>
        <a:p>
          <a:pPr algn="just"/>
          <a:r>
            <a:rPr lang="bg-BG" sz="1050" b="1">
              <a:solidFill>
                <a:srgbClr val="4472C4">
                  <a:lumMod val="50000"/>
                </a:srgbClr>
              </a:solidFill>
              <a:latin typeface="Cambria" panose="02040503050406030204" pitchFamily="18" charset="0"/>
              <a:ea typeface="Cambria" panose="02040503050406030204" pitchFamily="18" charset="0"/>
              <a:cs typeface="+mn-cs"/>
            </a:rPr>
            <a:t>Представяне на стратегията на ЕС за биологично разнообразие до 2030г. с цел защита на уязвимите природни ресурси на планетата</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D52C4041-AE58-47D7-8012-26BDAB6E258C}" type="parTrans" cxnId="{25287F68-B7CD-4ED3-82BC-C26D9A947F42}">
      <dgm:prSet/>
      <dgm:spPr/>
      <dgm:t>
        <a:bodyPr/>
        <a:lstStyle/>
        <a:p>
          <a:endParaRPr lang="en-US"/>
        </a:p>
      </dgm:t>
    </dgm:pt>
    <dgm:pt modelId="{422498F4-EB0A-402E-86CA-A78B1EE2715E}" type="sibTrans" cxnId="{25287F68-B7CD-4ED3-82BC-C26D9A947F42}">
      <dgm:prSet/>
      <dgm:spPr/>
      <dgm:t>
        <a:bodyPr/>
        <a:lstStyle/>
        <a:p>
          <a:endParaRPr lang="en-US"/>
        </a:p>
      </dgm:t>
    </dgm:pt>
    <dgm:pt modelId="{8AA25868-6FDD-45FE-B97E-262A3738371E}">
      <dgm:prSet custT="1"/>
      <dgm:spPr>
        <a:xfrm rot="5400000">
          <a:off x="2884368" y="458193"/>
          <a:ext cx="642098" cy="5544945"/>
        </a:xfrm>
        <a:prstGeom prst="round2SameRect">
          <a:avLst/>
        </a:prstGeom>
        <a:solidFill>
          <a:sysClr val="window" lastClr="FFFFFF">
            <a:alpha val="90000"/>
            <a:hueOff val="0"/>
            <a:satOff val="0"/>
            <a:lumOff val="0"/>
            <a:alphaOff val="0"/>
          </a:sysClr>
        </a:solidFill>
        <a:ln w="12700" cap="flat" cmpd="sng" algn="ctr">
          <a:solidFill>
            <a:srgbClr val="4472C4">
              <a:hueOff val="-3063894"/>
              <a:satOff val="-4262"/>
              <a:lumOff val="-1634"/>
              <a:alphaOff val="0"/>
            </a:srgbClr>
          </a:solidFill>
          <a:prstDash val="solid"/>
          <a:miter lim="800000"/>
        </a:ln>
        <a:effectLst/>
      </dgm:spPr>
      <dgm:t>
        <a:bodyPr/>
        <a:lstStyle/>
        <a:p>
          <a:pPr algn="just"/>
          <a:r>
            <a:rPr lang="bg-BG" sz="1050" b="1">
              <a:solidFill>
                <a:srgbClr val="4472C4">
                  <a:lumMod val="50000"/>
                </a:srgbClr>
              </a:solidFill>
              <a:latin typeface="Cambria" panose="02040503050406030204" pitchFamily="18" charset="0"/>
              <a:ea typeface="Cambria" panose="02040503050406030204" pitchFamily="18" charset="0"/>
              <a:cs typeface="+mn-cs"/>
            </a:rPr>
            <a:t>Представяне на Стратегията "От фермата към трапезата" за устойчивост на продоволствените системи</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7538A595-D7C2-4CB5-8770-060493313DAC}" type="parTrans" cxnId="{A6FF1B1E-89D4-4DF6-9F1C-CF8B3D7979B4}">
      <dgm:prSet/>
      <dgm:spPr/>
      <dgm:t>
        <a:bodyPr/>
        <a:lstStyle/>
        <a:p>
          <a:endParaRPr lang="en-US"/>
        </a:p>
      </dgm:t>
    </dgm:pt>
    <dgm:pt modelId="{E8245B2B-F673-4D54-97F9-9B49860E5D59}" type="sibTrans" cxnId="{A6FF1B1E-89D4-4DF6-9F1C-CF8B3D7979B4}">
      <dgm:prSet/>
      <dgm:spPr/>
      <dgm:t>
        <a:bodyPr/>
        <a:lstStyle/>
        <a:p>
          <a:endParaRPr lang="en-US"/>
        </a:p>
      </dgm:t>
    </dgm:pt>
    <dgm:pt modelId="{CCF1CFF6-15DF-4BFD-870E-89C38BB9B992}">
      <dgm:prSet custT="1"/>
      <dgm:spPr>
        <a:xfrm rot="5400000">
          <a:off x="2884368" y="458193"/>
          <a:ext cx="642098" cy="5544945"/>
        </a:xfrm>
        <a:prstGeom prst="round2SameRect">
          <a:avLst/>
        </a:prstGeom>
        <a:solidFill>
          <a:sysClr val="window" lastClr="FFFFFF">
            <a:alpha val="90000"/>
            <a:hueOff val="0"/>
            <a:satOff val="0"/>
            <a:lumOff val="0"/>
            <a:alphaOff val="0"/>
          </a:sysClr>
        </a:solidFill>
        <a:ln w="12700" cap="flat" cmpd="sng" algn="ctr">
          <a:solidFill>
            <a:srgbClr val="4472C4">
              <a:hueOff val="-3063894"/>
              <a:satOff val="-4262"/>
              <a:lumOff val="-1634"/>
              <a:alphaOff val="0"/>
            </a:srgbClr>
          </a:solidFill>
          <a:prstDash val="solid"/>
          <a:miter lim="800000"/>
        </a:ln>
        <a:effectLst/>
      </dgm:spPr>
      <dgm:t>
        <a:bodyPr/>
        <a:lstStyle/>
        <a:p>
          <a:pPr algn="l"/>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19B1FBBF-2E8A-46D8-9BDD-E9A09C37A870}" type="parTrans" cxnId="{7293C211-0ABA-4459-B6EE-35476E67A278}">
      <dgm:prSet/>
      <dgm:spPr/>
      <dgm:t>
        <a:bodyPr/>
        <a:lstStyle/>
        <a:p>
          <a:endParaRPr lang="en-US"/>
        </a:p>
      </dgm:t>
    </dgm:pt>
    <dgm:pt modelId="{C696E474-2A19-4669-B0A5-2E9CA502F6AF}" type="sibTrans" cxnId="{7293C211-0ABA-4459-B6EE-35476E67A278}">
      <dgm:prSet/>
      <dgm:spPr/>
      <dgm:t>
        <a:bodyPr/>
        <a:lstStyle/>
        <a:p>
          <a:endParaRPr lang="en-US"/>
        </a:p>
      </dgm:t>
    </dgm:pt>
    <dgm:pt modelId="{4DDCC443-8294-44A5-82A8-D40A8B14A149}">
      <dgm:prSet custT="1"/>
      <dgm:spPr>
        <a:xfrm rot="5400000">
          <a:off x="3004407" y="1030500"/>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3676672"/>
              <a:satOff val="-5114"/>
              <a:lumOff val="-1961"/>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Стратегия на ЕС за интегриране на енергийната система и ипозване на водорода за постигане на изцяло декарбонизиран, ефективен и взаимносвързан енергиен сектор</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37B4888D-F17C-4C58-8D7B-66A98A3C65D5}" type="parTrans" cxnId="{23EF5F93-0294-4955-9A7B-95C37A0A00BB}">
      <dgm:prSet/>
      <dgm:spPr/>
      <dgm:t>
        <a:bodyPr/>
        <a:lstStyle/>
        <a:p>
          <a:endParaRPr lang="en-US"/>
        </a:p>
      </dgm:t>
    </dgm:pt>
    <dgm:pt modelId="{9AC66053-E254-4AC2-AD14-77EED38C943F}" type="sibTrans" cxnId="{23EF5F93-0294-4955-9A7B-95C37A0A00BB}">
      <dgm:prSet/>
      <dgm:spPr/>
      <dgm:t>
        <a:bodyPr/>
        <a:lstStyle/>
        <a:p>
          <a:endParaRPr lang="en-US"/>
        </a:p>
      </dgm:t>
    </dgm:pt>
    <dgm:pt modelId="{88304025-6AFD-4EEC-A28D-4729C6486C59}">
      <dgm:prSet custT="1"/>
      <dgm:spPr>
        <a:xfrm rot="5400000">
          <a:off x="3004407" y="1602806"/>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4289451"/>
              <a:satOff val="-5966"/>
              <a:lumOff val="-2288"/>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Представяне на План за целите в областта на климата до 2030г.</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CD14B492-D753-4CB9-9144-901C0DCB6EA7}" type="parTrans" cxnId="{0F931180-9927-4225-9FEA-7F681D289812}">
      <dgm:prSet/>
      <dgm:spPr/>
      <dgm:t>
        <a:bodyPr/>
        <a:lstStyle/>
        <a:p>
          <a:endParaRPr lang="en-US"/>
        </a:p>
      </dgm:t>
    </dgm:pt>
    <dgm:pt modelId="{95BF6C5B-C097-463B-B135-3FB3665984FA}" type="sibTrans" cxnId="{0F931180-9927-4225-9FEA-7F681D289812}">
      <dgm:prSet/>
      <dgm:spPr/>
      <dgm:t>
        <a:bodyPr/>
        <a:lstStyle/>
        <a:p>
          <a:endParaRPr lang="en-US"/>
        </a:p>
      </dgm:t>
    </dgm:pt>
    <dgm:pt modelId="{D4AE3759-6C18-4245-B001-945F4F9E9142}">
      <dgm:prSet phldrT="[Text]" custT="1"/>
      <dgm:spPr>
        <a:xfrm rot="5400000">
          <a:off x="-92773" y="6556268"/>
          <a:ext cx="618492" cy="432944"/>
        </a:xfrm>
        <a:prstGeom prst="chevron">
          <a:avLst/>
        </a:prstGeom>
        <a:solidFill>
          <a:srgbClr val="4472C4">
            <a:hueOff val="-6740566"/>
            <a:satOff val="-9376"/>
            <a:lumOff val="-3595"/>
            <a:alphaOff val="0"/>
          </a:srgbClr>
        </a:solidFill>
        <a:ln w="12700" cap="flat" cmpd="sng" algn="ctr">
          <a:solidFill>
            <a:srgbClr val="4472C4">
              <a:hueOff val="-6740566"/>
              <a:satOff val="-9376"/>
              <a:lumOff val="-3595"/>
              <a:alphaOff val="0"/>
            </a:srgbClr>
          </a:solidFill>
          <a:prstDash val="solid"/>
          <a:miter lim="800000"/>
        </a:ln>
        <a:effectLst/>
      </dgm:spPr>
      <dgm:t>
        <a:bodyPr/>
        <a:lstStyle/>
        <a:p>
          <a:r>
            <a:rPr lang="bg-BG" sz="1050" b="1">
              <a:solidFill>
                <a:srgbClr val="002060"/>
              </a:solidFill>
              <a:latin typeface="Cambria" panose="02040503050406030204" pitchFamily="18" charset="0"/>
              <a:ea typeface="Cambria" panose="02040503050406030204" pitchFamily="18" charset="0"/>
              <a:cs typeface="+mn-cs"/>
            </a:rPr>
            <a:t>10.12.20</a:t>
          </a:r>
          <a:endParaRPr lang="en-US" sz="1050" b="1">
            <a:solidFill>
              <a:srgbClr val="002060"/>
            </a:solidFill>
            <a:latin typeface="Cambria" panose="02040503050406030204" pitchFamily="18" charset="0"/>
            <a:ea typeface="Cambria" panose="02040503050406030204" pitchFamily="18" charset="0"/>
            <a:cs typeface="+mn-cs"/>
          </a:endParaRPr>
        </a:p>
      </dgm:t>
    </dgm:pt>
    <dgm:pt modelId="{592B52F5-66D1-4B3B-884D-CC8C247F81D3}" type="parTrans" cxnId="{E4E15F19-9348-4DBB-AC4B-289FD71C475B}">
      <dgm:prSet/>
      <dgm:spPr/>
      <dgm:t>
        <a:bodyPr/>
        <a:lstStyle/>
        <a:p>
          <a:endParaRPr lang="en-US"/>
        </a:p>
      </dgm:t>
    </dgm:pt>
    <dgm:pt modelId="{06856A61-7CD5-42E5-AB0B-0F3CC9E28F1B}" type="sibTrans" cxnId="{E4E15F19-9348-4DBB-AC4B-289FD71C475B}">
      <dgm:prSet/>
      <dgm:spPr/>
      <dgm:t>
        <a:bodyPr/>
        <a:lstStyle/>
        <a:p>
          <a:endParaRPr lang="en-US"/>
        </a:p>
      </dgm:t>
    </dgm:pt>
    <dgm:pt modelId="{5FBEC694-6D72-45FC-B844-BB1ABCC17AAD}">
      <dgm:prSet custT="1"/>
      <dgm:spPr>
        <a:xfrm rot="5400000">
          <a:off x="3004407" y="2175112"/>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4902230"/>
              <a:satOff val="-6819"/>
              <a:lumOff val="-2615"/>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План за саниране, План за метана, Стратегия за химичните вещества с цел устойчивост</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8D60C053-0B6B-430F-A355-1264F908C67E}" type="parTrans" cxnId="{9774DBD7-F3A3-4FC2-B049-1068A3D57FDD}">
      <dgm:prSet/>
      <dgm:spPr/>
      <dgm:t>
        <a:bodyPr/>
        <a:lstStyle/>
        <a:p>
          <a:endParaRPr lang="en-US"/>
        </a:p>
      </dgm:t>
    </dgm:pt>
    <dgm:pt modelId="{3D9BA8DA-F04E-49DB-891B-965E53F473D7}" type="sibTrans" cxnId="{9774DBD7-F3A3-4FC2-B049-1068A3D57FDD}">
      <dgm:prSet/>
      <dgm:spPr/>
      <dgm:t>
        <a:bodyPr/>
        <a:lstStyle/>
        <a:p>
          <a:endParaRPr lang="en-US"/>
        </a:p>
      </dgm:t>
    </dgm:pt>
    <dgm:pt modelId="{BC9716C1-4B76-4970-AB68-0E624081DA77}">
      <dgm:prSet custT="1"/>
      <dgm:spPr>
        <a:xfrm rot="5400000">
          <a:off x="3004407" y="2747419"/>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5515009"/>
              <a:satOff val="-7671"/>
              <a:lumOff val="-2942"/>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Енергия от възобновяеми източници в морето</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653852DB-A8A1-439D-BB18-23A554868E59}" type="parTrans" cxnId="{AE083BE2-77FA-4A4C-8BCF-2D3EE0481FA5}">
      <dgm:prSet/>
      <dgm:spPr/>
      <dgm:t>
        <a:bodyPr/>
        <a:lstStyle/>
        <a:p>
          <a:endParaRPr lang="en-US"/>
        </a:p>
      </dgm:t>
    </dgm:pt>
    <dgm:pt modelId="{FE030A7B-D6C6-4B1F-9FBC-C7472E808709}" type="sibTrans" cxnId="{AE083BE2-77FA-4A4C-8BCF-2D3EE0481FA5}">
      <dgm:prSet/>
      <dgm:spPr/>
      <dgm:t>
        <a:bodyPr/>
        <a:lstStyle/>
        <a:p>
          <a:endParaRPr lang="en-US"/>
        </a:p>
      </dgm:t>
    </dgm:pt>
    <dgm:pt modelId="{E521C599-7A6B-4922-ACD6-DF103F00755B}">
      <dgm:prSet custT="1"/>
      <dgm:spPr>
        <a:xfrm rot="5400000">
          <a:off x="3004407" y="3319725"/>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6127787"/>
              <a:satOff val="-8523"/>
              <a:lumOff val="-3268"/>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Европейски пакт за климата</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E5A2C3E3-FA8F-4D7A-A7A1-37D6522777D3}" type="parTrans" cxnId="{9156B13C-A8D0-4D1C-9847-C01022FDB9A5}">
      <dgm:prSet/>
      <dgm:spPr/>
      <dgm:t>
        <a:bodyPr/>
        <a:lstStyle/>
        <a:p>
          <a:endParaRPr lang="en-US"/>
        </a:p>
      </dgm:t>
    </dgm:pt>
    <dgm:pt modelId="{5A2EF855-A1CA-4257-971D-51A6636B04B1}" type="sibTrans" cxnId="{9156B13C-A8D0-4D1C-9847-C01022FDB9A5}">
      <dgm:prSet/>
      <dgm:spPr/>
      <dgm:t>
        <a:bodyPr/>
        <a:lstStyle/>
        <a:p>
          <a:endParaRPr lang="en-US"/>
        </a:p>
      </dgm:t>
    </dgm:pt>
    <dgm:pt modelId="{069A5020-BC0B-4B85-AF4A-495466A8FB05}">
      <dgm:prSet custT="1"/>
      <dgm:spPr>
        <a:xfrm rot="5400000">
          <a:off x="3004407" y="3892031"/>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6740566"/>
              <a:satOff val="-9376"/>
              <a:lumOff val="-3595"/>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Европейски алианс за акумулаторните батерии</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9F773CFC-6D56-4D53-80E5-56780B1754FF}" type="parTrans" cxnId="{4114DAB8-8B1D-49D7-A6BB-65A3D29E1B0A}">
      <dgm:prSet/>
      <dgm:spPr/>
      <dgm:t>
        <a:bodyPr/>
        <a:lstStyle/>
        <a:p>
          <a:endParaRPr lang="en-US"/>
        </a:p>
      </dgm:t>
    </dgm:pt>
    <dgm:pt modelId="{72C8B128-B6E8-4F28-8329-DF3F83175C39}" type="sibTrans" cxnId="{4114DAB8-8B1D-49D7-A6BB-65A3D29E1B0A}">
      <dgm:prSet/>
      <dgm:spPr/>
      <dgm:t>
        <a:bodyPr/>
        <a:lstStyle/>
        <a:p>
          <a:endParaRPr lang="en-US"/>
        </a:p>
      </dgm:t>
    </dgm:pt>
    <dgm:pt modelId="{9FD95FE1-D889-4E59-880B-3FFBBB429D8D}">
      <dgm:prSet phldrT="[Text]" custT="1"/>
      <dgm:spPr>
        <a:xfrm rot="5400000">
          <a:off x="-92773" y="7128574"/>
          <a:ext cx="618492" cy="432944"/>
        </a:xfrm>
        <a:prstGeom prst="chevron">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bg-BG" sz="1050" b="1">
              <a:solidFill>
                <a:srgbClr val="002060"/>
              </a:solidFill>
              <a:latin typeface="Cambria" panose="02040503050406030204" pitchFamily="18" charset="0"/>
              <a:ea typeface="Cambria" panose="02040503050406030204" pitchFamily="18" charset="0"/>
              <a:cs typeface="+mn-cs"/>
            </a:rPr>
            <a:t>18.01.21</a:t>
          </a:r>
          <a:endParaRPr lang="en-US" sz="1050" b="1">
            <a:solidFill>
              <a:srgbClr val="002060"/>
            </a:solidFill>
            <a:latin typeface="Cambria" panose="02040503050406030204" pitchFamily="18" charset="0"/>
            <a:ea typeface="Cambria" panose="02040503050406030204" pitchFamily="18" charset="0"/>
            <a:cs typeface="+mn-cs"/>
          </a:endParaRPr>
        </a:p>
      </dgm:t>
    </dgm:pt>
    <dgm:pt modelId="{7AB82977-CCAA-455A-BA93-E3F15D761143}" type="sibTrans" cxnId="{3A69AC59-BA89-4F4D-AC99-D741B1222DF6}">
      <dgm:prSet/>
      <dgm:spPr/>
      <dgm:t>
        <a:bodyPr/>
        <a:lstStyle/>
        <a:p>
          <a:endParaRPr lang="en-US"/>
        </a:p>
      </dgm:t>
    </dgm:pt>
    <dgm:pt modelId="{D1BD80D6-FDE4-4C30-80E0-AC080D937FD4}" type="parTrans" cxnId="{3A69AC59-BA89-4F4D-AC99-D741B1222DF6}">
      <dgm:prSet/>
      <dgm:spPr/>
      <dgm:t>
        <a:bodyPr/>
        <a:lstStyle/>
        <a:p>
          <a:endParaRPr lang="en-US"/>
        </a:p>
      </dgm:t>
    </dgm:pt>
    <dgm:pt modelId="{E0EEAD50-074A-4857-A6B8-E10CD7240CF2}">
      <dgm:prSet custT="1"/>
      <dgm:spPr/>
      <dgm:t>
        <a:bodyPr/>
        <a:lstStyle/>
        <a:p>
          <a:r>
            <a:rPr lang="bg-BG" sz="1100" b="1">
              <a:solidFill>
                <a:srgbClr val="002060"/>
              </a:solidFill>
              <a:latin typeface="Cambria" panose="02040503050406030204" pitchFamily="18" charset="0"/>
              <a:ea typeface="Cambria" panose="02040503050406030204" pitchFamily="18" charset="0"/>
            </a:rPr>
            <a:t>нов Европейски Баухаус</a:t>
          </a:r>
          <a:endParaRPr lang="en-US" sz="1100" b="1">
            <a:solidFill>
              <a:srgbClr val="002060"/>
            </a:solidFill>
            <a:latin typeface="Cambria" panose="02040503050406030204" pitchFamily="18" charset="0"/>
            <a:ea typeface="Cambria" panose="02040503050406030204" pitchFamily="18" charset="0"/>
          </a:endParaRPr>
        </a:p>
      </dgm:t>
    </dgm:pt>
    <dgm:pt modelId="{30001261-22A8-4B47-9A3D-B05C2578A74A}" type="parTrans" cxnId="{50FBF5F0-54BE-4129-A32E-3F46E4071A05}">
      <dgm:prSet/>
      <dgm:spPr/>
      <dgm:t>
        <a:bodyPr/>
        <a:lstStyle/>
        <a:p>
          <a:endParaRPr lang="en-US"/>
        </a:p>
      </dgm:t>
    </dgm:pt>
    <dgm:pt modelId="{4B4924C3-F0E8-4E0D-9C56-B72D30BC248E}" type="sibTrans" cxnId="{50FBF5F0-54BE-4129-A32E-3F46E4071A05}">
      <dgm:prSet/>
      <dgm:spPr/>
      <dgm:t>
        <a:bodyPr/>
        <a:lstStyle/>
        <a:p>
          <a:endParaRPr lang="en-US"/>
        </a:p>
      </dgm:t>
    </dgm:pt>
    <dgm:pt modelId="{1A73EC0D-FB3F-4754-A01A-E4B3F209135B}" type="pres">
      <dgm:prSet presAssocID="{B93F7421-56C7-4838-A2BC-EC19E58B0C9D}" presName="linearFlow" presStyleCnt="0">
        <dgm:presLayoutVars>
          <dgm:dir/>
          <dgm:animLvl val="lvl"/>
          <dgm:resizeHandles val="exact"/>
        </dgm:presLayoutVars>
      </dgm:prSet>
      <dgm:spPr/>
      <dgm:t>
        <a:bodyPr/>
        <a:lstStyle/>
        <a:p>
          <a:endParaRPr lang="en-US"/>
        </a:p>
      </dgm:t>
    </dgm:pt>
    <dgm:pt modelId="{059064DD-3425-491E-8B4B-CDE2E28B9134}" type="pres">
      <dgm:prSet presAssocID="{7E49EF31-4FA9-49D0-8DBE-6CF75FBE0271}" presName="composite" presStyleCnt="0"/>
      <dgm:spPr/>
    </dgm:pt>
    <dgm:pt modelId="{1B430139-ABED-4C68-A126-E9E0CACF3D40}" type="pres">
      <dgm:prSet presAssocID="{7E49EF31-4FA9-49D0-8DBE-6CF75FBE0271}" presName="parentText" presStyleLbl="alignNode1" presStyleIdx="0" presStyleCnt="13">
        <dgm:presLayoutVars>
          <dgm:chMax val="1"/>
          <dgm:bulletEnabled val="1"/>
        </dgm:presLayoutVars>
      </dgm:prSet>
      <dgm:spPr>
        <a:prstGeom prst="chevron">
          <a:avLst/>
        </a:prstGeom>
      </dgm:spPr>
      <dgm:t>
        <a:bodyPr/>
        <a:lstStyle/>
        <a:p>
          <a:endParaRPr lang="en-US"/>
        </a:p>
      </dgm:t>
    </dgm:pt>
    <dgm:pt modelId="{FAF2AF55-A654-44F3-B92C-B6CA469148D2}" type="pres">
      <dgm:prSet presAssocID="{7E49EF31-4FA9-49D0-8DBE-6CF75FBE0271}" presName="descendantText" presStyleLbl="alignAcc1" presStyleIdx="0" presStyleCnt="13">
        <dgm:presLayoutVars>
          <dgm:bulletEnabled val="1"/>
        </dgm:presLayoutVars>
      </dgm:prSet>
      <dgm:spPr>
        <a:prstGeom prst="round2SameRect">
          <a:avLst/>
        </a:prstGeom>
      </dgm:spPr>
      <dgm:t>
        <a:bodyPr/>
        <a:lstStyle/>
        <a:p>
          <a:endParaRPr lang="en-US"/>
        </a:p>
      </dgm:t>
    </dgm:pt>
    <dgm:pt modelId="{4BC551CA-B686-4611-84C4-41ACDA97188E}" type="pres">
      <dgm:prSet presAssocID="{6EF9F1D7-DE00-4848-B090-8B88F245E0D5}" presName="sp" presStyleCnt="0"/>
      <dgm:spPr/>
    </dgm:pt>
    <dgm:pt modelId="{AE0483F0-BD2D-4F30-91B7-B3AAEE09A280}" type="pres">
      <dgm:prSet presAssocID="{28096FC4-949A-4CA6-A395-6A6ADC14CEFB}" presName="composite" presStyleCnt="0"/>
      <dgm:spPr/>
    </dgm:pt>
    <dgm:pt modelId="{E94C0AA8-26AF-448A-A26E-5923F2965E6C}" type="pres">
      <dgm:prSet presAssocID="{28096FC4-949A-4CA6-A395-6A6ADC14CEFB}" presName="parentText" presStyleLbl="alignNode1" presStyleIdx="1" presStyleCnt="13">
        <dgm:presLayoutVars>
          <dgm:chMax val="1"/>
          <dgm:bulletEnabled val="1"/>
        </dgm:presLayoutVars>
      </dgm:prSet>
      <dgm:spPr>
        <a:prstGeom prst="chevron">
          <a:avLst/>
        </a:prstGeom>
      </dgm:spPr>
      <dgm:t>
        <a:bodyPr/>
        <a:lstStyle/>
        <a:p>
          <a:endParaRPr lang="en-US"/>
        </a:p>
      </dgm:t>
    </dgm:pt>
    <dgm:pt modelId="{B0995E04-3C20-4CAD-A59C-B4E45B151ED7}" type="pres">
      <dgm:prSet presAssocID="{28096FC4-949A-4CA6-A395-6A6ADC14CEFB}" presName="descendantText" presStyleLbl="alignAcc1" presStyleIdx="1" presStyleCnt="13">
        <dgm:presLayoutVars>
          <dgm:bulletEnabled val="1"/>
        </dgm:presLayoutVars>
      </dgm:prSet>
      <dgm:spPr>
        <a:prstGeom prst="round2SameRect">
          <a:avLst/>
        </a:prstGeom>
      </dgm:spPr>
      <dgm:t>
        <a:bodyPr/>
        <a:lstStyle/>
        <a:p>
          <a:endParaRPr lang="en-US"/>
        </a:p>
      </dgm:t>
    </dgm:pt>
    <dgm:pt modelId="{E6DEA24D-0BFB-4FED-BACF-B725CE26A723}" type="pres">
      <dgm:prSet presAssocID="{F8FCDE1B-9FC6-4A67-A1E6-99E87EF6483C}" presName="sp" presStyleCnt="0"/>
      <dgm:spPr/>
    </dgm:pt>
    <dgm:pt modelId="{E6B4D1FA-9751-4279-94E4-7C5EC5A4B2C2}" type="pres">
      <dgm:prSet presAssocID="{19814185-69C4-481E-9981-680EBC864CE1}" presName="composite" presStyleCnt="0"/>
      <dgm:spPr/>
    </dgm:pt>
    <dgm:pt modelId="{ECC1EAF7-3D5F-4F69-BB26-C0CDE5C25866}" type="pres">
      <dgm:prSet presAssocID="{19814185-69C4-481E-9981-680EBC864CE1}" presName="parentText" presStyleLbl="alignNode1" presStyleIdx="2" presStyleCnt="13">
        <dgm:presLayoutVars>
          <dgm:chMax val="1"/>
          <dgm:bulletEnabled val="1"/>
        </dgm:presLayoutVars>
      </dgm:prSet>
      <dgm:spPr>
        <a:prstGeom prst="chevron">
          <a:avLst/>
        </a:prstGeom>
      </dgm:spPr>
      <dgm:t>
        <a:bodyPr/>
        <a:lstStyle/>
        <a:p>
          <a:endParaRPr lang="en-US"/>
        </a:p>
      </dgm:t>
    </dgm:pt>
    <dgm:pt modelId="{D6ED99AA-4082-44BC-8DCA-9752A290BB44}" type="pres">
      <dgm:prSet presAssocID="{19814185-69C4-481E-9981-680EBC864CE1}" presName="descendantText" presStyleLbl="alignAcc1" presStyleIdx="2" presStyleCnt="13">
        <dgm:presLayoutVars>
          <dgm:bulletEnabled val="1"/>
        </dgm:presLayoutVars>
      </dgm:prSet>
      <dgm:spPr>
        <a:prstGeom prst="round2SameRect">
          <a:avLst/>
        </a:prstGeom>
      </dgm:spPr>
      <dgm:t>
        <a:bodyPr/>
        <a:lstStyle/>
        <a:p>
          <a:endParaRPr lang="en-US"/>
        </a:p>
      </dgm:t>
    </dgm:pt>
    <dgm:pt modelId="{60309E38-8448-46DD-B587-905270857E2B}" type="pres">
      <dgm:prSet presAssocID="{A787719E-6538-4AA1-9C72-8770F7FBCAFE}" presName="sp" presStyleCnt="0"/>
      <dgm:spPr/>
    </dgm:pt>
    <dgm:pt modelId="{52EB2A67-46A9-488C-87C9-51C328814CDC}" type="pres">
      <dgm:prSet presAssocID="{F671849F-61F1-48C5-B2B3-9967349B90F2}" presName="composite" presStyleCnt="0"/>
      <dgm:spPr/>
    </dgm:pt>
    <dgm:pt modelId="{95DF6846-B9AD-4F6A-B310-5A5E3CD70D42}" type="pres">
      <dgm:prSet presAssocID="{F671849F-61F1-48C5-B2B3-9967349B90F2}" presName="parentText" presStyleLbl="alignNode1" presStyleIdx="3" presStyleCnt="13">
        <dgm:presLayoutVars>
          <dgm:chMax val="1"/>
          <dgm:bulletEnabled val="1"/>
        </dgm:presLayoutVars>
      </dgm:prSet>
      <dgm:spPr>
        <a:prstGeom prst="chevron">
          <a:avLst/>
        </a:prstGeom>
      </dgm:spPr>
      <dgm:t>
        <a:bodyPr/>
        <a:lstStyle/>
        <a:p>
          <a:endParaRPr lang="en-US"/>
        </a:p>
      </dgm:t>
    </dgm:pt>
    <dgm:pt modelId="{EC26E6DC-DBBD-4679-BEE5-999406CF0C41}" type="pres">
      <dgm:prSet presAssocID="{F671849F-61F1-48C5-B2B3-9967349B90F2}" presName="descendantText" presStyleLbl="alignAcc1" presStyleIdx="3" presStyleCnt="13">
        <dgm:presLayoutVars>
          <dgm:bulletEnabled val="1"/>
        </dgm:presLayoutVars>
      </dgm:prSet>
      <dgm:spPr>
        <a:prstGeom prst="round2SameRect">
          <a:avLst/>
        </a:prstGeom>
      </dgm:spPr>
      <dgm:t>
        <a:bodyPr/>
        <a:lstStyle/>
        <a:p>
          <a:endParaRPr lang="en-US"/>
        </a:p>
      </dgm:t>
    </dgm:pt>
    <dgm:pt modelId="{0E9CB094-DEC6-4843-A77D-1B90BB06A585}" type="pres">
      <dgm:prSet presAssocID="{66E80941-0B8E-4521-B760-16567EEC6BBC}" presName="sp" presStyleCnt="0"/>
      <dgm:spPr/>
    </dgm:pt>
    <dgm:pt modelId="{7B71C395-EC63-4D94-8D6A-918B773FC19A}" type="pres">
      <dgm:prSet presAssocID="{4F14CE12-E91E-4249-B336-FFA48CC52430}" presName="composite" presStyleCnt="0"/>
      <dgm:spPr/>
    </dgm:pt>
    <dgm:pt modelId="{5544BC65-4267-4BC8-9E7C-EC475C046460}" type="pres">
      <dgm:prSet presAssocID="{4F14CE12-E91E-4249-B336-FFA48CC52430}" presName="parentText" presStyleLbl="alignNode1" presStyleIdx="4" presStyleCnt="13">
        <dgm:presLayoutVars>
          <dgm:chMax val="1"/>
          <dgm:bulletEnabled val="1"/>
        </dgm:presLayoutVars>
      </dgm:prSet>
      <dgm:spPr>
        <a:prstGeom prst="chevron">
          <a:avLst/>
        </a:prstGeom>
      </dgm:spPr>
      <dgm:t>
        <a:bodyPr/>
        <a:lstStyle/>
        <a:p>
          <a:endParaRPr lang="en-US"/>
        </a:p>
      </dgm:t>
    </dgm:pt>
    <dgm:pt modelId="{0AF8CBF6-BB21-4A69-9956-8BC4EFCFA71C}" type="pres">
      <dgm:prSet presAssocID="{4F14CE12-E91E-4249-B336-FFA48CC52430}" presName="descendantText" presStyleLbl="alignAcc1" presStyleIdx="4" presStyleCnt="13">
        <dgm:presLayoutVars>
          <dgm:bulletEnabled val="1"/>
        </dgm:presLayoutVars>
      </dgm:prSet>
      <dgm:spPr>
        <a:prstGeom prst="round2SameRect">
          <a:avLst/>
        </a:prstGeom>
      </dgm:spPr>
      <dgm:t>
        <a:bodyPr/>
        <a:lstStyle/>
        <a:p>
          <a:endParaRPr lang="en-US"/>
        </a:p>
      </dgm:t>
    </dgm:pt>
    <dgm:pt modelId="{1ED2A612-53B6-4D72-BBF4-A56447363490}" type="pres">
      <dgm:prSet presAssocID="{499AE70F-1C86-4B2F-B935-76D349913369}" presName="sp" presStyleCnt="0"/>
      <dgm:spPr/>
    </dgm:pt>
    <dgm:pt modelId="{17A41DA4-8062-433D-831E-08196A28DFE9}" type="pres">
      <dgm:prSet presAssocID="{E3706DB6-9915-4A06-A385-2936E4E4CF5B}" presName="composite" presStyleCnt="0"/>
      <dgm:spPr/>
    </dgm:pt>
    <dgm:pt modelId="{DFF501C2-F973-4D0F-8182-4B59A2E18133}" type="pres">
      <dgm:prSet presAssocID="{E3706DB6-9915-4A06-A385-2936E4E4CF5B}" presName="parentText" presStyleLbl="alignNode1" presStyleIdx="5" presStyleCnt="13">
        <dgm:presLayoutVars>
          <dgm:chMax val="1"/>
          <dgm:bulletEnabled val="1"/>
        </dgm:presLayoutVars>
      </dgm:prSet>
      <dgm:spPr>
        <a:prstGeom prst="chevron">
          <a:avLst/>
        </a:prstGeom>
      </dgm:spPr>
      <dgm:t>
        <a:bodyPr/>
        <a:lstStyle/>
        <a:p>
          <a:endParaRPr lang="en-US"/>
        </a:p>
      </dgm:t>
    </dgm:pt>
    <dgm:pt modelId="{687F1159-9BCF-4CB0-B121-24AAE1449BC0}" type="pres">
      <dgm:prSet presAssocID="{E3706DB6-9915-4A06-A385-2936E4E4CF5B}" presName="descendantText" presStyleLbl="alignAcc1" presStyleIdx="5" presStyleCnt="13" custScaleY="159718">
        <dgm:presLayoutVars>
          <dgm:bulletEnabled val="1"/>
        </dgm:presLayoutVars>
      </dgm:prSet>
      <dgm:spPr>
        <a:prstGeom prst="round2SameRect">
          <a:avLst/>
        </a:prstGeom>
      </dgm:spPr>
      <dgm:t>
        <a:bodyPr/>
        <a:lstStyle/>
        <a:p>
          <a:endParaRPr lang="en-US"/>
        </a:p>
      </dgm:t>
    </dgm:pt>
    <dgm:pt modelId="{54D5CB49-E3FD-4D8B-B629-8584391C8F1C}" type="pres">
      <dgm:prSet presAssocID="{BE039C6E-2B17-4F2E-B72B-AE6BF0D9EAB5}" presName="sp" presStyleCnt="0"/>
      <dgm:spPr/>
    </dgm:pt>
    <dgm:pt modelId="{90FE7D98-D8CD-4226-8EFF-88051CDD5B4C}" type="pres">
      <dgm:prSet presAssocID="{97AE7748-4F74-4A5A-912A-3561246FDDAA}" presName="composite" presStyleCnt="0"/>
      <dgm:spPr/>
    </dgm:pt>
    <dgm:pt modelId="{DB86B60E-7A76-4121-AEA3-ABE6B2B5B4EF}" type="pres">
      <dgm:prSet presAssocID="{97AE7748-4F74-4A5A-912A-3561246FDDAA}" presName="parentText" presStyleLbl="alignNode1" presStyleIdx="6" presStyleCnt="13">
        <dgm:presLayoutVars>
          <dgm:chMax val="1"/>
          <dgm:bulletEnabled val="1"/>
        </dgm:presLayoutVars>
      </dgm:prSet>
      <dgm:spPr>
        <a:prstGeom prst="chevron">
          <a:avLst/>
        </a:prstGeom>
      </dgm:spPr>
      <dgm:t>
        <a:bodyPr/>
        <a:lstStyle/>
        <a:p>
          <a:endParaRPr lang="en-US"/>
        </a:p>
      </dgm:t>
    </dgm:pt>
    <dgm:pt modelId="{6455F6B6-9F17-4F3D-BF7E-644A64AF75CB}" type="pres">
      <dgm:prSet presAssocID="{97AE7748-4F74-4A5A-912A-3561246FDDAA}" presName="descendantText" presStyleLbl="alignAcc1" presStyleIdx="6" presStyleCnt="13">
        <dgm:presLayoutVars>
          <dgm:bulletEnabled val="1"/>
        </dgm:presLayoutVars>
      </dgm:prSet>
      <dgm:spPr>
        <a:prstGeom prst="round2SameRect">
          <a:avLst/>
        </a:prstGeom>
      </dgm:spPr>
      <dgm:t>
        <a:bodyPr/>
        <a:lstStyle/>
        <a:p>
          <a:endParaRPr lang="en-US"/>
        </a:p>
      </dgm:t>
    </dgm:pt>
    <dgm:pt modelId="{B0CA6E4F-B898-451E-B0DE-A41C8DD29F45}" type="pres">
      <dgm:prSet presAssocID="{810CD9A8-4795-44FA-838E-9114EC4AACF9}" presName="sp" presStyleCnt="0"/>
      <dgm:spPr/>
    </dgm:pt>
    <dgm:pt modelId="{1D37A01B-08B6-47AB-BAF0-B7C843C686B9}" type="pres">
      <dgm:prSet presAssocID="{13823A2E-E7EE-4318-AA08-EB67FF193614}" presName="composite" presStyleCnt="0"/>
      <dgm:spPr/>
    </dgm:pt>
    <dgm:pt modelId="{137B3C28-1399-4796-92F1-4DA73D3E7C25}" type="pres">
      <dgm:prSet presAssocID="{13823A2E-E7EE-4318-AA08-EB67FF193614}" presName="parentText" presStyleLbl="alignNode1" presStyleIdx="7" presStyleCnt="13">
        <dgm:presLayoutVars>
          <dgm:chMax val="1"/>
          <dgm:bulletEnabled val="1"/>
        </dgm:presLayoutVars>
      </dgm:prSet>
      <dgm:spPr>
        <a:prstGeom prst="chevron">
          <a:avLst/>
        </a:prstGeom>
      </dgm:spPr>
      <dgm:t>
        <a:bodyPr/>
        <a:lstStyle/>
        <a:p>
          <a:endParaRPr lang="en-US"/>
        </a:p>
      </dgm:t>
    </dgm:pt>
    <dgm:pt modelId="{569AD216-58FE-4509-AD23-BB23B27A060C}" type="pres">
      <dgm:prSet presAssocID="{13823A2E-E7EE-4318-AA08-EB67FF193614}" presName="descendantText" presStyleLbl="alignAcc1" presStyleIdx="7" presStyleCnt="13">
        <dgm:presLayoutVars>
          <dgm:bulletEnabled val="1"/>
        </dgm:presLayoutVars>
      </dgm:prSet>
      <dgm:spPr>
        <a:prstGeom prst="round2SameRect">
          <a:avLst/>
        </a:prstGeom>
      </dgm:spPr>
      <dgm:t>
        <a:bodyPr/>
        <a:lstStyle/>
        <a:p>
          <a:endParaRPr lang="en-US"/>
        </a:p>
      </dgm:t>
    </dgm:pt>
    <dgm:pt modelId="{3545F3FA-921E-4167-BB16-A0BA352C4D71}" type="pres">
      <dgm:prSet presAssocID="{8833960E-10A6-4C82-9D8E-5B571A8DB419}" presName="sp" presStyleCnt="0"/>
      <dgm:spPr/>
    </dgm:pt>
    <dgm:pt modelId="{C0ABA4A3-9F4F-44E2-AF8F-B0B4497FFC5B}" type="pres">
      <dgm:prSet presAssocID="{8957D6A8-9CAB-4965-8EE5-D04B8E740E0F}" presName="composite" presStyleCnt="0"/>
      <dgm:spPr/>
    </dgm:pt>
    <dgm:pt modelId="{0574EBBA-9929-4118-B7CE-62A36CA8E70C}" type="pres">
      <dgm:prSet presAssocID="{8957D6A8-9CAB-4965-8EE5-D04B8E740E0F}" presName="parentText" presStyleLbl="alignNode1" presStyleIdx="8" presStyleCnt="13">
        <dgm:presLayoutVars>
          <dgm:chMax val="1"/>
          <dgm:bulletEnabled val="1"/>
        </dgm:presLayoutVars>
      </dgm:prSet>
      <dgm:spPr>
        <a:prstGeom prst="chevron">
          <a:avLst/>
        </a:prstGeom>
      </dgm:spPr>
      <dgm:t>
        <a:bodyPr/>
        <a:lstStyle/>
        <a:p>
          <a:endParaRPr lang="en-US"/>
        </a:p>
      </dgm:t>
    </dgm:pt>
    <dgm:pt modelId="{1E2BAB2D-A7CB-480F-94C5-C089B56F08CE}" type="pres">
      <dgm:prSet presAssocID="{8957D6A8-9CAB-4965-8EE5-D04B8E740E0F}" presName="descendantText" presStyleLbl="alignAcc1" presStyleIdx="8" presStyleCnt="13">
        <dgm:presLayoutVars>
          <dgm:bulletEnabled val="1"/>
        </dgm:presLayoutVars>
      </dgm:prSet>
      <dgm:spPr>
        <a:prstGeom prst="round2SameRect">
          <a:avLst/>
        </a:prstGeom>
      </dgm:spPr>
      <dgm:t>
        <a:bodyPr/>
        <a:lstStyle/>
        <a:p>
          <a:endParaRPr lang="en-US"/>
        </a:p>
      </dgm:t>
    </dgm:pt>
    <dgm:pt modelId="{2408E0C8-28B3-4CCB-A63C-6B68CB255035}" type="pres">
      <dgm:prSet presAssocID="{8D712AB5-75BB-4AC6-B0FC-AC0518522A1C}" presName="sp" presStyleCnt="0"/>
      <dgm:spPr/>
    </dgm:pt>
    <dgm:pt modelId="{A47D5A22-0A10-4B35-82B1-29AF341586BD}" type="pres">
      <dgm:prSet presAssocID="{9A8F75C1-EAC4-47B8-86D9-BFD301902AD7}" presName="composite" presStyleCnt="0"/>
      <dgm:spPr/>
    </dgm:pt>
    <dgm:pt modelId="{A3CF88AF-A4D9-486D-BC6A-ABC9772053E9}" type="pres">
      <dgm:prSet presAssocID="{9A8F75C1-EAC4-47B8-86D9-BFD301902AD7}" presName="parentText" presStyleLbl="alignNode1" presStyleIdx="9" presStyleCnt="13">
        <dgm:presLayoutVars>
          <dgm:chMax val="1"/>
          <dgm:bulletEnabled val="1"/>
        </dgm:presLayoutVars>
      </dgm:prSet>
      <dgm:spPr>
        <a:prstGeom prst="chevron">
          <a:avLst/>
        </a:prstGeom>
      </dgm:spPr>
      <dgm:t>
        <a:bodyPr/>
        <a:lstStyle/>
        <a:p>
          <a:endParaRPr lang="en-US"/>
        </a:p>
      </dgm:t>
    </dgm:pt>
    <dgm:pt modelId="{12F56F55-6EB3-4CF0-9C73-49484206F9D8}" type="pres">
      <dgm:prSet presAssocID="{9A8F75C1-EAC4-47B8-86D9-BFD301902AD7}" presName="descendantText" presStyleLbl="alignAcc1" presStyleIdx="9" presStyleCnt="13">
        <dgm:presLayoutVars>
          <dgm:bulletEnabled val="1"/>
        </dgm:presLayoutVars>
      </dgm:prSet>
      <dgm:spPr>
        <a:prstGeom prst="round2SameRect">
          <a:avLst/>
        </a:prstGeom>
      </dgm:spPr>
      <dgm:t>
        <a:bodyPr/>
        <a:lstStyle/>
        <a:p>
          <a:endParaRPr lang="en-US"/>
        </a:p>
      </dgm:t>
    </dgm:pt>
    <dgm:pt modelId="{3AC3D2A2-4FB1-4D48-954C-9BC999FC834F}" type="pres">
      <dgm:prSet presAssocID="{9C1CEEBC-F16A-420C-A8C1-300B3B5615CA}" presName="sp" presStyleCnt="0"/>
      <dgm:spPr/>
    </dgm:pt>
    <dgm:pt modelId="{9D8F18A7-9958-47D5-9219-2069931A1B2C}" type="pres">
      <dgm:prSet presAssocID="{9F2ED8FE-9985-4726-81A4-3CF2E3C5ABE5}" presName="composite" presStyleCnt="0"/>
      <dgm:spPr/>
    </dgm:pt>
    <dgm:pt modelId="{1DB86A8F-73BB-4AAD-B365-F1307ABFCA7A}" type="pres">
      <dgm:prSet presAssocID="{9F2ED8FE-9985-4726-81A4-3CF2E3C5ABE5}" presName="parentText" presStyleLbl="alignNode1" presStyleIdx="10" presStyleCnt="13">
        <dgm:presLayoutVars>
          <dgm:chMax val="1"/>
          <dgm:bulletEnabled val="1"/>
        </dgm:presLayoutVars>
      </dgm:prSet>
      <dgm:spPr>
        <a:prstGeom prst="chevron">
          <a:avLst/>
        </a:prstGeom>
      </dgm:spPr>
      <dgm:t>
        <a:bodyPr/>
        <a:lstStyle/>
        <a:p>
          <a:endParaRPr lang="en-US"/>
        </a:p>
      </dgm:t>
    </dgm:pt>
    <dgm:pt modelId="{D078A783-689F-42AF-8FB3-912537C93781}" type="pres">
      <dgm:prSet presAssocID="{9F2ED8FE-9985-4726-81A4-3CF2E3C5ABE5}" presName="descendantText" presStyleLbl="alignAcc1" presStyleIdx="10" presStyleCnt="13">
        <dgm:presLayoutVars>
          <dgm:bulletEnabled val="1"/>
        </dgm:presLayoutVars>
      </dgm:prSet>
      <dgm:spPr>
        <a:prstGeom prst="round2SameRect">
          <a:avLst/>
        </a:prstGeom>
      </dgm:spPr>
      <dgm:t>
        <a:bodyPr/>
        <a:lstStyle/>
        <a:p>
          <a:endParaRPr lang="en-US"/>
        </a:p>
      </dgm:t>
    </dgm:pt>
    <dgm:pt modelId="{9821B5A6-FDCC-42AE-97B1-08407A9A7E25}" type="pres">
      <dgm:prSet presAssocID="{034C8929-917A-48D0-BCC8-B30EE0795949}" presName="sp" presStyleCnt="0"/>
      <dgm:spPr/>
    </dgm:pt>
    <dgm:pt modelId="{C46E1B35-D4EE-4442-B51A-C3DA8ACADFC7}" type="pres">
      <dgm:prSet presAssocID="{D4AE3759-6C18-4245-B001-945F4F9E9142}" presName="composite" presStyleCnt="0"/>
      <dgm:spPr/>
    </dgm:pt>
    <dgm:pt modelId="{CDF9A143-B535-4CF2-934A-08B805BEEDD9}" type="pres">
      <dgm:prSet presAssocID="{D4AE3759-6C18-4245-B001-945F4F9E9142}" presName="parentText" presStyleLbl="alignNode1" presStyleIdx="11" presStyleCnt="13">
        <dgm:presLayoutVars>
          <dgm:chMax val="1"/>
          <dgm:bulletEnabled val="1"/>
        </dgm:presLayoutVars>
      </dgm:prSet>
      <dgm:spPr>
        <a:prstGeom prst="chevron">
          <a:avLst/>
        </a:prstGeom>
      </dgm:spPr>
      <dgm:t>
        <a:bodyPr/>
        <a:lstStyle/>
        <a:p>
          <a:endParaRPr lang="en-US"/>
        </a:p>
      </dgm:t>
    </dgm:pt>
    <dgm:pt modelId="{4EC7D9D2-4F3F-41AD-A49F-F35C7543AF90}" type="pres">
      <dgm:prSet presAssocID="{D4AE3759-6C18-4245-B001-945F4F9E9142}" presName="descendantText" presStyleLbl="alignAcc1" presStyleIdx="11" presStyleCnt="13">
        <dgm:presLayoutVars>
          <dgm:bulletEnabled val="1"/>
        </dgm:presLayoutVars>
      </dgm:prSet>
      <dgm:spPr>
        <a:prstGeom prst="round2SameRect">
          <a:avLst/>
        </a:prstGeom>
      </dgm:spPr>
      <dgm:t>
        <a:bodyPr/>
        <a:lstStyle/>
        <a:p>
          <a:endParaRPr lang="en-US"/>
        </a:p>
      </dgm:t>
    </dgm:pt>
    <dgm:pt modelId="{4F438FA0-3A78-47BF-A2E8-7354DFDF7E66}" type="pres">
      <dgm:prSet presAssocID="{06856A61-7CD5-42E5-AB0B-0F3CC9E28F1B}" presName="sp" presStyleCnt="0"/>
      <dgm:spPr/>
    </dgm:pt>
    <dgm:pt modelId="{E137627A-4A54-4323-8DFA-FFE0EA9D77C3}" type="pres">
      <dgm:prSet presAssocID="{9FD95FE1-D889-4E59-880B-3FFBBB429D8D}" presName="composite" presStyleCnt="0"/>
      <dgm:spPr/>
    </dgm:pt>
    <dgm:pt modelId="{7FC38286-01DF-4C5F-9135-320AE939B5E8}" type="pres">
      <dgm:prSet presAssocID="{9FD95FE1-D889-4E59-880B-3FFBBB429D8D}" presName="parentText" presStyleLbl="alignNode1" presStyleIdx="12" presStyleCnt="13">
        <dgm:presLayoutVars>
          <dgm:chMax val="1"/>
          <dgm:bulletEnabled val="1"/>
        </dgm:presLayoutVars>
      </dgm:prSet>
      <dgm:spPr>
        <a:prstGeom prst="chevron">
          <a:avLst/>
        </a:prstGeom>
      </dgm:spPr>
      <dgm:t>
        <a:bodyPr/>
        <a:lstStyle/>
        <a:p>
          <a:endParaRPr lang="en-US"/>
        </a:p>
      </dgm:t>
    </dgm:pt>
    <dgm:pt modelId="{1BF55025-7862-4A6A-A4E8-7650D1007729}" type="pres">
      <dgm:prSet presAssocID="{9FD95FE1-D889-4E59-880B-3FFBBB429D8D}" presName="descendantText" presStyleLbl="alignAcc1" presStyleIdx="12" presStyleCnt="13" custLinFactNeighborX="1" custLinFactNeighborY="-5208">
        <dgm:presLayoutVars>
          <dgm:bulletEnabled val="1"/>
        </dgm:presLayoutVars>
      </dgm:prSet>
      <dgm:spPr>
        <a:prstGeom prst="round2SameRect">
          <a:avLst/>
        </a:prstGeom>
      </dgm:spPr>
      <dgm:t>
        <a:bodyPr/>
        <a:lstStyle/>
        <a:p>
          <a:endParaRPr lang="en-US"/>
        </a:p>
      </dgm:t>
    </dgm:pt>
  </dgm:ptLst>
  <dgm:cxnLst>
    <dgm:cxn modelId="{879362B5-C902-45D6-9FAD-FF48C1B55B08}" type="presOf" srcId="{CCF1CFF6-15DF-4BFD-870E-89C38BB9B992}" destId="{687F1159-9BCF-4CB0-B121-24AAE1449BC0}" srcOrd="0" destOrd="2" presId="urn:microsoft.com/office/officeart/2005/8/layout/chevron2"/>
    <dgm:cxn modelId="{BB3FA088-E012-43C9-A3A6-E9358244044E}" type="presOf" srcId="{9F2ED8FE-9985-4726-81A4-3CF2E3C5ABE5}" destId="{1DB86A8F-73BB-4AAD-B365-F1307ABFCA7A}" srcOrd="0" destOrd="0" presId="urn:microsoft.com/office/officeart/2005/8/layout/chevron2"/>
    <dgm:cxn modelId="{2C38C2BB-FAD2-428E-8B8A-5C3A9355E184}" type="presOf" srcId="{19814185-69C4-481E-9981-680EBC864CE1}" destId="{ECC1EAF7-3D5F-4F69-BB26-C0CDE5C25866}" srcOrd="0" destOrd="0" presId="urn:microsoft.com/office/officeart/2005/8/layout/chevron2"/>
    <dgm:cxn modelId="{57E94FA2-17C2-488C-89DA-744CB990B391}" type="presOf" srcId="{13823A2E-E7EE-4318-AA08-EB67FF193614}" destId="{137B3C28-1399-4796-92F1-4DA73D3E7C25}" srcOrd="0" destOrd="0" presId="urn:microsoft.com/office/officeart/2005/8/layout/chevron2"/>
    <dgm:cxn modelId="{6A1ED06D-F208-4B84-A01A-2ABF60FF4DD0}" srcId="{B93F7421-56C7-4838-A2BC-EC19E58B0C9D}" destId="{9F2ED8FE-9985-4726-81A4-3CF2E3C5ABE5}" srcOrd="10" destOrd="0" parTransId="{5781EA54-89E4-45F5-96CC-585D9EF10035}" sibTransId="{034C8929-917A-48D0-BCC8-B30EE0795949}"/>
    <dgm:cxn modelId="{3DF3BF32-1A48-41F8-925E-6F4C968E281D}" type="presOf" srcId="{8957D6A8-9CAB-4965-8EE5-D04B8E740E0F}" destId="{0574EBBA-9929-4118-B7CE-62A36CA8E70C}" srcOrd="0" destOrd="0" presId="urn:microsoft.com/office/officeart/2005/8/layout/chevron2"/>
    <dgm:cxn modelId="{A6FF1B1E-89D4-4DF6-9F1C-CF8B3D7979B4}" srcId="{E3706DB6-9915-4A06-A385-2936E4E4CF5B}" destId="{8AA25868-6FDD-45FE-B97E-262A3738371E}" srcOrd="1" destOrd="0" parTransId="{7538A595-D7C2-4CB5-8770-060493313DAC}" sibTransId="{E8245B2B-F673-4D54-97F9-9B49860E5D59}"/>
    <dgm:cxn modelId="{3A69AC59-BA89-4F4D-AC99-D741B1222DF6}" srcId="{B93F7421-56C7-4838-A2BC-EC19E58B0C9D}" destId="{9FD95FE1-D889-4E59-880B-3FFBBB429D8D}" srcOrd="12" destOrd="0" parTransId="{D1BD80D6-FDE4-4C30-80E0-AC080D937FD4}" sibTransId="{7AB82977-CCAA-455A-BA93-E3F15D761143}"/>
    <dgm:cxn modelId="{F326444D-F326-414C-AAEA-0AA7AD992E93}" type="presOf" srcId="{28096FC4-949A-4CA6-A395-6A6ADC14CEFB}" destId="{E94C0AA8-26AF-448A-A26E-5923F2965E6C}" srcOrd="0" destOrd="0" presId="urn:microsoft.com/office/officeart/2005/8/layout/chevron2"/>
    <dgm:cxn modelId="{9774DBD7-F3A3-4FC2-B049-1068A3D57FDD}" srcId="{8957D6A8-9CAB-4965-8EE5-D04B8E740E0F}" destId="{5FBEC694-6D72-45FC-B844-BB1ABCC17AAD}" srcOrd="0" destOrd="0" parTransId="{8D60C053-0B6B-430F-A355-1264F908C67E}" sibTransId="{3D9BA8DA-F04E-49DB-891B-965E53F473D7}"/>
    <dgm:cxn modelId="{9156B13C-A8D0-4D1C-9847-C01022FDB9A5}" srcId="{9F2ED8FE-9985-4726-81A4-3CF2E3C5ABE5}" destId="{E521C599-7A6B-4922-ACD6-DF103F00755B}" srcOrd="0" destOrd="0" parTransId="{E5A2C3E3-FA8F-4D7A-A7A1-37D6522777D3}" sibTransId="{5A2EF855-A1CA-4257-971D-51A6636B04B1}"/>
    <dgm:cxn modelId="{E4E15F19-9348-4DBB-AC4B-289FD71C475B}" srcId="{B93F7421-56C7-4838-A2BC-EC19E58B0C9D}" destId="{D4AE3759-6C18-4245-B001-945F4F9E9142}" srcOrd="11" destOrd="0" parTransId="{592B52F5-66D1-4B3B-884D-CC8C247F81D3}" sibTransId="{06856A61-7CD5-42E5-AB0B-0F3CC9E28F1B}"/>
    <dgm:cxn modelId="{B884723B-FA16-4280-A379-28727CA3E7EB}" type="presOf" srcId="{88304025-6AFD-4EEC-A28D-4729C6486C59}" destId="{569AD216-58FE-4509-AD23-BB23B27A060C}" srcOrd="0" destOrd="0" presId="urn:microsoft.com/office/officeart/2005/8/layout/chevron2"/>
    <dgm:cxn modelId="{594B4262-39A6-4D8C-96AA-F736E5F904E0}" type="presOf" srcId="{DDE409BB-4180-4071-B379-6706BD873999}" destId="{B0995E04-3C20-4CAD-A59C-B4E45B151ED7}" srcOrd="0" destOrd="0" presId="urn:microsoft.com/office/officeart/2005/8/layout/chevron2"/>
    <dgm:cxn modelId="{3B3B78A0-6B3D-426B-B1FB-FD9CF2950EBB}" type="presOf" srcId="{069A5020-BC0B-4B85-AF4A-495466A8FB05}" destId="{4EC7D9D2-4F3F-41AD-A49F-F35C7543AF90}" srcOrd="0" destOrd="0" presId="urn:microsoft.com/office/officeart/2005/8/layout/chevron2"/>
    <dgm:cxn modelId="{AC298E81-48E0-4028-9B14-3526F2B35573}" srcId="{B93F7421-56C7-4838-A2BC-EC19E58B0C9D}" destId="{8957D6A8-9CAB-4965-8EE5-D04B8E740E0F}" srcOrd="8" destOrd="0" parTransId="{3530EE01-BE32-4581-B32E-A9585E67F11B}" sibTransId="{8D712AB5-75BB-4AC6-B0FC-AC0518522A1C}"/>
    <dgm:cxn modelId="{5FC5B995-B046-4912-A643-505D1CBEA845}" type="presOf" srcId="{5FBEC694-6D72-45FC-B844-BB1ABCC17AAD}" destId="{1E2BAB2D-A7CB-480F-94C5-C089B56F08CE}" srcOrd="0" destOrd="0" presId="urn:microsoft.com/office/officeart/2005/8/layout/chevron2"/>
    <dgm:cxn modelId="{DC25BAEE-D5B1-48DB-BA04-544E04856D8D}" type="presOf" srcId="{4F14CE12-E91E-4249-B336-FFA48CC52430}" destId="{5544BC65-4267-4BC8-9E7C-EC475C046460}" srcOrd="0" destOrd="0" presId="urn:microsoft.com/office/officeart/2005/8/layout/chevron2"/>
    <dgm:cxn modelId="{9C8754BA-DC4C-45B8-9EC9-4CD3E9B94421}" srcId="{28096FC4-949A-4CA6-A395-6A6ADC14CEFB}" destId="{DDE409BB-4180-4071-B379-6706BD873999}" srcOrd="0" destOrd="0" parTransId="{7DE82400-09E0-4433-8701-419F664541A6}" sibTransId="{F3378376-7C2C-4008-84EB-CDE20E78DC6E}"/>
    <dgm:cxn modelId="{AE9DC9EA-BD50-4936-86B4-7DCF216AEAB3}" type="presOf" srcId="{4DDCC443-8294-44A5-82A8-D40A8B14A149}" destId="{6455F6B6-9F17-4F3D-BF7E-644A64AF75CB}" srcOrd="0" destOrd="0" presId="urn:microsoft.com/office/officeart/2005/8/layout/chevron2"/>
    <dgm:cxn modelId="{14559DC7-E7C6-4D5C-B2D7-71143230EC99}" srcId="{4F14CE12-E91E-4249-B336-FFA48CC52430}" destId="{B8B0C007-60A8-43C3-A7CD-A7ADDB217D70}" srcOrd="0" destOrd="0" parTransId="{C9118355-3411-4473-9A0B-560EBFFA7EC1}" sibTransId="{642F7A0D-2606-44B6-9CA4-09D06E4C0015}"/>
    <dgm:cxn modelId="{4114DAB8-8B1D-49D7-A6BB-65A3D29E1B0A}" srcId="{D4AE3759-6C18-4245-B001-945F4F9E9142}" destId="{069A5020-BC0B-4B85-AF4A-495466A8FB05}" srcOrd="0" destOrd="0" parTransId="{9F773CFC-6D56-4D53-80E5-56780B1754FF}" sibTransId="{72C8B128-B6E8-4F28-8329-DF3F83175C39}"/>
    <dgm:cxn modelId="{0F931180-9927-4225-9FEA-7F681D289812}" srcId="{13823A2E-E7EE-4318-AA08-EB67FF193614}" destId="{88304025-6AFD-4EEC-A28D-4729C6486C59}" srcOrd="0" destOrd="0" parTransId="{CD14B492-D753-4CB9-9144-901C0DCB6EA7}" sibTransId="{95BF6C5B-C097-463B-B135-3FB3665984FA}"/>
    <dgm:cxn modelId="{7293C211-0ABA-4459-B6EE-35476E67A278}" srcId="{E3706DB6-9915-4A06-A385-2936E4E4CF5B}" destId="{CCF1CFF6-15DF-4BFD-870E-89C38BB9B992}" srcOrd="2" destOrd="0" parTransId="{19B1FBBF-2E8A-46D8-9BDD-E9A09C37A870}" sibTransId="{C696E474-2A19-4669-B0A5-2E9CA502F6AF}"/>
    <dgm:cxn modelId="{861BB625-50BC-4DA9-8D60-1C1DE7B33D4B}" srcId="{B93F7421-56C7-4838-A2BC-EC19E58B0C9D}" destId="{E3706DB6-9915-4A06-A385-2936E4E4CF5B}" srcOrd="5" destOrd="0" parTransId="{987DB11E-0B71-45D4-B2C4-9C55CDDDFA62}" sibTransId="{BE039C6E-2B17-4F2E-B72B-AE6BF0D9EAB5}"/>
    <dgm:cxn modelId="{50FBF5F0-54BE-4129-A32E-3F46E4071A05}" srcId="{9FD95FE1-D889-4E59-880B-3FFBBB429D8D}" destId="{E0EEAD50-074A-4857-A6B8-E10CD7240CF2}" srcOrd="0" destOrd="0" parTransId="{30001261-22A8-4B47-9A3D-B05C2578A74A}" sibTransId="{4B4924C3-F0E8-4E0D-9C56-B72D30BC248E}"/>
    <dgm:cxn modelId="{CE830744-7FEC-4231-B7BA-487F1249920E}" srcId="{7E49EF31-4FA9-49D0-8DBE-6CF75FBE0271}" destId="{5033C56E-1EE1-4DC5-AF51-DAEA170A3CC2}" srcOrd="0" destOrd="0" parTransId="{5981F8F6-C424-479C-8C4D-7990C94F03D9}" sibTransId="{70B1E205-B7C7-437B-B6C7-2CF071149716}"/>
    <dgm:cxn modelId="{1B37D5B1-3BEA-4185-B224-7EF700DF7D21}" type="presOf" srcId="{B8B0C007-60A8-43C3-A7CD-A7ADDB217D70}" destId="{0AF8CBF6-BB21-4A69-9956-8BC4EFCFA71C}" srcOrd="0" destOrd="0" presId="urn:microsoft.com/office/officeart/2005/8/layout/chevron2"/>
    <dgm:cxn modelId="{BD29FDBD-947D-43CA-997E-B2F19AFC273A}" type="presOf" srcId="{D4AE3759-6C18-4245-B001-945F4F9E9142}" destId="{CDF9A143-B535-4CF2-934A-08B805BEEDD9}" srcOrd="0" destOrd="0" presId="urn:microsoft.com/office/officeart/2005/8/layout/chevron2"/>
    <dgm:cxn modelId="{47CF520D-13D3-417E-8838-6EF0DFD63CB4}" type="presOf" srcId="{9FD95FE1-D889-4E59-880B-3FFBBB429D8D}" destId="{7FC38286-01DF-4C5F-9135-320AE939B5E8}" srcOrd="0" destOrd="0" presId="urn:microsoft.com/office/officeart/2005/8/layout/chevron2"/>
    <dgm:cxn modelId="{B3F29451-33C8-4D8A-B35E-DF4CE36E6668}" type="presOf" srcId="{8AA25868-6FDD-45FE-B97E-262A3738371E}" destId="{687F1159-9BCF-4CB0-B121-24AAE1449BC0}" srcOrd="0" destOrd="1" presId="urn:microsoft.com/office/officeart/2005/8/layout/chevron2"/>
    <dgm:cxn modelId="{5341B37E-0EB4-4391-81C0-C03C69E15487}" srcId="{B93F7421-56C7-4838-A2BC-EC19E58B0C9D}" destId="{13823A2E-E7EE-4318-AA08-EB67FF193614}" srcOrd="7" destOrd="0" parTransId="{F2172E88-A518-43D8-917E-0952621FAFE2}" sibTransId="{8833960E-10A6-4C82-9D8E-5B571A8DB419}"/>
    <dgm:cxn modelId="{654EF570-C7D7-4656-B9BE-825F6E25EDC1}" type="presOf" srcId="{E0EEAD50-074A-4857-A6B8-E10CD7240CF2}" destId="{1BF55025-7862-4A6A-A4E8-7650D1007729}" srcOrd="0" destOrd="0" presId="urn:microsoft.com/office/officeart/2005/8/layout/chevron2"/>
    <dgm:cxn modelId="{CFF01E67-2369-4BB6-B5B8-64377CA97234}" type="presOf" srcId="{B93F7421-56C7-4838-A2BC-EC19E58B0C9D}" destId="{1A73EC0D-FB3F-4754-A01A-E4B3F209135B}" srcOrd="0" destOrd="0" presId="urn:microsoft.com/office/officeart/2005/8/layout/chevron2"/>
    <dgm:cxn modelId="{AE083BE2-77FA-4A4C-8BCF-2D3EE0481FA5}" srcId="{9A8F75C1-EAC4-47B8-86D9-BFD301902AD7}" destId="{BC9716C1-4B76-4970-AB68-0E624081DA77}" srcOrd="0" destOrd="0" parTransId="{653852DB-A8A1-439D-BB18-23A554868E59}" sibTransId="{FE030A7B-D6C6-4B1F-9FBC-C7472E808709}"/>
    <dgm:cxn modelId="{28EB9D6D-6115-4448-B97A-3A8CAB748701}" srcId="{19814185-69C4-481E-9981-680EBC864CE1}" destId="{F7073F08-6019-4709-99BA-7CC0BFE90C7F}" srcOrd="0" destOrd="0" parTransId="{5466D1AA-DDE3-482D-8BBD-7DF668B3E18F}" sibTransId="{C8DE9BD1-B0CE-4214-ACF6-798080E2EF22}"/>
    <dgm:cxn modelId="{89424C3D-C5F8-4ABF-A5F8-7AF544C9F503}" srcId="{F671849F-61F1-48C5-B2B3-9967349B90F2}" destId="{AB4187B3-E39B-40A6-9952-8892B4E5DAF1}" srcOrd="0" destOrd="0" parTransId="{1B644A3A-103D-4758-B13B-DB131394563B}" sibTransId="{9B41B4BF-41E6-41CA-8515-BB5C8C8D6735}"/>
    <dgm:cxn modelId="{10F9A411-31E8-4179-A082-88B0B20AB077}" type="presOf" srcId="{F671849F-61F1-48C5-B2B3-9967349B90F2}" destId="{95DF6846-B9AD-4F6A-B310-5A5E3CD70D42}" srcOrd="0" destOrd="0" presId="urn:microsoft.com/office/officeart/2005/8/layout/chevron2"/>
    <dgm:cxn modelId="{C8E2929E-F004-40FE-BFBB-7846F7780C60}" type="presOf" srcId="{7E49EF31-4FA9-49D0-8DBE-6CF75FBE0271}" destId="{1B430139-ABED-4C68-A126-E9E0CACF3D40}" srcOrd="0" destOrd="0" presId="urn:microsoft.com/office/officeart/2005/8/layout/chevron2"/>
    <dgm:cxn modelId="{1136DF2D-208C-484D-B28E-5FCA9D4DB10D}" type="presOf" srcId="{C9DA3208-4FD1-4C84-9F16-AD101DD1E569}" destId="{687F1159-9BCF-4CB0-B121-24AAE1449BC0}" srcOrd="0" destOrd="0" presId="urn:microsoft.com/office/officeart/2005/8/layout/chevron2"/>
    <dgm:cxn modelId="{CDDB22A3-95DA-46C7-9531-CD2F533F7DDE}" type="presOf" srcId="{97AE7748-4F74-4A5A-912A-3561246FDDAA}" destId="{DB86B60E-7A76-4121-AEA3-ABE6B2B5B4EF}" srcOrd="0" destOrd="0" presId="urn:microsoft.com/office/officeart/2005/8/layout/chevron2"/>
    <dgm:cxn modelId="{5D5BD76B-B754-471C-9D2A-EA7E667074A5}" type="presOf" srcId="{E521C599-7A6B-4922-ACD6-DF103F00755B}" destId="{D078A783-689F-42AF-8FB3-912537C93781}" srcOrd="0" destOrd="0" presId="urn:microsoft.com/office/officeart/2005/8/layout/chevron2"/>
    <dgm:cxn modelId="{E82A4D02-D295-4EC4-8558-3B03011767C9}" srcId="{B93F7421-56C7-4838-A2BC-EC19E58B0C9D}" destId="{97AE7748-4F74-4A5A-912A-3561246FDDAA}" srcOrd="6" destOrd="0" parTransId="{82767AAB-EBF6-4253-B690-45AC24698427}" sibTransId="{810CD9A8-4795-44FA-838E-9114EC4AACF9}"/>
    <dgm:cxn modelId="{7C54F7DC-934D-4559-8FF7-7647241AF125}" type="presOf" srcId="{BC9716C1-4B76-4970-AB68-0E624081DA77}" destId="{12F56F55-6EB3-4CF0-9C73-49484206F9D8}" srcOrd="0" destOrd="0" presId="urn:microsoft.com/office/officeart/2005/8/layout/chevron2"/>
    <dgm:cxn modelId="{0930F9E0-4A40-4612-882B-00AA0C549C09}" type="presOf" srcId="{AB4187B3-E39B-40A6-9952-8892B4E5DAF1}" destId="{EC26E6DC-DBBD-4679-BEE5-999406CF0C41}" srcOrd="0" destOrd="0" presId="urn:microsoft.com/office/officeart/2005/8/layout/chevron2"/>
    <dgm:cxn modelId="{6D5F5BFF-D237-47C1-9F67-195F1A3AC6F7}" type="presOf" srcId="{9A8F75C1-EAC4-47B8-86D9-BFD301902AD7}" destId="{A3CF88AF-A4D9-486D-BC6A-ABC9772053E9}" srcOrd="0" destOrd="0" presId="urn:microsoft.com/office/officeart/2005/8/layout/chevron2"/>
    <dgm:cxn modelId="{23EF5F93-0294-4955-9A7B-95C37A0A00BB}" srcId="{97AE7748-4F74-4A5A-912A-3561246FDDAA}" destId="{4DDCC443-8294-44A5-82A8-D40A8B14A149}" srcOrd="0" destOrd="0" parTransId="{37B4888D-F17C-4C58-8D7B-66A98A3C65D5}" sibTransId="{9AC66053-E254-4AC2-AD14-77EED38C943F}"/>
    <dgm:cxn modelId="{1999FF74-2F5B-4274-AA88-3A99852A9551}" srcId="{B93F7421-56C7-4838-A2BC-EC19E58B0C9D}" destId="{28096FC4-949A-4CA6-A395-6A6ADC14CEFB}" srcOrd="1" destOrd="0" parTransId="{5FA1EFBF-A943-43B2-B86B-058281845954}" sibTransId="{F8FCDE1B-9FC6-4A67-A1E6-99E87EF6483C}"/>
    <dgm:cxn modelId="{3D87D482-DD28-4F80-88CB-1C6061953F12}" srcId="{B93F7421-56C7-4838-A2BC-EC19E58B0C9D}" destId="{7E49EF31-4FA9-49D0-8DBE-6CF75FBE0271}" srcOrd="0" destOrd="0" parTransId="{8EC0FC37-5D09-4382-BA8E-3E552EDB78A0}" sibTransId="{6EF9F1D7-DE00-4848-B090-8B88F245E0D5}"/>
    <dgm:cxn modelId="{E7384A44-3DF7-4B8C-85EE-7FF620BA535D}" srcId="{B93F7421-56C7-4838-A2BC-EC19E58B0C9D}" destId="{4F14CE12-E91E-4249-B336-FFA48CC52430}" srcOrd="4" destOrd="0" parTransId="{69ABAEF3-C75E-4C01-91EA-773000472432}" sibTransId="{499AE70F-1C86-4B2F-B935-76D349913369}"/>
    <dgm:cxn modelId="{EE8097BA-D328-4252-974B-760956D7F14D}" type="presOf" srcId="{5033C56E-1EE1-4DC5-AF51-DAEA170A3CC2}" destId="{FAF2AF55-A654-44F3-B92C-B6CA469148D2}" srcOrd="0" destOrd="0" presId="urn:microsoft.com/office/officeart/2005/8/layout/chevron2"/>
    <dgm:cxn modelId="{C28AC49D-BF61-406F-BF2F-933E7AF3DDA7}" srcId="{B93F7421-56C7-4838-A2BC-EC19E58B0C9D}" destId="{9A8F75C1-EAC4-47B8-86D9-BFD301902AD7}" srcOrd="9" destOrd="0" parTransId="{DD54E761-E577-4539-935A-ED8D7F646220}" sibTransId="{9C1CEEBC-F16A-420C-A8C1-300B3B5615CA}"/>
    <dgm:cxn modelId="{813EBB6D-D4D1-40B7-9930-7047C210BECE}" srcId="{B93F7421-56C7-4838-A2BC-EC19E58B0C9D}" destId="{19814185-69C4-481E-9981-680EBC864CE1}" srcOrd="2" destOrd="0" parTransId="{F493C23F-D10B-450B-B226-9D356B31D502}" sibTransId="{A787719E-6538-4AA1-9C72-8770F7FBCAFE}"/>
    <dgm:cxn modelId="{BF227717-014D-428F-B11E-151EF9498AF1}" type="presOf" srcId="{E3706DB6-9915-4A06-A385-2936E4E4CF5B}" destId="{DFF501C2-F973-4D0F-8182-4B59A2E18133}" srcOrd="0" destOrd="0" presId="urn:microsoft.com/office/officeart/2005/8/layout/chevron2"/>
    <dgm:cxn modelId="{25287F68-B7CD-4ED3-82BC-C26D9A947F42}" srcId="{E3706DB6-9915-4A06-A385-2936E4E4CF5B}" destId="{C9DA3208-4FD1-4C84-9F16-AD101DD1E569}" srcOrd="0" destOrd="0" parTransId="{D52C4041-AE58-47D7-8012-26BDAB6E258C}" sibTransId="{422498F4-EB0A-402E-86CA-A78B1EE2715E}"/>
    <dgm:cxn modelId="{102A22E9-93C3-4C5C-8C6E-73C926DD9BFC}" type="presOf" srcId="{F7073F08-6019-4709-99BA-7CC0BFE90C7F}" destId="{D6ED99AA-4082-44BC-8DCA-9752A290BB44}" srcOrd="0" destOrd="0" presId="urn:microsoft.com/office/officeart/2005/8/layout/chevron2"/>
    <dgm:cxn modelId="{4A649223-B9A4-455D-91FA-95148BE740D8}" srcId="{B93F7421-56C7-4838-A2BC-EC19E58B0C9D}" destId="{F671849F-61F1-48C5-B2B3-9967349B90F2}" srcOrd="3" destOrd="0" parTransId="{1719759C-7EB6-49FF-BD9E-79AB8CD6F25B}" sibTransId="{66E80941-0B8E-4521-B760-16567EEC6BBC}"/>
    <dgm:cxn modelId="{7ACE3A8B-DB20-47DE-9F62-A55B6CE7A0D7}" type="presParOf" srcId="{1A73EC0D-FB3F-4754-A01A-E4B3F209135B}" destId="{059064DD-3425-491E-8B4B-CDE2E28B9134}" srcOrd="0" destOrd="0" presId="urn:microsoft.com/office/officeart/2005/8/layout/chevron2"/>
    <dgm:cxn modelId="{B1D895F9-DFEB-4004-83F5-8D88DC9BCB68}" type="presParOf" srcId="{059064DD-3425-491E-8B4B-CDE2E28B9134}" destId="{1B430139-ABED-4C68-A126-E9E0CACF3D40}" srcOrd="0" destOrd="0" presId="urn:microsoft.com/office/officeart/2005/8/layout/chevron2"/>
    <dgm:cxn modelId="{1781FD48-37C3-44FB-BFA9-98FB172C64EB}" type="presParOf" srcId="{059064DD-3425-491E-8B4B-CDE2E28B9134}" destId="{FAF2AF55-A654-44F3-B92C-B6CA469148D2}" srcOrd="1" destOrd="0" presId="urn:microsoft.com/office/officeart/2005/8/layout/chevron2"/>
    <dgm:cxn modelId="{01EE44EE-E23C-4B6C-94D1-64A3AF41F1A6}" type="presParOf" srcId="{1A73EC0D-FB3F-4754-A01A-E4B3F209135B}" destId="{4BC551CA-B686-4611-84C4-41ACDA97188E}" srcOrd="1" destOrd="0" presId="urn:microsoft.com/office/officeart/2005/8/layout/chevron2"/>
    <dgm:cxn modelId="{A9E87491-8821-4102-AB1E-619FACE54D72}" type="presParOf" srcId="{1A73EC0D-FB3F-4754-A01A-E4B3F209135B}" destId="{AE0483F0-BD2D-4F30-91B7-B3AAEE09A280}" srcOrd="2" destOrd="0" presId="urn:microsoft.com/office/officeart/2005/8/layout/chevron2"/>
    <dgm:cxn modelId="{6BD95068-612A-470F-9ED2-81FBEDFE6E9B}" type="presParOf" srcId="{AE0483F0-BD2D-4F30-91B7-B3AAEE09A280}" destId="{E94C0AA8-26AF-448A-A26E-5923F2965E6C}" srcOrd="0" destOrd="0" presId="urn:microsoft.com/office/officeart/2005/8/layout/chevron2"/>
    <dgm:cxn modelId="{1BB5DEAA-4DED-459E-80A2-C79EC6DA7422}" type="presParOf" srcId="{AE0483F0-BD2D-4F30-91B7-B3AAEE09A280}" destId="{B0995E04-3C20-4CAD-A59C-B4E45B151ED7}" srcOrd="1" destOrd="0" presId="urn:microsoft.com/office/officeart/2005/8/layout/chevron2"/>
    <dgm:cxn modelId="{AEBB6142-A863-486E-9F23-58237EF487DF}" type="presParOf" srcId="{1A73EC0D-FB3F-4754-A01A-E4B3F209135B}" destId="{E6DEA24D-0BFB-4FED-BACF-B725CE26A723}" srcOrd="3" destOrd="0" presId="urn:microsoft.com/office/officeart/2005/8/layout/chevron2"/>
    <dgm:cxn modelId="{F279A1A0-A550-4893-ABB4-FE22ECB3ED0C}" type="presParOf" srcId="{1A73EC0D-FB3F-4754-A01A-E4B3F209135B}" destId="{E6B4D1FA-9751-4279-94E4-7C5EC5A4B2C2}" srcOrd="4" destOrd="0" presId="urn:microsoft.com/office/officeart/2005/8/layout/chevron2"/>
    <dgm:cxn modelId="{2CCAD77B-E592-4D0C-874B-9BA7A6C0D952}" type="presParOf" srcId="{E6B4D1FA-9751-4279-94E4-7C5EC5A4B2C2}" destId="{ECC1EAF7-3D5F-4F69-BB26-C0CDE5C25866}" srcOrd="0" destOrd="0" presId="urn:microsoft.com/office/officeart/2005/8/layout/chevron2"/>
    <dgm:cxn modelId="{B209BE36-E532-4078-B631-C1BCBDE6D1D6}" type="presParOf" srcId="{E6B4D1FA-9751-4279-94E4-7C5EC5A4B2C2}" destId="{D6ED99AA-4082-44BC-8DCA-9752A290BB44}" srcOrd="1" destOrd="0" presId="urn:microsoft.com/office/officeart/2005/8/layout/chevron2"/>
    <dgm:cxn modelId="{555D75F0-EAD3-4AC5-9E18-7E8B5AD4E5C4}" type="presParOf" srcId="{1A73EC0D-FB3F-4754-A01A-E4B3F209135B}" destId="{60309E38-8448-46DD-B587-905270857E2B}" srcOrd="5" destOrd="0" presId="urn:microsoft.com/office/officeart/2005/8/layout/chevron2"/>
    <dgm:cxn modelId="{EDFD3E67-3FB1-4B43-B7E2-4D000E64A76D}" type="presParOf" srcId="{1A73EC0D-FB3F-4754-A01A-E4B3F209135B}" destId="{52EB2A67-46A9-488C-87C9-51C328814CDC}" srcOrd="6" destOrd="0" presId="urn:microsoft.com/office/officeart/2005/8/layout/chevron2"/>
    <dgm:cxn modelId="{56918685-6F83-432B-8A47-DBAB3A3657CF}" type="presParOf" srcId="{52EB2A67-46A9-488C-87C9-51C328814CDC}" destId="{95DF6846-B9AD-4F6A-B310-5A5E3CD70D42}" srcOrd="0" destOrd="0" presId="urn:microsoft.com/office/officeart/2005/8/layout/chevron2"/>
    <dgm:cxn modelId="{EEEE623A-1662-46CE-BF69-B3E93BBD5717}" type="presParOf" srcId="{52EB2A67-46A9-488C-87C9-51C328814CDC}" destId="{EC26E6DC-DBBD-4679-BEE5-999406CF0C41}" srcOrd="1" destOrd="0" presId="urn:microsoft.com/office/officeart/2005/8/layout/chevron2"/>
    <dgm:cxn modelId="{ADA81865-41F0-4FC9-B8BA-E8EA5DF3F610}" type="presParOf" srcId="{1A73EC0D-FB3F-4754-A01A-E4B3F209135B}" destId="{0E9CB094-DEC6-4843-A77D-1B90BB06A585}" srcOrd="7" destOrd="0" presId="urn:microsoft.com/office/officeart/2005/8/layout/chevron2"/>
    <dgm:cxn modelId="{22F8B58E-8E4F-4E40-BA40-DAB5F1BF6004}" type="presParOf" srcId="{1A73EC0D-FB3F-4754-A01A-E4B3F209135B}" destId="{7B71C395-EC63-4D94-8D6A-918B773FC19A}" srcOrd="8" destOrd="0" presId="urn:microsoft.com/office/officeart/2005/8/layout/chevron2"/>
    <dgm:cxn modelId="{6B7523CD-BC8D-4938-90BA-5CD1D29407DB}" type="presParOf" srcId="{7B71C395-EC63-4D94-8D6A-918B773FC19A}" destId="{5544BC65-4267-4BC8-9E7C-EC475C046460}" srcOrd="0" destOrd="0" presId="urn:microsoft.com/office/officeart/2005/8/layout/chevron2"/>
    <dgm:cxn modelId="{AFBCC372-BB9F-4D55-832A-A48978F37AA0}" type="presParOf" srcId="{7B71C395-EC63-4D94-8D6A-918B773FC19A}" destId="{0AF8CBF6-BB21-4A69-9956-8BC4EFCFA71C}" srcOrd="1" destOrd="0" presId="urn:microsoft.com/office/officeart/2005/8/layout/chevron2"/>
    <dgm:cxn modelId="{E371407E-BD50-441D-ABBB-5925BF9E79AC}" type="presParOf" srcId="{1A73EC0D-FB3F-4754-A01A-E4B3F209135B}" destId="{1ED2A612-53B6-4D72-BBF4-A56447363490}" srcOrd="9" destOrd="0" presId="urn:microsoft.com/office/officeart/2005/8/layout/chevron2"/>
    <dgm:cxn modelId="{5692B57D-D9E2-4178-8998-000BF186F1DC}" type="presParOf" srcId="{1A73EC0D-FB3F-4754-A01A-E4B3F209135B}" destId="{17A41DA4-8062-433D-831E-08196A28DFE9}" srcOrd="10" destOrd="0" presId="urn:microsoft.com/office/officeart/2005/8/layout/chevron2"/>
    <dgm:cxn modelId="{4FC72E89-3A28-498F-967C-99766AAEE0C4}" type="presParOf" srcId="{17A41DA4-8062-433D-831E-08196A28DFE9}" destId="{DFF501C2-F973-4D0F-8182-4B59A2E18133}" srcOrd="0" destOrd="0" presId="urn:microsoft.com/office/officeart/2005/8/layout/chevron2"/>
    <dgm:cxn modelId="{A1B181D6-7E73-4470-A5B5-DD1789B4F4C9}" type="presParOf" srcId="{17A41DA4-8062-433D-831E-08196A28DFE9}" destId="{687F1159-9BCF-4CB0-B121-24AAE1449BC0}" srcOrd="1" destOrd="0" presId="urn:microsoft.com/office/officeart/2005/8/layout/chevron2"/>
    <dgm:cxn modelId="{BC81C646-64E9-4612-8483-DA47E2D3A534}" type="presParOf" srcId="{1A73EC0D-FB3F-4754-A01A-E4B3F209135B}" destId="{54D5CB49-E3FD-4D8B-B629-8584391C8F1C}" srcOrd="11" destOrd="0" presId="urn:microsoft.com/office/officeart/2005/8/layout/chevron2"/>
    <dgm:cxn modelId="{7BBE6764-9B50-4EB4-93DE-2E7F45F53A4C}" type="presParOf" srcId="{1A73EC0D-FB3F-4754-A01A-E4B3F209135B}" destId="{90FE7D98-D8CD-4226-8EFF-88051CDD5B4C}" srcOrd="12" destOrd="0" presId="urn:microsoft.com/office/officeart/2005/8/layout/chevron2"/>
    <dgm:cxn modelId="{E4FC8C48-122B-45C5-A46A-D8326C9D2ABE}" type="presParOf" srcId="{90FE7D98-D8CD-4226-8EFF-88051CDD5B4C}" destId="{DB86B60E-7A76-4121-AEA3-ABE6B2B5B4EF}" srcOrd="0" destOrd="0" presId="urn:microsoft.com/office/officeart/2005/8/layout/chevron2"/>
    <dgm:cxn modelId="{83E84C4B-130C-4402-B3DE-00E82A9E8124}" type="presParOf" srcId="{90FE7D98-D8CD-4226-8EFF-88051CDD5B4C}" destId="{6455F6B6-9F17-4F3D-BF7E-644A64AF75CB}" srcOrd="1" destOrd="0" presId="urn:microsoft.com/office/officeart/2005/8/layout/chevron2"/>
    <dgm:cxn modelId="{432A3106-FCEF-4633-AC9F-6102FBD7257D}" type="presParOf" srcId="{1A73EC0D-FB3F-4754-A01A-E4B3F209135B}" destId="{B0CA6E4F-B898-451E-B0DE-A41C8DD29F45}" srcOrd="13" destOrd="0" presId="urn:microsoft.com/office/officeart/2005/8/layout/chevron2"/>
    <dgm:cxn modelId="{52752EDD-7FCD-4DCC-BFFB-9CD3328F09E1}" type="presParOf" srcId="{1A73EC0D-FB3F-4754-A01A-E4B3F209135B}" destId="{1D37A01B-08B6-47AB-BAF0-B7C843C686B9}" srcOrd="14" destOrd="0" presId="urn:microsoft.com/office/officeart/2005/8/layout/chevron2"/>
    <dgm:cxn modelId="{A9734F7D-4593-4D29-BA95-6084C48EC9DE}" type="presParOf" srcId="{1D37A01B-08B6-47AB-BAF0-B7C843C686B9}" destId="{137B3C28-1399-4796-92F1-4DA73D3E7C25}" srcOrd="0" destOrd="0" presId="urn:microsoft.com/office/officeart/2005/8/layout/chevron2"/>
    <dgm:cxn modelId="{96A9A435-9B55-49A7-B285-B109E26ABE67}" type="presParOf" srcId="{1D37A01B-08B6-47AB-BAF0-B7C843C686B9}" destId="{569AD216-58FE-4509-AD23-BB23B27A060C}" srcOrd="1" destOrd="0" presId="urn:microsoft.com/office/officeart/2005/8/layout/chevron2"/>
    <dgm:cxn modelId="{8CE2FF7A-E481-4DF8-AD15-4605BE1C2F2B}" type="presParOf" srcId="{1A73EC0D-FB3F-4754-A01A-E4B3F209135B}" destId="{3545F3FA-921E-4167-BB16-A0BA352C4D71}" srcOrd="15" destOrd="0" presId="urn:microsoft.com/office/officeart/2005/8/layout/chevron2"/>
    <dgm:cxn modelId="{EAE4A2D5-ACA3-42C2-861D-917650ED5B6A}" type="presParOf" srcId="{1A73EC0D-FB3F-4754-A01A-E4B3F209135B}" destId="{C0ABA4A3-9F4F-44E2-AF8F-B0B4497FFC5B}" srcOrd="16" destOrd="0" presId="urn:microsoft.com/office/officeart/2005/8/layout/chevron2"/>
    <dgm:cxn modelId="{46167661-D569-44C9-B0FD-FF920708FDEF}" type="presParOf" srcId="{C0ABA4A3-9F4F-44E2-AF8F-B0B4497FFC5B}" destId="{0574EBBA-9929-4118-B7CE-62A36CA8E70C}" srcOrd="0" destOrd="0" presId="urn:microsoft.com/office/officeart/2005/8/layout/chevron2"/>
    <dgm:cxn modelId="{2E559812-F864-4F13-9A73-90D4BE0DE547}" type="presParOf" srcId="{C0ABA4A3-9F4F-44E2-AF8F-B0B4497FFC5B}" destId="{1E2BAB2D-A7CB-480F-94C5-C089B56F08CE}" srcOrd="1" destOrd="0" presId="urn:microsoft.com/office/officeart/2005/8/layout/chevron2"/>
    <dgm:cxn modelId="{E571368E-2ACC-42EF-B5B9-3B62E5849021}" type="presParOf" srcId="{1A73EC0D-FB3F-4754-A01A-E4B3F209135B}" destId="{2408E0C8-28B3-4CCB-A63C-6B68CB255035}" srcOrd="17" destOrd="0" presId="urn:microsoft.com/office/officeart/2005/8/layout/chevron2"/>
    <dgm:cxn modelId="{CBABE9E2-2B10-4DE7-97BD-9BF1F63D9075}" type="presParOf" srcId="{1A73EC0D-FB3F-4754-A01A-E4B3F209135B}" destId="{A47D5A22-0A10-4B35-82B1-29AF341586BD}" srcOrd="18" destOrd="0" presId="urn:microsoft.com/office/officeart/2005/8/layout/chevron2"/>
    <dgm:cxn modelId="{0233AD47-1A27-4C58-AD94-BB887EEE6F75}" type="presParOf" srcId="{A47D5A22-0A10-4B35-82B1-29AF341586BD}" destId="{A3CF88AF-A4D9-486D-BC6A-ABC9772053E9}" srcOrd="0" destOrd="0" presId="urn:microsoft.com/office/officeart/2005/8/layout/chevron2"/>
    <dgm:cxn modelId="{FB1027FB-3646-44E8-B4C4-895B7BCB2669}" type="presParOf" srcId="{A47D5A22-0A10-4B35-82B1-29AF341586BD}" destId="{12F56F55-6EB3-4CF0-9C73-49484206F9D8}" srcOrd="1" destOrd="0" presId="urn:microsoft.com/office/officeart/2005/8/layout/chevron2"/>
    <dgm:cxn modelId="{21848112-4A0C-4C8E-A979-9E52C68F10D5}" type="presParOf" srcId="{1A73EC0D-FB3F-4754-A01A-E4B3F209135B}" destId="{3AC3D2A2-4FB1-4D48-954C-9BC999FC834F}" srcOrd="19" destOrd="0" presId="urn:microsoft.com/office/officeart/2005/8/layout/chevron2"/>
    <dgm:cxn modelId="{4A593302-2847-4244-9EFA-BD6F1C9EBA49}" type="presParOf" srcId="{1A73EC0D-FB3F-4754-A01A-E4B3F209135B}" destId="{9D8F18A7-9958-47D5-9219-2069931A1B2C}" srcOrd="20" destOrd="0" presId="urn:microsoft.com/office/officeart/2005/8/layout/chevron2"/>
    <dgm:cxn modelId="{5277B3D7-7AFB-4466-B4C0-C080A989629B}" type="presParOf" srcId="{9D8F18A7-9958-47D5-9219-2069931A1B2C}" destId="{1DB86A8F-73BB-4AAD-B365-F1307ABFCA7A}" srcOrd="0" destOrd="0" presId="urn:microsoft.com/office/officeart/2005/8/layout/chevron2"/>
    <dgm:cxn modelId="{CBA7C0EE-1BA9-4FE4-B8D6-EB7BE91D756A}" type="presParOf" srcId="{9D8F18A7-9958-47D5-9219-2069931A1B2C}" destId="{D078A783-689F-42AF-8FB3-912537C93781}" srcOrd="1" destOrd="0" presId="urn:microsoft.com/office/officeart/2005/8/layout/chevron2"/>
    <dgm:cxn modelId="{D496E4A9-C772-4095-8B30-2FAB644713F8}" type="presParOf" srcId="{1A73EC0D-FB3F-4754-A01A-E4B3F209135B}" destId="{9821B5A6-FDCC-42AE-97B1-08407A9A7E25}" srcOrd="21" destOrd="0" presId="urn:microsoft.com/office/officeart/2005/8/layout/chevron2"/>
    <dgm:cxn modelId="{B0F03131-7A4C-4FFF-A3D0-312203622FFF}" type="presParOf" srcId="{1A73EC0D-FB3F-4754-A01A-E4B3F209135B}" destId="{C46E1B35-D4EE-4442-B51A-C3DA8ACADFC7}" srcOrd="22" destOrd="0" presId="urn:microsoft.com/office/officeart/2005/8/layout/chevron2"/>
    <dgm:cxn modelId="{F2E16E15-BD42-4FA9-809D-148F7EB17A6E}" type="presParOf" srcId="{C46E1B35-D4EE-4442-B51A-C3DA8ACADFC7}" destId="{CDF9A143-B535-4CF2-934A-08B805BEEDD9}" srcOrd="0" destOrd="0" presId="urn:microsoft.com/office/officeart/2005/8/layout/chevron2"/>
    <dgm:cxn modelId="{94887A2E-5D37-4836-94E1-C17548C3A43C}" type="presParOf" srcId="{C46E1B35-D4EE-4442-B51A-C3DA8ACADFC7}" destId="{4EC7D9D2-4F3F-41AD-A49F-F35C7543AF90}" srcOrd="1" destOrd="0" presId="urn:microsoft.com/office/officeart/2005/8/layout/chevron2"/>
    <dgm:cxn modelId="{693C72A7-0542-429C-81F9-9ED46C2BDB53}" type="presParOf" srcId="{1A73EC0D-FB3F-4754-A01A-E4B3F209135B}" destId="{4F438FA0-3A78-47BF-A2E8-7354DFDF7E66}" srcOrd="23" destOrd="0" presId="urn:microsoft.com/office/officeart/2005/8/layout/chevron2"/>
    <dgm:cxn modelId="{1EADA170-04B5-4E7E-B8A5-D99989020FDD}" type="presParOf" srcId="{1A73EC0D-FB3F-4754-A01A-E4B3F209135B}" destId="{E137627A-4A54-4323-8DFA-FFE0EA9D77C3}" srcOrd="24" destOrd="0" presId="urn:microsoft.com/office/officeart/2005/8/layout/chevron2"/>
    <dgm:cxn modelId="{62DBBE2A-0BB7-41E6-BC88-6EB4A5E0FDDB}" type="presParOf" srcId="{E137627A-4A54-4323-8DFA-FFE0EA9D77C3}" destId="{7FC38286-01DF-4C5F-9135-320AE939B5E8}" srcOrd="0" destOrd="0" presId="urn:microsoft.com/office/officeart/2005/8/layout/chevron2"/>
    <dgm:cxn modelId="{392D3486-AB81-4FAE-9A7E-AF2C76C1DE23}" type="presParOf" srcId="{E137627A-4A54-4323-8DFA-FFE0EA9D77C3}" destId="{1BF55025-7862-4A6A-A4E8-7650D1007729}"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3F7421-56C7-4838-A2BC-EC19E58B0C9D}"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7E49EF31-4FA9-49D0-8DBE-6CF75FBE0271}">
      <dgm:prSet phldrT="[Text]" custT="1"/>
      <dgm:spPr>
        <a:xfrm rot="5400000">
          <a:off x="-92773" y="140859"/>
          <a:ext cx="618492" cy="432944"/>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24.02.</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8EC0FC37-5D09-4382-BA8E-3E552EDB78A0}" type="parTrans" cxnId="{3D87D482-DD28-4F80-88CB-1C6061953F12}">
      <dgm:prSet/>
      <dgm:spPr/>
      <dgm:t>
        <a:bodyPr/>
        <a:lstStyle/>
        <a:p>
          <a:endParaRPr lang="en-US"/>
        </a:p>
      </dgm:t>
    </dgm:pt>
    <dgm:pt modelId="{6EF9F1D7-DE00-4848-B090-8B88F245E0D5}" type="sibTrans" cxnId="{3D87D482-DD28-4F80-88CB-1C6061953F12}">
      <dgm:prSet/>
      <dgm:spPr/>
      <dgm:t>
        <a:bodyPr/>
        <a:lstStyle/>
        <a:p>
          <a:endParaRPr lang="en-US"/>
        </a:p>
      </dgm:t>
    </dgm:pt>
    <dgm:pt modelId="{5033C56E-1EE1-4DC5-AF51-DAEA170A3CC2}">
      <dgm:prSet phldrT="[Text]" custT="1"/>
      <dgm:spPr>
        <a:xfrm rot="5400000">
          <a:off x="3004301" y="-2523271"/>
          <a:ext cx="402231" cy="5544945"/>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Нова стратегия на ЕК за адаптация към изменението на климата</a:t>
          </a:r>
          <a:endParaRPr lang="en-US" sz="1100" b="1">
            <a:solidFill>
              <a:srgbClr val="002060"/>
            </a:solidFill>
            <a:latin typeface="Cambria" panose="02040503050406030204" pitchFamily="18" charset="0"/>
            <a:ea typeface="Cambria" panose="02040503050406030204" pitchFamily="18" charset="0"/>
            <a:cs typeface="+mn-cs"/>
          </a:endParaRPr>
        </a:p>
      </dgm:t>
    </dgm:pt>
    <dgm:pt modelId="{5981F8F6-C424-479C-8C4D-7990C94F03D9}" type="parTrans" cxnId="{CE830744-7FEC-4231-B7BA-487F1249920E}">
      <dgm:prSet/>
      <dgm:spPr/>
      <dgm:t>
        <a:bodyPr/>
        <a:lstStyle/>
        <a:p>
          <a:endParaRPr lang="en-US"/>
        </a:p>
      </dgm:t>
    </dgm:pt>
    <dgm:pt modelId="{70B1E205-B7C7-437B-B6C7-2CF071149716}" type="sibTrans" cxnId="{CE830744-7FEC-4231-B7BA-487F1249920E}">
      <dgm:prSet/>
      <dgm:spPr/>
      <dgm:t>
        <a:bodyPr/>
        <a:lstStyle/>
        <a:p>
          <a:endParaRPr lang="en-US"/>
        </a:p>
      </dgm:t>
    </dgm:pt>
    <dgm:pt modelId="{28096FC4-949A-4CA6-A395-6A6ADC14CEFB}">
      <dgm:prSet phldrT="[Text]" custT="1"/>
      <dgm:spPr>
        <a:xfrm rot="5400000">
          <a:off x="-92773" y="713166"/>
          <a:ext cx="618492" cy="432944"/>
        </a:xfrm>
        <a:prstGeom prst="chevron">
          <a:avLst/>
        </a:prstGeom>
        <a:solidFill>
          <a:srgbClr val="4472C4">
            <a:hueOff val="-612779"/>
            <a:satOff val="-852"/>
            <a:lumOff val="-327"/>
            <a:alphaOff val="0"/>
          </a:srgbClr>
        </a:solidFill>
        <a:ln w="12700" cap="flat" cmpd="sng" algn="ctr">
          <a:solidFill>
            <a:srgbClr val="4472C4">
              <a:hueOff val="-612779"/>
              <a:satOff val="-852"/>
              <a:lumOff val="-32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25</a:t>
          </a:r>
          <a:r>
            <a:rPr lang="en-US" sz="1100" b="1">
              <a:solidFill>
                <a:srgbClr val="002060"/>
              </a:solidFill>
              <a:latin typeface="Cambria" panose="02040503050406030204" pitchFamily="18" charset="0"/>
              <a:ea typeface="Cambria" panose="02040503050406030204" pitchFamily="18" charset="0"/>
              <a:cs typeface="+mn-cs"/>
            </a:rPr>
            <a:t>.0</a:t>
          </a:r>
          <a:r>
            <a:rPr lang="bg-BG" sz="1100" b="1">
              <a:solidFill>
                <a:srgbClr val="002060"/>
              </a:solidFill>
              <a:latin typeface="Cambria" panose="02040503050406030204" pitchFamily="18" charset="0"/>
              <a:ea typeface="Cambria" panose="02040503050406030204" pitchFamily="18" charset="0"/>
              <a:cs typeface="+mn-cs"/>
            </a:rPr>
            <a:t>3</a:t>
          </a:r>
          <a:r>
            <a:rPr lang="en-US" sz="1100" b="1">
              <a:solidFill>
                <a:srgbClr val="002060"/>
              </a:solidFill>
              <a:latin typeface="Cambria" panose="02040503050406030204" pitchFamily="18" charset="0"/>
              <a:ea typeface="Cambria" panose="02040503050406030204" pitchFamily="18" charset="0"/>
              <a:cs typeface="+mn-cs"/>
            </a:rPr>
            <a:t>.</a:t>
          </a:r>
          <a:endParaRPr lang="bg-BG" sz="1100" b="1">
            <a:solidFill>
              <a:srgbClr val="002060"/>
            </a:solidFill>
            <a:latin typeface="Cambria" panose="02040503050406030204" pitchFamily="18" charset="0"/>
            <a:ea typeface="Cambria" panose="02040503050406030204" pitchFamily="18" charset="0"/>
            <a:cs typeface="+mn-cs"/>
          </a:endParaRPr>
        </a:p>
        <a:p>
          <a:r>
            <a:rPr lang="en-US" sz="1100" b="1">
              <a:solidFill>
                <a:srgbClr val="002060"/>
              </a:solidFill>
              <a:latin typeface="Cambria" panose="02040503050406030204" pitchFamily="18" charset="0"/>
              <a:ea typeface="Cambria" panose="02040503050406030204" pitchFamily="18" charset="0"/>
              <a:cs typeface="+mn-cs"/>
            </a:rPr>
            <a:t>2</a:t>
          </a:r>
          <a:r>
            <a:rPr lang="bg-BG" sz="1100" b="1">
              <a:solidFill>
                <a:srgbClr val="002060"/>
              </a:solidFill>
              <a:latin typeface="Cambria" panose="02040503050406030204" pitchFamily="18" charset="0"/>
              <a:ea typeface="Cambria" panose="02040503050406030204" pitchFamily="18" charset="0"/>
              <a:cs typeface="+mn-cs"/>
            </a:rPr>
            <a:t>1</a:t>
          </a:r>
          <a:endParaRPr lang="en-US" sz="1100" b="1">
            <a:solidFill>
              <a:srgbClr val="002060"/>
            </a:solidFill>
            <a:latin typeface="Cambria" panose="02040503050406030204" pitchFamily="18" charset="0"/>
            <a:ea typeface="Cambria" panose="02040503050406030204" pitchFamily="18" charset="0"/>
            <a:cs typeface="+mn-cs"/>
          </a:endParaRPr>
        </a:p>
      </dgm:t>
    </dgm:pt>
    <dgm:pt modelId="{5FA1EFBF-A943-43B2-B86B-058281845954}" type="parTrans" cxnId="{1999FF74-2F5B-4274-AA88-3A99852A9551}">
      <dgm:prSet/>
      <dgm:spPr/>
      <dgm:t>
        <a:bodyPr/>
        <a:lstStyle/>
        <a:p>
          <a:endParaRPr lang="en-US"/>
        </a:p>
      </dgm:t>
    </dgm:pt>
    <dgm:pt modelId="{F8FCDE1B-9FC6-4A67-A1E6-99E87EF6483C}" type="sibTrans" cxnId="{1999FF74-2F5B-4274-AA88-3A99852A9551}">
      <dgm:prSet/>
      <dgm:spPr/>
      <dgm:t>
        <a:bodyPr/>
        <a:lstStyle/>
        <a:p>
          <a:endParaRPr lang="en-US"/>
        </a:p>
      </dgm:t>
    </dgm:pt>
    <dgm:pt modelId="{DDE409BB-4180-4071-B379-6706BD873999}">
      <dgm:prSet phldrT="[Text]" custT="1"/>
      <dgm:spPr>
        <a:xfrm rot="5400000">
          <a:off x="3004407" y="-1951070"/>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612779"/>
              <a:satOff val="-852"/>
              <a:lumOff val="-32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План за действие в областта на биологичното производство</a:t>
          </a:r>
          <a:endParaRPr lang="en-US" sz="1100" b="1">
            <a:solidFill>
              <a:srgbClr val="002060"/>
            </a:solidFill>
            <a:latin typeface="Cambria" panose="02040503050406030204" pitchFamily="18" charset="0"/>
            <a:ea typeface="Cambria" panose="02040503050406030204" pitchFamily="18" charset="0"/>
            <a:cs typeface="+mn-cs"/>
          </a:endParaRPr>
        </a:p>
      </dgm:t>
    </dgm:pt>
    <dgm:pt modelId="{7DE82400-09E0-4433-8701-419F664541A6}" type="parTrans" cxnId="{9C8754BA-DC4C-45B8-9EC9-4CD3E9B94421}">
      <dgm:prSet/>
      <dgm:spPr/>
      <dgm:t>
        <a:bodyPr/>
        <a:lstStyle/>
        <a:p>
          <a:endParaRPr lang="en-US"/>
        </a:p>
      </dgm:t>
    </dgm:pt>
    <dgm:pt modelId="{F3378376-7C2C-4008-84EB-CDE20E78DC6E}" type="sibTrans" cxnId="{9C8754BA-DC4C-45B8-9EC9-4CD3E9B94421}">
      <dgm:prSet/>
      <dgm:spPr/>
      <dgm:t>
        <a:bodyPr/>
        <a:lstStyle/>
        <a:p>
          <a:endParaRPr lang="en-US"/>
        </a:p>
      </dgm:t>
    </dgm:pt>
    <dgm:pt modelId="{19814185-69C4-481E-9981-680EBC864CE1}">
      <dgm:prSet phldrT="[Text]" custT="1"/>
      <dgm:spPr>
        <a:xfrm rot="5400000">
          <a:off x="-92773" y="1285472"/>
          <a:ext cx="618492" cy="432944"/>
        </a:xfrm>
        <a:prstGeom prst="chevron">
          <a:avLst/>
        </a:prstGeom>
        <a:solidFill>
          <a:srgbClr val="4472C4">
            <a:hueOff val="-1225557"/>
            <a:satOff val="-1705"/>
            <a:lumOff val="-654"/>
            <a:alphaOff val="0"/>
          </a:srgbClr>
        </a:solidFill>
        <a:ln w="12700" cap="flat" cmpd="sng" algn="ctr">
          <a:solidFill>
            <a:srgbClr val="4472C4">
              <a:hueOff val="-1225557"/>
              <a:satOff val="-1705"/>
              <a:lumOff val="-65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12.05.</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F493C23F-D10B-450B-B226-9D356B31D502}" type="parTrans" cxnId="{813EBB6D-D4D1-40B7-9930-7047C210BECE}">
      <dgm:prSet/>
      <dgm:spPr/>
      <dgm:t>
        <a:bodyPr/>
        <a:lstStyle/>
        <a:p>
          <a:endParaRPr lang="en-US"/>
        </a:p>
      </dgm:t>
    </dgm:pt>
    <dgm:pt modelId="{A787719E-6538-4AA1-9C72-8770F7FBCAFE}" type="sibTrans" cxnId="{813EBB6D-D4D1-40B7-9930-7047C210BECE}">
      <dgm:prSet/>
      <dgm:spPr/>
      <dgm:t>
        <a:bodyPr/>
        <a:lstStyle/>
        <a:p>
          <a:endParaRPr lang="en-US"/>
        </a:p>
      </dgm:t>
    </dgm:pt>
    <dgm:pt modelId="{F7073F08-6019-4709-99BA-7CC0BFE90C7F}">
      <dgm:prSet phldrT="[Text]" custT="1"/>
      <dgm:spPr>
        <a:xfrm rot="5400000">
          <a:off x="3004407" y="-1378764"/>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1225557"/>
              <a:satOff val="-1705"/>
              <a:lumOff val="-65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План за действие за нулево замърсяване</a:t>
          </a:r>
          <a:endParaRPr lang="en-US" sz="1100" b="1">
            <a:solidFill>
              <a:srgbClr val="002060"/>
            </a:solidFill>
            <a:latin typeface="Cambria" panose="02040503050406030204" pitchFamily="18" charset="0"/>
            <a:ea typeface="Cambria" panose="02040503050406030204" pitchFamily="18" charset="0"/>
            <a:cs typeface="+mn-cs"/>
          </a:endParaRPr>
        </a:p>
      </dgm:t>
    </dgm:pt>
    <dgm:pt modelId="{5466D1AA-DDE3-482D-8BBD-7DF668B3E18F}" type="parTrans" cxnId="{28EB9D6D-6115-4448-B97A-3A8CAB748701}">
      <dgm:prSet/>
      <dgm:spPr/>
      <dgm:t>
        <a:bodyPr/>
        <a:lstStyle/>
        <a:p>
          <a:endParaRPr lang="en-US"/>
        </a:p>
      </dgm:t>
    </dgm:pt>
    <dgm:pt modelId="{C8DE9BD1-B0CE-4214-ACF6-798080E2EF22}" type="sibTrans" cxnId="{28EB9D6D-6115-4448-B97A-3A8CAB748701}">
      <dgm:prSet/>
      <dgm:spPr/>
      <dgm:t>
        <a:bodyPr/>
        <a:lstStyle/>
        <a:p>
          <a:endParaRPr lang="en-US"/>
        </a:p>
      </dgm:t>
    </dgm:pt>
    <dgm:pt modelId="{F671849F-61F1-48C5-B2B3-9967349B90F2}">
      <dgm:prSet phldrT="[Text]" custT="1"/>
      <dgm:spPr>
        <a:xfrm rot="5400000">
          <a:off x="-92773" y="1857778"/>
          <a:ext cx="618492" cy="432944"/>
        </a:xfrm>
        <a:prstGeom prst="chevron">
          <a:avLst/>
        </a:prstGeom>
        <a:solidFill>
          <a:srgbClr val="4472C4">
            <a:hueOff val="-1838336"/>
            <a:satOff val="-2557"/>
            <a:lumOff val="-981"/>
            <a:alphaOff val="0"/>
          </a:srgbClr>
        </a:solidFill>
        <a:ln w="12700" cap="flat" cmpd="sng" algn="ctr">
          <a:solidFill>
            <a:srgbClr val="4472C4">
              <a:hueOff val="-1838336"/>
              <a:satOff val="-2557"/>
              <a:lumOff val="-981"/>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17.05.</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1719759C-7EB6-49FF-BD9E-79AB8CD6F25B}" type="parTrans" cxnId="{4A649223-B9A4-455D-91FA-95148BE740D8}">
      <dgm:prSet/>
      <dgm:spPr/>
      <dgm:t>
        <a:bodyPr/>
        <a:lstStyle/>
        <a:p>
          <a:endParaRPr lang="en-US"/>
        </a:p>
      </dgm:t>
    </dgm:pt>
    <dgm:pt modelId="{66E80941-0B8E-4521-B760-16567EEC6BBC}" type="sibTrans" cxnId="{4A649223-B9A4-455D-91FA-95148BE740D8}">
      <dgm:prSet/>
      <dgm:spPr/>
      <dgm:t>
        <a:bodyPr/>
        <a:lstStyle/>
        <a:p>
          <a:endParaRPr lang="en-US"/>
        </a:p>
      </dgm:t>
    </dgm:pt>
    <dgm:pt modelId="{4F14CE12-E91E-4249-B336-FFA48CC52430}">
      <dgm:prSet phldrT="[Text]" custT="1"/>
      <dgm:spPr>
        <a:xfrm rot="5400000">
          <a:off x="-92773" y="2430085"/>
          <a:ext cx="618492" cy="432944"/>
        </a:xfrm>
        <a:prstGeom prst="chevron">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14.07.</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69ABAEF3-C75E-4C01-91EA-773000472432}" type="parTrans" cxnId="{E7384A44-3DF7-4B8C-85EE-7FF620BA535D}">
      <dgm:prSet/>
      <dgm:spPr/>
      <dgm:t>
        <a:bodyPr/>
        <a:lstStyle/>
        <a:p>
          <a:endParaRPr lang="en-US"/>
        </a:p>
      </dgm:t>
    </dgm:pt>
    <dgm:pt modelId="{499AE70F-1C86-4B2F-B935-76D349913369}" type="sibTrans" cxnId="{E7384A44-3DF7-4B8C-85EE-7FF620BA535D}">
      <dgm:prSet/>
      <dgm:spPr/>
      <dgm:t>
        <a:bodyPr/>
        <a:lstStyle/>
        <a:p>
          <a:endParaRPr lang="en-US"/>
        </a:p>
      </dgm:t>
    </dgm:pt>
    <dgm:pt modelId="{E3706DB6-9915-4A06-A385-2936E4E4CF5B}">
      <dgm:prSet phldrT="[Text]" custT="1"/>
      <dgm:spPr>
        <a:xfrm rot="5400000">
          <a:off x="-92773" y="3122430"/>
          <a:ext cx="618492" cy="432944"/>
        </a:xfrm>
        <a:prstGeom prst="chevron">
          <a:avLst/>
        </a:prstGeom>
        <a:solidFill>
          <a:srgbClr val="4472C4">
            <a:hueOff val="-3063894"/>
            <a:satOff val="-4262"/>
            <a:lumOff val="-1634"/>
            <a:alphaOff val="0"/>
          </a:srgbClr>
        </a:solidFill>
        <a:ln w="12700" cap="flat" cmpd="sng" algn="ctr">
          <a:solidFill>
            <a:srgbClr val="4472C4">
              <a:hueOff val="-3063894"/>
              <a:satOff val="-4262"/>
              <a:lumOff val="-163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15.09.</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987DB11E-0B71-45D4-B2C4-9C55CDDDFA62}" type="parTrans" cxnId="{861BB625-50BC-4DA9-8D60-1C1DE7B33D4B}">
      <dgm:prSet/>
      <dgm:spPr/>
      <dgm:t>
        <a:bodyPr/>
        <a:lstStyle/>
        <a:p>
          <a:endParaRPr lang="en-US"/>
        </a:p>
      </dgm:t>
    </dgm:pt>
    <dgm:pt modelId="{BE039C6E-2B17-4F2E-B72B-AE6BF0D9EAB5}" type="sibTrans" cxnId="{861BB625-50BC-4DA9-8D60-1C1DE7B33D4B}">
      <dgm:prSet/>
      <dgm:spPr/>
      <dgm:t>
        <a:bodyPr/>
        <a:lstStyle/>
        <a:p>
          <a:endParaRPr lang="en-US"/>
        </a:p>
      </dgm:t>
    </dgm:pt>
    <dgm:pt modelId="{97AE7748-4F74-4A5A-912A-3561246FDDAA}">
      <dgm:prSet phldrT="[Text]" custT="1"/>
      <dgm:spPr>
        <a:xfrm rot="5400000">
          <a:off x="-92773" y="3694736"/>
          <a:ext cx="618492" cy="432944"/>
        </a:xfrm>
        <a:prstGeom prst="chevron">
          <a:avLst/>
        </a:prstGeom>
        <a:solidFill>
          <a:srgbClr val="4472C4">
            <a:hueOff val="-3676672"/>
            <a:satOff val="-5114"/>
            <a:lumOff val="-1961"/>
            <a:alphaOff val="0"/>
          </a:srgbClr>
        </a:solidFill>
        <a:ln w="12700" cap="flat" cmpd="sng" algn="ctr">
          <a:solidFill>
            <a:srgbClr val="4472C4">
              <a:hueOff val="-3676672"/>
              <a:satOff val="-5114"/>
              <a:lumOff val="-1961"/>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17.11.</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82767AAB-EBF6-4253-B690-45AC24698427}" type="parTrans" cxnId="{E82A4D02-D295-4EC4-8558-3B03011767C9}">
      <dgm:prSet/>
      <dgm:spPr/>
      <dgm:t>
        <a:bodyPr/>
        <a:lstStyle/>
        <a:p>
          <a:endParaRPr lang="en-US"/>
        </a:p>
      </dgm:t>
    </dgm:pt>
    <dgm:pt modelId="{810CD9A8-4795-44FA-838E-9114EC4AACF9}" type="sibTrans" cxnId="{E82A4D02-D295-4EC4-8558-3B03011767C9}">
      <dgm:prSet/>
      <dgm:spPr/>
      <dgm:t>
        <a:bodyPr/>
        <a:lstStyle/>
        <a:p>
          <a:endParaRPr lang="en-US"/>
        </a:p>
      </dgm:t>
    </dgm:pt>
    <dgm:pt modelId="{13823A2E-E7EE-4318-AA08-EB67FF193614}">
      <dgm:prSet phldrT="[Text]" custT="1"/>
      <dgm:spPr>
        <a:xfrm rot="5400000">
          <a:off x="-92773" y="4267043"/>
          <a:ext cx="618492" cy="432944"/>
        </a:xfrm>
        <a:prstGeom prst="chevron">
          <a:avLst/>
        </a:prstGeom>
        <a:solidFill>
          <a:srgbClr val="4472C4">
            <a:hueOff val="-4289451"/>
            <a:satOff val="-5966"/>
            <a:lumOff val="-2288"/>
            <a:alphaOff val="0"/>
          </a:srgbClr>
        </a:solidFill>
        <a:ln w="12700" cap="flat" cmpd="sng" algn="ctr">
          <a:solidFill>
            <a:srgbClr val="4472C4">
              <a:hueOff val="-4289451"/>
              <a:satOff val="-5966"/>
              <a:lumOff val="-2288"/>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14.12.</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F2172E88-A518-43D8-917E-0952621FAFE2}" type="parTrans" cxnId="{5341B37E-0EB4-4391-81C0-C03C69E15487}">
      <dgm:prSet/>
      <dgm:spPr/>
      <dgm:t>
        <a:bodyPr/>
        <a:lstStyle/>
        <a:p>
          <a:endParaRPr lang="en-US"/>
        </a:p>
      </dgm:t>
    </dgm:pt>
    <dgm:pt modelId="{8833960E-10A6-4C82-9D8E-5B571A8DB419}" type="sibTrans" cxnId="{5341B37E-0EB4-4391-81C0-C03C69E15487}">
      <dgm:prSet/>
      <dgm:spPr/>
      <dgm:t>
        <a:bodyPr/>
        <a:lstStyle/>
        <a:p>
          <a:endParaRPr lang="en-US"/>
        </a:p>
      </dgm:t>
    </dgm:pt>
    <dgm:pt modelId="{8957D6A8-9CAB-4965-8EE5-D04B8E740E0F}">
      <dgm:prSet phldrT="[Text]" custT="1"/>
      <dgm:spPr>
        <a:xfrm rot="5400000">
          <a:off x="-92773" y="4839349"/>
          <a:ext cx="618492" cy="432944"/>
        </a:xfrm>
        <a:prstGeom prst="chevron">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15.12.</a:t>
          </a:r>
        </a:p>
        <a:p>
          <a:r>
            <a:rPr lang="bg-BG" sz="1100" b="1">
              <a:solidFill>
                <a:srgbClr val="002060"/>
              </a:solidFill>
              <a:latin typeface="Cambria" panose="02040503050406030204" pitchFamily="18" charset="0"/>
              <a:ea typeface="Cambria" panose="02040503050406030204" pitchFamily="18" charset="0"/>
              <a:cs typeface="+mn-cs"/>
            </a:rPr>
            <a:t>21</a:t>
          </a:r>
          <a:endParaRPr lang="en-US" sz="1100" b="1">
            <a:solidFill>
              <a:srgbClr val="002060"/>
            </a:solidFill>
            <a:latin typeface="Cambria" panose="02040503050406030204" pitchFamily="18" charset="0"/>
            <a:ea typeface="Cambria" panose="02040503050406030204" pitchFamily="18" charset="0"/>
            <a:cs typeface="+mn-cs"/>
          </a:endParaRPr>
        </a:p>
      </dgm:t>
    </dgm:pt>
    <dgm:pt modelId="{3530EE01-BE32-4581-B32E-A9585E67F11B}" type="parTrans" cxnId="{AC298E81-48E0-4028-9B14-3526F2B35573}">
      <dgm:prSet/>
      <dgm:spPr/>
      <dgm:t>
        <a:bodyPr/>
        <a:lstStyle/>
        <a:p>
          <a:endParaRPr lang="en-US"/>
        </a:p>
      </dgm:t>
    </dgm:pt>
    <dgm:pt modelId="{8D712AB5-75BB-4AC6-B0FC-AC0518522A1C}" type="sibTrans" cxnId="{AC298E81-48E0-4028-9B14-3526F2B35573}">
      <dgm:prSet/>
      <dgm:spPr/>
      <dgm:t>
        <a:bodyPr/>
        <a:lstStyle/>
        <a:p>
          <a:endParaRPr lang="en-US"/>
        </a:p>
      </dgm:t>
    </dgm:pt>
    <dgm:pt modelId="{9A8F75C1-EAC4-47B8-86D9-BFD301902AD7}">
      <dgm:prSet phldrT="[Text]" custT="1"/>
      <dgm:spPr>
        <a:xfrm rot="5400000">
          <a:off x="-92773" y="5411655"/>
          <a:ext cx="618492" cy="432944"/>
        </a:xfrm>
        <a:prstGeom prst="chevron">
          <a:avLst/>
        </a:prstGeom>
        <a:solidFill>
          <a:srgbClr val="4472C4">
            <a:hueOff val="-5515009"/>
            <a:satOff val="-7671"/>
            <a:lumOff val="-2942"/>
            <a:alphaOff val="0"/>
          </a:srgbClr>
        </a:solidFill>
        <a:ln w="12700" cap="flat" cmpd="sng" algn="ctr">
          <a:solidFill>
            <a:srgbClr val="4472C4">
              <a:hueOff val="-5515009"/>
              <a:satOff val="-7671"/>
              <a:lumOff val="-2942"/>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08.03.</a:t>
          </a:r>
        </a:p>
        <a:p>
          <a:r>
            <a:rPr lang="bg-BG" sz="1100" b="1">
              <a:solidFill>
                <a:srgbClr val="002060"/>
              </a:solidFill>
              <a:latin typeface="Cambria" panose="02040503050406030204" pitchFamily="18" charset="0"/>
              <a:ea typeface="Cambria" panose="02040503050406030204" pitchFamily="18" charset="0"/>
              <a:cs typeface="+mn-cs"/>
            </a:rPr>
            <a:t>22</a:t>
          </a:r>
          <a:endParaRPr lang="en-US" sz="1100" b="1">
            <a:solidFill>
              <a:srgbClr val="002060"/>
            </a:solidFill>
            <a:latin typeface="Cambria" panose="02040503050406030204" pitchFamily="18" charset="0"/>
            <a:ea typeface="Cambria" panose="02040503050406030204" pitchFamily="18" charset="0"/>
            <a:cs typeface="+mn-cs"/>
          </a:endParaRPr>
        </a:p>
      </dgm:t>
    </dgm:pt>
    <dgm:pt modelId="{DD54E761-E577-4539-935A-ED8D7F646220}" type="parTrans" cxnId="{C28AC49D-BF61-406F-BF2F-933E7AF3DDA7}">
      <dgm:prSet/>
      <dgm:spPr/>
      <dgm:t>
        <a:bodyPr/>
        <a:lstStyle/>
        <a:p>
          <a:endParaRPr lang="en-US"/>
        </a:p>
      </dgm:t>
    </dgm:pt>
    <dgm:pt modelId="{9C1CEEBC-F16A-420C-A8C1-300B3B5615CA}" type="sibTrans" cxnId="{C28AC49D-BF61-406F-BF2F-933E7AF3DDA7}">
      <dgm:prSet/>
      <dgm:spPr/>
      <dgm:t>
        <a:bodyPr/>
        <a:lstStyle/>
        <a:p>
          <a:endParaRPr lang="en-US"/>
        </a:p>
      </dgm:t>
    </dgm:pt>
    <dgm:pt modelId="{9F2ED8FE-9985-4726-81A4-3CF2E3C5ABE5}">
      <dgm:prSet phldrT="[Text]" custT="1"/>
      <dgm:spPr>
        <a:xfrm rot="5400000">
          <a:off x="-92773" y="5983961"/>
          <a:ext cx="618492" cy="432944"/>
        </a:xfrm>
        <a:prstGeom prst="chevron">
          <a:avLst/>
        </a:prstGeom>
        <a:solidFill>
          <a:srgbClr val="4472C4">
            <a:hueOff val="-6127787"/>
            <a:satOff val="-8523"/>
            <a:lumOff val="-3268"/>
            <a:alphaOff val="0"/>
          </a:srgbClr>
        </a:solidFill>
        <a:ln w="12700" cap="flat" cmpd="sng" algn="ctr">
          <a:solidFill>
            <a:srgbClr val="4472C4">
              <a:hueOff val="-6127787"/>
              <a:satOff val="-8523"/>
              <a:lumOff val="-3268"/>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23.03.</a:t>
          </a:r>
        </a:p>
        <a:p>
          <a:r>
            <a:rPr lang="bg-BG" sz="1100" b="1">
              <a:solidFill>
                <a:srgbClr val="002060"/>
              </a:solidFill>
              <a:latin typeface="Cambria" panose="02040503050406030204" pitchFamily="18" charset="0"/>
              <a:ea typeface="Cambria" panose="02040503050406030204" pitchFamily="18" charset="0"/>
              <a:cs typeface="+mn-cs"/>
            </a:rPr>
            <a:t>22</a:t>
          </a:r>
          <a:endParaRPr lang="en-US" sz="1100" b="1">
            <a:solidFill>
              <a:srgbClr val="002060"/>
            </a:solidFill>
            <a:latin typeface="Cambria" panose="02040503050406030204" pitchFamily="18" charset="0"/>
            <a:ea typeface="Cambria" panose="02040503050406030204" pitchFamily="18" charset="0"/>
            <a:cs typeface="+mn-cs"/>
          </a:endParaRPr>
        </a:p>
      </dgm:t>
    </dgm:pt>
    <dgm:pt modelId="{5781EA54-89E4-45F5-96CC-585D9EF10035}" type="parTrans" cxnId="{6A1ED06D-F208-4B84-A01A-2ABF60FF4DD0}">
      <dgm:prSet/>
      <dgm:spPr/>
      <dgm:t>
        <a:bodyPr/>
        <a:lstStyle/>
        <a:p>
          <a:endParaRPr lang="en-US"/>
        </a:p>
      </dgm:t>
    </dgm:pt>
    <dgm:pt modelId="{034C8929-917A-48D0-BCC8-B30EE0795949}" type="sibTrans" cxnId="{6A1ED06D-F208-4B84-A01A-2ABF60FF4DD0}">
      <dgm:prSet/>
      <dgm:spPr/>
      <dgm:t>
        <a:bodyPr/>
        <a:lstStyle/>
        <a:p>
          <a:endParaRPr lang="en-US"/>
        </a:p>
      </dgm:t>
    </dgm:pt>
    <dgm:pt modelId="{AB4187B3-E39B-40A6-9952-8892B4E5DAF1}">
      <dgm:prSet custT="1"/>
      <dgm:spPr>
        <a:xfrm rot="5400000">
          <a:off x="3004407" y="-806457"/>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1838336"/>
              <a:satOff val="-2557"/>
              <a:lumOff val="-981"/>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Устойчива синя икономика</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1B644A3A-103D-4758-B13B-DB131394563B}" type="parTrans" cxnId="{89424C3D-C5F8-4ABF-A5F8-7AF544C9F503}">
      <dgm:prSet/>
      <dgm:spPr/>
      <dgm:t>
        <a:bodyPr/>
        <a:lstStyle/>
        <a:p>
          <a:endParaRPr lang="en-US"/>
        </a:p>
      </dgm:t>
    </dgm:pt>
    <dgm:pt modelId="{9B41B4BF-41E6-41CA-8515-BB5C8C8D6735}" type="sibTrans" cxnId="{89424C3D-C5F8-4ABF-A5F8-7AF544C9F503}">
      <dgm:prSet/>
      <dgm:spPr/>
      <dgm:t>
        <a:bodyPr/>
        <a:lstStyle/>
        <a:p>
          <a:endParaRPr lang="en-US"/>
        </a:p>
      </dgm:t>
    </dgm:pt>
    <dgm:pt modelId="{B8B0C007-60A8-43C3-A7CD-A7ADDB217D70}">
      <dgm:prSet custT="1"/>
      <dgm:spPr>
        <a:xfrm rot="5400000">
          <a:off x="3004407" y="-234151"/>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2451115"/>
              <a:satOff val="-3409"/>
              <a:lumOff val="-1307"/>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Осъществяване на Европейския зелен пакт</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C9118355-3411-4473-9A0B-560EBFFA7EC1}" type="parTrans" cxnId="{14559DC7-E7C6-4D5C-B2D7-71143230EC99}">
      <dgm:prSet/>
      <dgm:spPr/>
      <dgm:t>
        <a:bodyPr/>
        <a:lstStyle/>
        <a:p>
          <a:endParaRPr lang="en-US"/>
        </a:p>
      </dgm:t>
    </dgm:pt>
    <dgm:pt modelId="{642F7A0D-2606-44B6-9CA4-09D06E4C0015}" type="sibTrans" cxnId="{14559DC7-E7C6-4D5C-B2D7-71143230EC99}">
      <dgm:prSet/>
      <dgm:spPr/>
      <dgm:t>
        <a:bodyPr/>
        <a:lstStyle/>
        <a:p>
          <a:endParaRPr lang="en-US"/>
        </a:p>
      </dgm:t>
    </dgm:pt>
    <dgm:pt modelId="{C9DA3208-4FD1-4C84-9F16-AD101DD1E569}">
      <dgm:prSet custT="1"/>
      <dgm:spPr>
        <a:xfrm rot="5400000">
          <a:off x="2884368" y="458193"/>
          <a:ext cx="642098" cy="5544945"/>
        </a:xfrm>
        <a:prstGeom prst="round2SameRect">
          <a:avLst/>
        </a:prstGeom>
        <a:solidFill>
          <a:sysClr val="window" lastClr="FFFFFF">
            <a:alpha val="90000"/>
            <a:hueOff val="0"/>
            <a:satOff val="0"/>
            <a:lumOff val="0"/>
            <a:alphaOff val="0"/>
          </a:sysClr>
        </a:solidFill>
        <a:ln w="12700" cap="flat" cmpd="sng" algn="ctr">
          <a:solidFill>
            <a:srgbClr val="4472C4">
              <a:hueOff val="-3063894"/>
              <a:satOff val="-4262"/>
              <a:lumOff val="-1634"/>
              <a:alphaOff val="0"/>
            </a:srgbClr>
          </a:solidFill>
          <a:prstDash val="solid"/>
          <a:miter lim="800000"/>
        </a:ln>
        <a:effectLst/>
      </dgm:spPr>
      <dgm:t>
        <a:bodyPr/>
        <a:lstStyle/>
        <a:p>
          <a:pPr algn="just"/>
          <a:r>
            <a:rPr lang="bg-BG" sz="1050" b="1">
              <a:solidFill>
                <a:srgbClr val="4472C4">
                  <a:lumMod val="50000"/>
                </a:srgbClr>
              </a:solidFill>
              <a:latin typeface="Cambria" panose="02040503050406030204" pitchFamily="18" charset="0"/>
              <a:ea typeface="Cambria" panose="02040503050406030204" pitchFamily="18" charset="0"/>
              <a:cs typeface="+mn-cs"/>
            </a:rPr>
            <a:t>Нов европейски Баухаус: нови действия и финансиране</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D52C4041-AE58-47D7-8012-26BDAB6E258C}" type="parTrans" cxnId="{25287F68-B7CD-4ED3-82BC-C26D9A947F42}">
      <dgm:prSet/>
      <dgm:spPr/>
      <dgm:t>
        <a:bodyPr/>
        <a:lstStyle/>
        <a:p>
          <a:endParaRPr lang="en-US"/>
        </a:p>
      </dgm:t>
    </dgm:pt>
    <dgm:pt modelId="{422498F4-EB0A-402E-86CA-A78B1EE2715E}" type="sibTrans" cxnId="{25287F68-B7CD-4ED3-82BC-C26D9A947F42}">
      <dgm:prSet/>
      <dgm:spPr/>
      <dgm:t>
        <a:bodyPr/>
        <a:lstStyle/>
        <a:p>
          <a:endParaRPr lang="en-US"/>
        </a:p>
      </dgm:t>
    </dgm:pt>
    <dgm:pt modelId="{4DDCC443-8294-44A5-82A8-D40A8B14A149}">
      <dgm:prSet custT="1"/>
      <dgm:spPr>
        <a:xfrm rot="5400000">
          <a:off x="3004407" y="1030500"/>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3676672"/>
              <a:satOff val="-5114"/>
              <a:lumOff val="-1961"/>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Предложения за спиране на обезлесяването, за иновации в устойчивото управление на отпадъците и за подобряване на състоянието на почвите</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37B4888D-F17C-4C58-8D7B-66A98A3C65D5}" type="parTrans" cxnId="{23EF5F93-0294-4955-9A7B-95C37A0A00BB}">
      <dgm:prSet/>
      <dgm:spPr/>
      <dgm:t>
        <a:bodyPr/>
        <a:lstStyle/>
        <a:p>
          <a:endParaRPr lang="en-US"/>
        </a:p>
      </dgm:t>
    </dgm:pt>
    <dgm:pt modelId="{9AC66053-E254-4AC2-AD14-77EED38C943F}" type="sibTrans" cxnId="{23EF5F93-0294-4955-9A7B-95C37A0A00BB}">
      <dgm:prSet/>
      <dgm:spPr/>
      <dgm:t>
        <a:bodyPr/>
        <a:lstStyle/>
        <a:p>
          <a:endParaRPr lang="en-US"/>
        </a:p>
      </dgm:t>
    </dgm:pt>
    <dgm:pt modelId="{88304025-6AFD-4EEC-A28D-4729C6486C59}">
      <dgm:prSet custT="1"/>
      <dgm:spPr>
        <a:xfrm rot="5400000">
          <a:off x="3004407" y="1602806"/>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4289451"/>
              <a:satOff val="-5966"/>
              <a:lumOff val="-2288"/>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Новите предложения в областта на транспорта са насочени към постигане на по-голяма ефективност и към по-устойчиви пътувания</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CD14B492-D753-4CB9-9144-901C0DCB6EA7}" type="parTrans" cxnId="{0F931180-9927-4225-9FEA-7F681D289812}">
      <dgm:prSet/>
      <dgm:spPr/>
      <dgm:t>
        <a:bodyPr/>
        <a:lstStyle/>
        <a:p>
          <a:endParaRPr lang="en-US"/>
        </a:p>
      </dgm:t>
    </dgm:pt>
    <dgm:pt modelId="{95BF6C5B-C097-463B-B135-3FB3665984FA}" type="sibTrans" cxnId="{0F931180-9927-4225-9FEA-7F681D289812}">
      <dgm:prSet/>
      <dgm:spPr/>
      <dgm:t>
        <a:bodyPr/>
        <a:lstStyle/>
        <a:p>
          <a:endParaRPr lang="en-US"/>
        </a:p>
      </dgm:t>
    </dgm:pt>
    <dgm:pt modelId="{D4AE3759-6C18-4245-B001-945F4F9E9142}">
      <dgm:prSet phldrT="[Text]" custT="1"/>
      <dgm:spPr>
        <a:xfrm rot="5400000">
          <a:off x="-92773" y="6556268"/>
          <a:ext cx="618492" cy="432944"/>
        </a:xfrm>
        <a:prstGeom prst="chevron">
          <a:avLst/>
        </a:prstGeom>
        <a:solidFill>
          <a:srgbClr val="4472C4">
            <a:hueOff val="-6740566"/>
            <a:satOff val="-9376"/>
            <a:lumOff val="-3595"/>
            <a:alphaOff val="0"/>
          </a:srgbClr>
        </a:solidFill>
        <a:ln w="12700" cap="flat" cmpd="sng" algn="ctr">
          <a:solidFill>
            <a:srgbClr val="4472C4">
              <a:hueOff val="-6740566"/>
              <a:satOff val="-9376"/>
              <a:lumOff val="-3595"/>
              <a:alphaOff val="0"/>
            </a:srgbClr>
          </a:solidFill>
          <a:prstDash val="solid"/>
          <a:miter lim="800000"/>
        </a:ln>
        <a:effectLst/>
      </dgm:spPr>
      <dgm:t>
        <a:bodyPr/>
        <a:lstStyle/>
        <a:p>
          <a:r>
            <a:rPr lang="bg-BG" sz="1050" b="1">
              <a:solidFill>
                <a:srgbClr val="002060"/>
              </a:solidFill>
              <a:latin typeface="Cambria" panose="02040503050406030204" pitchFamily="18" charset="0"/>
              <a:ea typeface="Cambria" panose="02040503050406030204" pitchFamily="18" charset="0"/>
              <a:cs typeface="+mn-cs"/>
            </a:rPr>
            <a:t>30.03.</a:t>
          </a:r>
        </a:p>
        <a:p>
          <a:r>
            <a:rPr lang="bg-BG" sz="1050" b="1">
              <a:solidFill>
                <a:srgbClr val="002060"/>
              </a:solidFill>
              <a:latin typeface="Cambria" panose="02040503050406030204" pitchFamily="18" charset="0"/>
              <a:ea typeface="Cambria" panose="02040503050406030204" pitchFamily="18" charset="0"/>
              <a:cs typeface="+mn-cs"/>
            </a:rPr>
            <a:t>22</a:t>
          </a:r>
          <a:endParaRPr lang="en-US" sz="1050" b="1">
            <a:solidFill>
              <a:srgbClr val="002060"/>
            </a:solidFill>
            <a:latin typeface="Cambria" panose="02040503050406030204" pitchFamily="18" charset="0"/>
            <a:ea typeface="Cambria" panose="02040503050406030204" pitchFamily="18" charset="0"/>
            <a:cs typeface="+mn-cs"/>
          </a:endParaRPr>
        </a:p>
      </dgm:t>
    </dgm:pt>
    <dgm:pt modelId="{592B52F5-66D1-4B3B-884D-CC8C247F81D3}" type="parTrans" cxnId="{E4E15F19-9348-4DBB-AC4B-289FD71C475B}">
      <dgm:prSet/>
      <dgm:spPr/>
      <dgm:t>
        <a:bodyPr/>
        <a:lstStyle/>
        <a:p>
          <a:endParaRPr lang="en-US"/>
        </a:p>
      </dgm:t>
    </dgm:pt>
    <dgm:pt modelId="{06856A61-7CD5-42E5-AB0B-0F3CC9E28F1B}" type="sibTrans" cxnId="{E4E15F19-9348-4DBB-AC4B-289FD71C475B}">
      <dgm:prSet/>
      <dgm:spPr/>
      <dgm:t>
        <a:bodyPr/>
        <a:lstStyle/>
        <a:p>
          <a:endParaRPr lang="en-US"/>
        </a:p>
      </dgm:t>
    </dgm:pt>
    <dgm:pt modelId="{5FBEC694-6D72-45FC-B844-BB1ABCC17AAD}">
      <dgm:prSet custT="1"/>
      <dgm:spPr>
        <a:xfrm rot="5400000">
          <a:off x="3004407" y="2175112"/>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4902230"/>
              <a:satOff val="-6819"/>
              <a:lumOff val="-2615"/>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Предложение за нова рамка на ЕС за декарбонизация на пазарите на газ, насърчаване на използването на водород и намаляване на емиисите на метан</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8D60C053-0B6B-430F-A355-1264F908C67E}" type="parTrans" cxnId="{9774DBD7-F3A3-4FC2-B049-1068A3D57FDD}">
      <dgm:prSet/>
      <dgm:spPr/>
      <dgm:t>
        <a:bodyPr/>
        <a:lstStyle/>
        <a:p>
          <a:endParaRPr lang="en-US"/>
        </a:p>
      </dgm:t>
    </dgm:pt>
    <dgm:pt modelId="{3D9BA8DA-F04E-49DB-891B-965E53F473D7}" type="sibTrans" cxnId="{9774DBD7-F3A3-4FC2-B049-1068A3D57FDD}">
      <dgm:prSet/>
      <dgm:spPr/>
      <dgm:t>
        <a:bodyPr/>
        <a:lstStyle/>
        <a:p>
          <a:endParaRPr lang="en-US"/>
        </a:p>
      </dgm:t>
    </dgm:pt>
    <dgm:pt modelId="{BC9716C1-4B76-4970-AB68-0E624081DA77}">
      <dgm:prSet custT="1"/>
      <dgm:spPr>
        <a:xfrm rot="5400000">
          <a:off x="3004407" y="2747419"/>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5515009"/>
              <a:satOff val="-7671"/>
              <a:lumOff val="-2942"/>
              <a:alphaOff val="0"/>
            </a:srgbClr>
          </a:solidFill>
          <a:prstDash val="solid"/>
          <a:miter lim="800000"/>
        </a:ln>
        <a:effectLst/>
      </dgm:spPr>
      <dgm:t>
        <a:bodyPr/>
        <a:lstStyle/>
        <a:p>
          <a:r>
            <a:rPr lang="en-US" sz="1050" b="1">
              <a:solidFill>
                <a:srgbClr val="4472C4">
                  <a:lumMod val="50000"/>
                </a:srgbClr>
              </a:solidFill>
              <a:latin typeface="Cambria" panose="02040503050406030204" pitchFamily="18" charset="0"/>
              <a:ea typeface="Cambria" panose="02040503050406030204" pitchFamily="18" charset="0"/>
              <a:cs typeface="+mn-cs"/>
            </a:rPr>
            <a:t>REPowerEU: </a:t>
          </a:r>
          <a:r>
            <a:rPr lang="bg-BG" sz="1050" b="1">
              <a:solidFill>
                <a:srgbClr val="4472C4">
                  <a:lumMod val="50000"/>
                </a:srgbClr>
              </a:solidFill>
              <a:latin typeface="Cambria" panose="02040503050406030204" pitchFamily="18" charset="0"/>
              <a:ea typeface="Cambria" panose="02040503050406030204" pitchFamily="18" charset="0"/>
              <a:cs typeface="+mn-cs"/>
            </a:rPr>
            <a:t>съвместни европейски действия за по-сигурна и устойчива енергия на достъпни цени</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653852DB-A8A1-439D-BB18-23A554868E59}" type="parTrans" cxnId="{AE083BE2-77FA-4A4C-8BCF-2D3EE0481FA5}">
      <dgm:prSet/>
      <dgm:spPr/>
      <dgm:t>
        <a:bodyPr/>
        <a:lstStyle/>
        <a:p>
          <a:endParaRPr lang="en-US"/>
        </a:p>
      </dgm:t>
    </dgm:pt>
    <dgm:pt modelId="{FE030A7B-D6C6-4B1F-9FBC-C7472E808709}" type="sibTrans" cxnId="{AE083BE2-77FA-4A4C-8BCF-2D3EE0481FA5}">
      <dgm:prSet/>
      <dgm:spPr/>
      <dgm:t>
        <a:bodyPr/>
        <a:lstStyle/>
        <a:p>
          <a:endParaRPr lang="en-US"/>
        </a:p>
      </dgm:t>
    </dgm:pt>
    <dgm:pt modelId="{E521C599-7A6B-4922-ACD6-DF103F00755B}">
      <dgm:prSet custT="1"/>
      <dgm:spPr>
        <a:xfrm rot="5400000">
          <a:off x="3004407" y="3319725"/>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6127787"/>
              <a:satOff val="-8523"/>
              <a:lumOff val="-3268"/>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Възможности за смекчаване на високите цени на енергията чрез съвместно закупуване на газ и задължения за минимално запълване на газохранилищата</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E5A2C3E3-FA8F-4D7A-A7A1-37D6522777D3}" type="parTrans" cxnId="{9156B13C-A8D0-4D1C-9847-C01022FDB9A5}">
      <dgm:prSet/>
      <dgm:spPr/>
      <dgm:t>
        <a:bodyPr/>
        <a:lstStyle/>
        <a:p>
          <a:endParaRPr lang="en-US"/>
        </a:p>
      </dgm:t>
    </dgm:pt>
    <dgm:pt modelId="{5A2EF855-A1CA-4257-971D-51A6636B04B1}" type="sibTrans" cxnId="{9156B13C-A8D0-4D1C-9847-C01022FDB9A5}">
      <dgm:prSet/>
      <dgm:spPr/>
      <dgm:t>
        <a:bodyPr/>
        <a:lstStyle/>
        <a:p>
          <a:endParaRPr lang="en-US"/>
        </a:p>
      </dgm:t>
    </dgm:pt>
    <dgm:pt modelId="{069A5020-BC0B-4B85-AF4A-495466A8FB05}">
      <dgm:prSet custT="1"/>
      <dgm:spPr>
        <a:xfrm rot="5400000">
          <a:off x="3004407" y="3892031"/>
          <a:ext cx="402020" cy="5544945"/>
        </a:xfrm>
        <a:prstGeom prst="round2SameRect">
          <a:avLst/>
        </a:prstGeom>
        <a:solidFill>
          <a:sysClr val="window" lastClr="FFFFFF">
            <a:alpha val="90000"/>
            <a:hueOff val="0"/>
            <a:satOff val="0"/>
            <a:lumOff val="0"/>
            <a:alphaOff val="0"/>
          </a:sysClr>
        </a:solidFill>
        <a:ln w="12700" cap="flat" cmpd="sng" algn="ctr">
          <a:solidFill>
            <a:srgbClr val="4472C4">
              <a:hueOff val="-6740566"/>
              <a:satOff val="-9376"/>
              <a:lumOff val="-3595"/>
              <a:alphaOff val="0"/>
            </a:srgbClr>
          </a:solidFill>
          <a:prstDash val="solid"/>
          <a:miter lim="800000"/>
        </a:ln>
        <a:effectLst/>
      </dgm:spPr>
      <dgm:t>
        <a:bodyPr/>
        <a:lstStyle/>
        <a:p>
          <a:r>
            <a:rPr lang="bg-BG" sz="1050" b="1">
              <a:solidFill>
                <a:srgbClr val="4472C4">
                  <a:lumMod val="50000"/>
                </a:srgbClr>
              </a:solidFill>
              <a:latin typeface="Cambria" panose="02040503050406030204" pitchFamily="18" charset="0"/>
              <a:ea typeface="Cambria" panose="02040503050406030204" pitchFamily="18" charset="0"/>
              <a:cs typeface="+mn-cs"/>
            </a:rPr>
            <a:t>Предложения за превръщане на устойчивите продукти в норма в ЕС, насърчаване на кръговите бизнес модели и засилване на ролята на потребителите в екологичния преход</a:t>
          </a:r>
          <a:endParaRPr lang="en-US" sz="1050" b="1">
            <a:solidFill>
              <a:srgbClr val="4472C4">
                <a:lumMod val="50000"/>
              </a:srgbClr>
            </a:solidFill>
            <a:latin typeface="Cambria" panose="02040503050406030204" pitchFamily="18" charset="0"/>
            <a:ea typeface="Cambria" panose="02040503050406030204" pitchFamily="18" charset="0"/>
            <a:cs typeface="+mn-cs"/>
          </a:endParaRPr>
        </a:p>
      </dgm:t>
    </dgm:pt>
    <dgm:pt modelId="{9F773CFC-6D56-4D53-80E5-56780B1754FF}" type="parTrans" cxnId="{4114DAB8-8B1D-49D7-A6BB-65A3D29E1B0A}">
      <dgm:prSet/>
      <dgm:spPr/>
      <dgm:t>
        <a:bodyPr/>
        <a:lstStyle/>
        <a:p>
          <a:endParaRPr lang="en-US"/>
        </a:p>
      </dgm:t>
    </dgm:pt>
    <dgm:pt modelId="{72C8B128-B6E8-4F28-8329-DF3F83175C39}" type="sibTrans" cxnId="{4114DAB8-8B1D-49D7-A6BB-65A3D29E1B0A}">
      <dgm:prSet/>
      <dgm:spPr/>
      <dgm:t>
        <a:bodyPr/>
        <a:lstStyle/>
        <a:p>
          <a:endParaRPr lang="en-US"/>
        </a:p>
      </dgm:t>
    </dgm:pt>
    <dgm:pt modelId="{9FD95FE1-D889-4E59-880B-3FFBBB429D8D}">
      <dgm:prSet phldrT="[Text]" custT="1"/>
      <dgm:spPr>
        <a:xfrm rot="5400000">
          <a:off x="-92773" y="7128574"/>
          <a:ext cx="618492" cy="432944"/>
        </a:xfrm>
        <a:prstGeom prst="chevron">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bg-BG" sz="1050" b="1">
              <a:solidFill>
                <a:srgbClr val="002060"/>
              </a:solidFill>
              <a:latin typeface="Cambria" panose="02040503050406030204" pitchFamily="18" charset="0"/>
              <a:ea typeface="Cambria" panose="02040503050406030204" pitchFamily="18" charset="0"/>
              <a:cs typeface="+mn-cs"/>
            </a:rPr>
            <a:t>05.04.</a:t>
          </a:r>
        </a:p>
        <a:p>
          <a:r>
            <a:rPr lang="bg-BG" sz="1050" b="1">
              <a:solidFill>
                <a:srgbClr val="002060"/>
              </a:solidFill>
              <a:latin typeface="Cambria" panose="02040503050406030204" pitchFamily="18" charset="0"/>
              <a:ea typeface="Cambria" panose="02040503050406030204" pitchFamily="18" charset="0"/>
              <a:cs typeface="+mn-cs"/>
            </a:rPr>
            <a:t>22</a:t>
          </a:r>
          <a:endParaRPr lang="en-US" sz="1050" b="1">
            <a:solidFill>
              <a:srgbClr val="002060"/>
            </a:solidFill>
            <a:latin typeface="Cambria" panose="02040503050406030204" pitchFamily="18" charset="0"/>
            <a:ea typeface="Cambria" panose="02040503050406030204" pitchFamily="18" charset="0"/>
            <a:cs typeface="+mn-cs"/>
          </a:endParaRPr>
        </a:p>
      </dgm:t>
    </dgm:pt>
    <dgm:pt modelId="{7AB82977-CCAA-455A-BA93-E3F15D761143}" type="sibTrans" cxnId="{3A69AC59-BA89-4F4D-AC99-D741B1222DF6}">
      <dgm:prSet/>
      <dgm:spPr/>
      <dgm:t>
        <a:bodyPr/>
        <a:lstStyle/>
        <a:p>
          <a:endParaRPr lang="en-US"/>
        </a:p>
      </dgm:t>
    </dgm:pt>
    <dgm:pt modelId="{D1BD80D6-FDE4-4C30-80E0-AC080D937FD4}" type="parTrans" cxnId="{3A69AC59-BA89-4F4D-AC99-D741B1222DF6}">
      <dgm:prSet/>
      <dgm:spPr/>
      <dgm:t>
        <a:bodyPr/>
        <a:lstStyle/>
        <a:p>
          <a:endParaRPr lang="en-US"/>
        </a:p>
      </dgm:t>
    </dgm:pt>
    <dgm:pt modelId="{E0EEAD50-074A-4857-A6B8-E10CD7240CF2}">
      <dgm:prSet custT="1"/>
      <dgm:spPr/>
      <dgm:t>
        <a:bodyPr/>
        <a:lstStyle/>
        <a:p>
          <a:r>
            <a:rPr lang="bg-BG" sz="1050" b="1">
              <a:solidFill>
                <a:srgbClr val="002060"/>
              </a:solidFill>
              <a:latin typeface="Cambria" panose="02040503050406030204" pitchFamily="18" charset="0"/>
              <a:ea typeface="Cambria" panose="02040503050406030204" pitchFamily="18" charset="0"/>
            </a:rPr>
            <a:t>Предложения за модернизиране на правилата на ЕС за емисиите от промишлеността с цел насочване на едрата промишленост към дългосрочен екологичен преход</a:t>
          </a:r>
          <a:endParaRPr lang="en-US" sz="1050" b="1">
            <a:solidFill>
              <a:srgbClr val="002060"/>
            </a:solidFill>
            <a:latin typeface="Cambria" panose="02040503050406030204" pitchFamily="18" charset="0"/>
            <a:ea typeface="Cambria" panose="02040503050406030204" pitchFamily="18" charset="0"/>
          </a:endParaRPr>
        </a:p>
      </dgm:t>
    </dgm:pt>
    <dgm:pt modelId="{30001261-22A8-4B47-9A3D-B05C2578A74A}" type="parTrans" cxnId="{50FBF5F0-54BE-4129-A32E-3F46E4071A05}">
      <dgm:prSet/>
      <dgm:spPr/>
      <dgm:t>
        <a:bodyPr/>
        <a:lstStyle/>
        <a:p>
          <a:endParaRPr lang="en-US"/>
        </a:p>
      </dgm:t>
    </dgm:pt>
    <dgm:pt modelId="{4B4924C3-F0E8-4E0D-9C56-B72D30BC248E}" type="sibTrans" cxnId="{50FBF5F0-54BE-4129-A32E-3F46E4071A05}">
      <dgm:prSet/>
      <dgm:spPr/>
      <dgm:t>
        <a:bodyPr/>
        <a:lstStyle/>
        <a:p>
          <a:endParaRPr lang="en-US"/>
        </a:p>
      </dgm:t>
    </dgm:pt>
    <dgm:pt modelId="{1A73EC0D-FB3F-4754-A01A-E4B3F209135B}" type="pres">
      <dgm:prSet presAssocID="{B93F7421-56C7-4838-A2BC-EC19E58B0C9D}" presName="linearFlow" presStyleCnt="0">
        <dgm:presLayoutVars>
          <dgm:dir/>
          <dgm:animLvl val="lvl"/>
          <dgm:resizeHandles val="exact"/>
        </dgm:presLayoutVars>
      </dgm:prSet>
      <dgm:spPr/>
      <dgm:t>
        <a:bodyPr/>
        <a:lstStyle/>
        <a:p>
          <a:endParaRPr lang="en-US"/>
        </a:p>
      </dgm:t>
    </dgm:pt>
    <dgm:pt modelId="{059064DD-3425-491E-8B4B-CDE2E28B9134}" type="pres">
      <dgm:prSet presAssocID="{7E49EF31-4FA9-49D0-8DBE-6CF75FBE0271}" presName="composite" presStyleCnt="0"/>
      <dgm:spPr/>
    </dgm:pt>
    <dgm:pt modelId="{1B430139-ABED-4C68-A126-E9E0CACF3D40}" type="pres">
      <dgm:prSet presAssocID="{7E49EF31-4FA9-49D0-8DBE-6CF75FBE0271}" presName="parentText" presStyleLbl="alignNode1" presStyleIdx="0" presStyleCnt="13">
        <dgm:presLayoutVars>
          <dgm:chMax val="1"/>
          <dgm:bulletEnabled val="1"/>
        </dgm:presLayoutVars>
      </dgm:prSet>
      <dgm:spPr>
        <a:prstGeom prst="chevron">
          <a:avLst/>
        </a:prstGeom>
      </dgm:spPr>
      <dgm:t>
        <a:bodyPr/>
        <a:lstStyle/>
        <a:p>
          <a:endParaRPr lang="en-US"/>
        </a:p>
      </dgm:t>
    </dgm:pt>
    <dgm:pt modelId="{FAF2AF55-A654-44F3-B92C-B6CA469148D2}" type="pres">
      <dgm:prSet presAssocID="{7E49EF31-4FA9-49D0-8DBE-6CF75FBE0271}" presName="descendantText" presStyleLbl="alignAcc1" presStyleIdx="0" presStyleCnt="13">
        <dgm:presLayoutVars>
          <dgm:bulletEnabled val="1"/>
        </dgm:presLayoutVars>
      </dgm:prSet>
      <dgm:spPr>
        <a:prstGeom prst="round2SameRect">
          <a:avLst/>
        </a:prstGeom>
      </dgm:spPr>
      <dgm:t>
        <a:bodyPr/>
        <a:lstStyle/>
        <a:p>
          <a:endParaRPr lang="en-US"/>
        </a:p>
      </dgm:t>
    </dgm:pt>
    <dgm:pt modelId="{4BC551CA-B686-4611-84C4-41ACDA97188E}" type="pres">
      <dgm:prSet presAssocID="{6EF9F1D7-DE00-4848-B090-8B88F245E0D5}" presName="sp" presStyleCnt="0"/>
      <dgm:spPr/>
    </dgm:pt>
    <dgm:pt modelId="{AE0483F0-BD2D-4F30-91B7-B3AAEE09A280}" type="pres">
      <dgm:prSet presAssocID="{28096FC4-949A-4CA6-A395-6A6ADC14CEFB}" presName="composite" presStyleCnt="0"/>
      <dgm:spPr/>
    </dgm:pt>
    <dgm:pt modelId="{E94C0AA8-26AF-448A-A26E-5923F2965E6C}" type="pres">
      <dgm:prSet presAssocID="{28096FC4-949A-4CA6-A395-6A6ADC14CEFB}" presName="parentText" presStyleLbl="alignNode1" presStyleIdx="1" presStyleCnt="13">
        <dgm:presLayoutVars>
          <dgm:chMax val="1"/>
          <dgm:bulletEnabled val="1"/>
        </dgm:presLayoutVars>
      </dgm:prSet>
      <dgm:spPr>
        <a:prstGeom prst="chevron">
          <a:avLst/>
        </a:prstGeom>
      </dgm:spPr>
      <dgm:t>
        <a:bodyPr/>
        <a:lstStyle/>
        <a:p>
          <a:endParaRPr lang="en-US"/>
        </a:p>
      </dgm:t>
    </dgm:pt>
    <dgm:pt modelId="{B0995E04-3C20-4CAD-A59C-B4E45B151ED7}" type="pres">
      <dgm:prSet presAssocID="{28096FC4-949A-4CA6-A395-6A6ADC14CEFB}" presName="descendantText" presStyleLbl="alignAcc1" presStyleIdx="1" presStyleCnt="13">
        <dgm:presLayoutVars>
          <dgm:bulletEnabled val="1"/>
        </dgm:presLayoutVars>
      </dgm:prSet>
      <dgm:spPr>
        <a:prstGeom prst="round2SameRect">
          <a:avLst/>
        </a:prstGeom>
      </dgm:spPr>
      <dgm:t>
        <a:bodyPr/>
        <a:lstStyle/>
        <a:p>
          <a:endParaRPr lang="en-US"/>
        </a:p>
      </dgm:t>
    </dgm:pt>
    <dgm:pt modelId="{E6DEA24D-0BFB-4FED-BACF-B725CE26A723}" type="pres">
      <dgm:prSet presAssocID="{F8FCDE1B-9FC6-4A67-A1E6-99E87EF6483C}" presName="sp" presStyleCnt="0"/>
      <dgm:spPr/>
    </dgm:pt>
    <dgm:pt modelId="{E6B4D1FA-9751-4279-94E4-7C5EC5A4B2C2}" type="pres">
      <dgm:prSet presAssocID="{19814185-69C4-481E-9981-680EBC864CE1}" presName="composite" presStyleCnt="0"/>
      <dgm:spPr/>
    </dgm:pt>
    <dgm:pt modelId="{ECC1EAF7-3D5F-4F69-BB26-C0CDE5C25866}" type="pres">
      <dgm:prSet presAssocID="{19814185-69C4-481E-9981-680EBC864CE1}" presName="parentText" presStyleLbl="alignNode1" presStyleIdx="2" presStyleCnt="13">
        <dgm:presLayoutVars>
          <dgm:chMax val="1"/>
          <dgm:bulletEnabled val="1"/>
        </dgm:presLayoutVars>
      </dgm:prSet>
      <dgm:spPr>
        <a:prstGeom prst="chevron">
          <a:avLst/>
        </a:prstGeom>
      </dgm:spPr>
      <dgm:t>
        <a:bodyPr/>
        <a:lstStyle/>
        <a:p>
          <a:endParaRPr lang="en-US"/>
        </a:p>
      </dgm:t>
    </dgm:pt>
    <dgm:pt modelId="{D6ED99AA-4082-44BC-8DCA-9752A290BB44}" type="pres">
      <dgm:prSet presAssocID="{19814185-69C4-481E-9981-680EBC864CE1}" presName="descendantText" presStyleLbl="alignAcc1" presStyleIdx="2" presStyleCnt="13">
        <dgm:presLayoutVars>
          <dgm:bulletEnabled val="1"/>
        </dgm:presLayoutVars>
      </dgm:prSet>
      <dgm:spPr>
        <a:prstGeom prst="round2SameRect">
          <a:avLst/>
        </a:prstGeom>
      </dgm:spPr>
      <dgm:t>
        <a:bodyPr/>
        <a:lstStyle/>
        <a:p>
          <a:endParaRPr lang="en-US"/>
        </a:p>
      </dgm:t>
    </dgm:pt>
    <dgm:pt modelId="{60309E38-8448-46DD-B587-905270857E2B}" type="pres">
      <dgm:prSet presAssocID="{A787719E-6538-4AA1-9C72-8770F7FBCAFE}" presName="sp" presStyleCnt="0"/>
      <dgm:spPr/>
    </dgm:pt>
    <dgm:pt modelId="{52EB2A67-46A9-488C-87C9-51C328814CDC}" type="pres">
      <dgm:prSet presAssocID="{F671849F-61F1-48C5-B2B3-9967349B90F2}" presName="composite" presStyleCnt="0"/>
      <dgm:spPr/>
    </dgm:pt>
    <dgm:pt modelId="{95DF6846-B9AD-4F6A-B310-5A5E3CD70D42}" type="pres">
      <dgm:prSet presAssocID="{F671849F-61F1-48C5-B2B3-9967349B90F2}" presName="parentText" presStyleLbl="alignNode1" presStyleIdx="3" presStyleCnt="13">
        <dgm:presLayoutVars>
          <dgm:chMax val="1"/>
          <dgm:bulletEnabled val="1"/>
        </dgm:presLayoutVars>
      </dgm:prSet>
      <dgm:spPr>
        <a:prstGeom prst="chevron">
          <a:avLst/>
        </a:prstGeom>
      </dgm:spPr>
      <dgm:t>
        <a:bodyPr/>
        <a:lstStyle/>
        <a:p>
          <a:endParaRPr lang="en-US"/>
        </a:p>
      </dgm:t>
    </dgm:pt>
    <dgm:pt modelId="{EC26E6DC-DBBD-4679-BEE5-999406CF0C41}" type="pres">
      <dgm:prSet presAssocID="{F671849F-61F1-48C5-B2B3-9967349B90F2}" presName="descendantText" presStyleLbl="alignAcc1" presStyleIdx="3" presStyleCnt="13">
        <dgm:presLayoutVars>
          <dgm:bulletEnabled val="1"/>
        </dgm:presLayoutVars>
      </dgm:prSet>
      <dgm:spPr>
        <a:prstGeom prst="round2SameRect">
          <a:avLst/>
        </a:prstGeom>
      </dgm:spPr>
      <dgm:t>
        <a:bodyPr/>
        <a:lstStyle/>
        <a:p>
          <a:endParaRPr lang="en-US"/>
        </a:p>
      </dgm:t>
    </dgm:pt>
    <dgm:pt modelId="{0E9CB094-DEC6-4843-A77D-1B90BB06A585}" type="pres">
      <dgm:prSet presAssocID="{66E80941-0B8E-4521-B760-16567EEC6BBC}" presName="sp" presStyleCnt="0"/>
      <dgm:spPr/>
    </dgm:pt>
    <dgm:pt modelId="{7B71C395-EC63-4D94-8D6A-918B773FC19A}" type="pres">
      <dgm:prSet presAssocID="{4F14CE12-E91E-4249-B336-FFA48CC52430}" presName="composite" presStyleCnt="0"/>
      <dgm:spPr/>
    </dgm:pt>
    <dgm:pt modelId="{5544BC65-4267-4BC8-9E7C-EC475C046460}" type="pres">
      <dgm:prSet presAssocID="{4F14CE12-E91E-4249-B336-FFA48CC52430}" presName="parentText" presStyleLbl="alignNode1" presStyleIdx="4" presStyleCnt="13">
        <dgm:presLayoutVars>
          <dgm:chMax val="1"/>
          <dgm:bulletEnabled val="1"/>
        </dgm:presLayoutVars>
      </dgm:prSet>
      <dgm:spPr>
        <a:prstGeom prst="chevron">
          <a:avLst/>
        </a:prstGeom>
      </dgm:spPr>
      <dgm:t>
        <a:bodyPr/>
        <a:lstStyle/>
        <a:p>
          <a:endParaRPr lang="en-US"/>
        </a:p>
      </dgm:t>
    </dgm:pt>
    <dgm:pt modelId="{0AF8CBF6-BB21-4A69-9956-8BC4EFCFA71C}" type="pres">
      <dgm:prSet presAssocID="{4F14CE12-E91E-4249-B336-FFA48CC52430}" presName="descendantText" presStyleLbl="alignAcc1" presStyleIdx="4" presStyleCnt="13">
        <dgm:presLayoutVars>
          <dgm:bulletEnabled val="1"/>
        </dgm:presLayoutVars>
      </dgm:prSet>
      <dgm:spPr>
        <a:prstGeom prst="round2SameRect">
          <a:avLst/>
        </a:prstGeom>
      </dgm:spPr>
      <dgm:t>
        <a:bodyPr/>
        <a:lstStyle/>
        <a:p>
          <a:endParaRPr lang="en-US"/>
        </a:p>
      </dgm:t>
    </dgm:pt>
    <dgm:pt modelId="{1ED2A612-53B6-4D72-BBF4-A56447363490}" type="pres">
      <dgm:prSet presAssocID="{499AE70F-1C86-4B2F-B935-76D349913369}" presName="sp" presStyleCnt="0"/>
      <dgm:spPr/>
    </dgm:pt>
    <dgm:pt modelId="{17A41DA4-8062-433D-831E-08196A28DFE9}" type="pres">
      <dgm:prSet presAssocID="{E3706DB6-9915-4A06-A385-2936E4E4CF5B}" presName="composite" presStyleCnt="0"/>
      <dgm:spPr/>
    </dgm:pt>
    <dgm:pt modelId="{DFF501C2-F973-4D0F-8182-4B59A2E18133}" type="pres">
      <dgm:prSet presAssocID="{E3706DB6-9915-4A06-A385-2936E4E4CF5B}" presName="parentText" presStyleLbl="alignNode1" presStyleIdx="5" presStyleCnt="13">
        <dgm:presLayoutVars>
          <dgm:chMax val="1"/>
          <dgm:bulletEnabled val="1"/>
        </dgm:presLayoutVars>
      </dgm:prSet>
      <dgm:spPr>
        <a:prstGeom prst="chevron">
          <a:avLst/>
        </a:prstGeom>
      </dgm:spPr>
      <dgm:t>
        <a:bodyPr/>
        <a:lstStyle/>
        <a:p>
          <a:endParaRPr lang="en-US"/>
        </a:p>
      </dgm:t>
    </dgm:pt>
    <dgm:pt modelId="{687F1159-9BCF-4CB0-B121-24AAE1449BC0}" type="pres">
      <dgm:prSet presAssocID="{E3706DB6-9915-4A06-A385-2936E4E4CF5B}" presName="descendantText" presStyleLbl="alignAcc1" presStyleIdx="5" presStyleCnt="13" custScaleX="98296" custScaleY="106997">
        <dgm:presLayoutVars>
          <dgm:bulletEnabled val="1"/>
        </dgm:presLayoutVars>
      </dgm:prSet>
      <dgm:spPr>
        <a:prstGeom prst="round2SameRect">
          <a:avLst/>
        </a:prstGeom>
      </dgm:spPr>
      <dgm:t>
        <a:bodyPr/>
        <a:lstStyle/>
        <a:p>
          <a:endParaRPr lang="en-US"/>
        </a:p>
      </dgm:t>
    </dgm:pt>
    <dgm:pt modelId="{54D5CB49-E3FD-4D8B-B629-8584391C8F1C}" type="pres">
      <dgm:prSet presAssocID="{BE039C6E-2B17-4F2E-B72B-AE6BF0D9EAB5}" presName="sp" presStyleCnt="0"/>
      <dgm:spPr/>
    </dgm:pt>
    <dgm:pt modelId="{90FE7D98-D8CD-4226-8EFF-88051CDD5B4C}" type="pres">
      <dgm:prSet presAssocID="{97AE7748-4F74-4A5A-912A-3561246FDDAA}" presName="composite" presStyleCnt="0"/>
      <dgm:spPr/>
    </dgm:pt>
    <dgm:pt modelId="{DB86B60E-7A76-4121-AEA3-ABE6B2B5B4EF}" type="pres">
      <dgm:prSet presAssocID="{97AE7748-4F74-4A5A-912A-3561246FDDAA}" presName="parentText" presStyleLbl="alignNode1" presStyleIdx="6" presStyleCnt="13">
        <dgm:presLayoutVars>
          <dgm:chMax val="1"/>
          <dgm:bulletEnabled val="1"/>
        </dgm:presLayoutVars>
      </dgm:prSet>
      <dgm:spPr>
        <a:prstGeom prst="chevron">
          <a:avLst/>
        </a:prstGeom>
      </dgm:spPr>
      <dgm:t>
        <a:bodyPr/>
        <a:lstStyle/>
        <a:p>
          <a:endParaRPr lang="en-US"/>
        </a:p>
      </dgm:t>
    </dgm:pt>
    <dgm:pt modelId="{6455F6B6-9F17-4F3D-BF7E-644A64AF75CB}" type="pres">
      <dgm:prSet presAssocID="{97AE7748-4F74-4A5A-912A-3561246FDDAA}" presName="descendantText" presStyleLbl="alignAcc1" presStyleIdx="6" presStyleCnt="13">
        <dgm:presLayoutVars>
          <dgm:bulletEnabled val="1"/>
        </dgm:presLayoutVars>
      </dgm:prSet>
      <dgm:spPr>
        <a:prstGeom prst="round2SameRect">
          <a:avLst/>
        </a:prstGeom>
      </dgm:spPr>
      <dgm:t>
        <a:bodyPr/>
        <a:lstStyle/>
        <a:p>
          <a:endParaRPr lang="en-US"/>
        </a:p>
      </dgm:t>
    </dgm:pt>
    <dgm:pt modelId="{B0CA6E4F-B898-451E-B0DE-A41C8DD29F45}" type="pres">
      <dgm:prSet presAssocID="{810CD9A8-4795-44FA-838E-9114EC4AACF9}" presName="sp" presStyleCnt="0"/>
      <dgm:spPr/>
    </dgm:pt>
    <dgm:pt modelId="{1D37A01B-08B6-47AB-BAF0-B7C843C686B9}" type="pres">
      <dgm:prSet presAssocID="{13823A2E-E7EE-4318-AA08-EB67FF193614}" presName="composite" presStyleCnt="0"/>
      <dgm:spPr/>
    </dgm:pt>
    <dgm:pt modelId="{137B3C28-1399-4796-92F1-4DA73D3E7C25}" type="pres">
      <dgm:prSet presAssocID="{13823A2E-E7EE-4318-AA08-EB67FF193614}" presName="parentText" presStyleLbl="alignNode1" presStyleIdx="7" presStyleCnt="13">
        <dgm:presLayoutVars>
          <dgm:chMax val="1"/>
          <dgm:bulletEnabled val="1"/>
        </dgm:presLayoutVars>
      </dgm:prSet>
      <dgm:spPr>
        <a:prstGeom prst="chevron">
          <a:avLst/>
        </a:prstGeom>
      </dgm:spPr>
      <dgm:t>
        <a:bodyPr/>
        <a:lstStyle/>
        <a:p>
          <a:endParaRPr lang="en-US"/>
        </a:p>
      </dgm:t>
    </dgm:pt>
    <dgm:pt modelId="{569AD216-58FE-4509-AD23-BB23B27A060C}" type="pres">
      <dgm:prSet presAssocID="{13823A2E-E7EE-4318-AA08-EB67FF193614}" presName="descendantText" presStyleLbl="alignAcc1" presStyleIdx="7" presStyleCnt="13">
        <dgm:presLayoutVars>
          <dgm:bulletEnabled val="1"/>
        </dgm:presLayoutVars>
      </dgm:prSet>
      <dgm:spPr>
        <a:prstGeom prst="round2SameRect">
          <a:avLst/>
        </a:prstGeom>
      </dgm:spPr>
      <dgm:t>
        <a:bodyPr/>
        <a:lstStyle/>
        <a:p>
          <a:endParaRPr lang="en-US"/>
        </a:p>
      </dgm:t>
    </dgm:pt>
    <dgm:pt modelId="{3545F3FA-921E-4167-BB16-A0BA352C4D71}" type="pres">
      <dgm:prSet presAssocID="{8833960E-10A6-4C82-9D8E-5B571A8DB419}" presName="sp" presStyleCnt="0"/>
      <dgm:spPr/>
    </dgm:pt>
    <dgm:pt modelId="{C0ABA4A3-9F4F-44E2-AF8F-B0B4497FFC5B}" type="pres">
      <dgm:prSet presAssocID="{8957D6A8-9CAB-4965-8EE5-D04B8E740E0F}" presName="composite" presStyleCnt="0"/>
      <dgm:spPr/>
    </dgm:pt>
    <dgm:pt modelId="{0574EBBA-9929-4118-B7CE-62A36CA8E70C}" type="pres">
      <dgm:prSet presAssocID="{8957D6A8-9CAB-4965-8EE5-D04B8E740E0F}" presName="parentText" presStyleLbl="alignNode1" presStyleIdx="8" presStyleCnt="13">
        <dgm:presLayoutVars>
          <dgm:chMax val="1"/>
          <dgm:bulletEnabled val="1"/>
        </dgm:presLayoutVars>
      </dgm:prSet>
      <dgm:spPr>
        <a:prstGeom prst="chevron">
          <a:avLst/>
        </a:prstGeom>
      </dgm:spPr>
      <dgm:t>
        <a:bodyPr/>
        <a:lstStyle/>
        <a:p>
          <a:endParaRPr lang="en-US"/>
        </a:p>
      </dgm:t>
    </dgm:pt>
    <dgm:pt modelId="{1E2BAB2D-A7CB-480F-94C5-C089B56F08CE}" type="pres">
      <dgm:prSet presAssocID="{8957D6A8-9CAB-4965-8EE5-D04B8E740E0F}" presName="descendantText" presStyleLbl="alignAcc1" presStyleIdx="8" presStyleCnt="13">
        <dgm:presLayoutVars>
          <dgm:bulletEnabled val="1"/>
        </dgm:presLayoutVars>
      </dgm:prSet>
      <dgm:spPr>
        <a:prstGeom prst="round2SameRect">
          <a:avLst/>
        </a:prstGeom>
      </dgm:spPr>
      <dgm:t>
        <a:bodyPr/>
        <a:lstStyle/>
        <a:p>
          <a:endParaRPr lang="en-US"/>
        </a:p>
      </dgm:t>
    </dgm:pt>
    <dgm:pt modelId="{2408E0C8-28B3-4CCB-A63C-6B68CB255035}" type="pres">
      <dgm:prSet presAssocID="{8D712AB5-75BB-4AC6-B0FC-AC0518522A1C}" presName="sp" presStyleCnt="0"/>
      <dgm:spPr/>
    </dgm:pt>
    <dgm:pt modelId="{A47D5A22-0A10-4B35-82B1-29AF341586BD}" type="pres">
      <dgm:prSet presAssocID="{9A8F75C1-EAC4-47B8-86D9-BFD301902AD7}" presName="composite" presStyleCnt="0"/>
      <dgm:spPr/>
    </dgm:pt>
    <dgm:pt modelId="{A3CF88AF-A4D9-486D-BC6A-ABC9772053E9}" type="pres">
      <dgm:prSet presAssocID="{9A8F75C1-EAC4-47B8-86D9-BFD301902AD7}" presName="parentText" presStyleLbl="alignNode1" presStyleIdx="9" presStyleCnt="13">
        <dgm:presLayoutVars>
          <dgm:chMax val="1"/>
          <dgm:bulletEnabled val="1"/>
        </dgm:presLayoutVars>
      </dgm:prSet>
      <dgm:spPr>
        <a:prstGeom prst="chevron">
          <a:avLst/>
        </a:prstGeom>
      </dgm:spPr>
      <dgm:t>
        <a:bodyPr/>
        <a:lstStyle/>
        <a:p>
          <a:endParaRPr lang="en-US"/>
        </a:p>
      </dgm:t>
    </dgm:pt>
    <dgm:pt modelId="{12F56F55-6EB3-4CF0-9C73-49484206F9D8}" type="pres">
      <dgm:prSet presAssocID="{9A8F75C1-EAC4-47B8-86D9-BFD301902AD7}" presName="descendantText" presStyleLbl="alignAcc1" presStyleIdx="9" presStyleCnt="13">
        <dgm:presLayoutVars>
          <dgm:bulletEnabled val="1"/>
        </dgm:presLayoutVars>
      </dgm:prSet>
      <dgm:spPr>
        <a:prstGeom prst="round2SameRect">
          <a:avLst/>
        </a:prstGeom>
      </dgm:spPr>
      <dgm:t>
        <a:bodyPr/>
        <a:lstStyle/>
        <a:p>
          <a:endParaRPr lang="en-US"/>
        </a:p>
      </dgm:t>
    </dgm:pt>
    <dgm:pt modelId="{3AC3D2A2-4FB1-4D48-954C-9BC999FC834F}" type="pres">
      <dgm:prSet presAssocID="{9C1CEEBC-F16A-420C-A8C1-300B3B5615CA}" presName="sp" presStyleCnt="0"/>
      <dgm:spPr/>
    </dgm:pt>
    <dgm:pt modelId="{9D8F18A7-9958-47D5-9219-2069931A1B2C}" type="pres">
      <dgm:prSet presAssocID="{9F2ED8FE-9985-4726-81A4-3CF2E3C5ABE5}" presName="composite" presStyleCnt="0"/>
      <dgm:spPr/>
    </dgm:pt>
    <dgm:pt modelId="{1DB86A8F-73BB-4AAD-B365-F1307ABFCA7A}" type="pres">
      <dgm:prSet presAssocID="{9F2ED8FE-9985-4726-81A4-3CF2E3C5ABE5}" presName="parentText" presStyleLbl="alignNode1" presStyleIdx="10" presStyleCnt="13">
        <dgm:presLayoutVars>
          <dgm:chMax val="1"/>
          <dgm:bulletEnabled val="1"/>
        </dgm:presLayoutVars>
      </dgm:prSet>
      <dgm:spPr>
        <a:prstGeom prst="chevron">
          <a:avLst/>
        </a:prstGeom>
      </dgm:spPr>
      <dgm:t>
        <a:bodyPr/>
        <a:lstStyle/>
        <a:p>
          <a:endParaRPr lang="en-US"/>
        </a:p>
      </dgm:t>
    </dgm:pt>
    <dgm:pt modelId="{D078A783-689F-42AF-8FB3-912537C93781}" type="pres">
      <dgm:prSet presAssocID="{9F2ED8FE-9985-4726-81A4-3CF2E3C5ABE5}" presName="descendantText" presStyleLbl="alignAcc1" presStyleIdx="10" presStyleCnt="13">
        <dgm:presLayoutVars>
          <dgm:bulletEnabled val="1"/>
        </dgm:presLayoutVars>
      </dgm:prSet>
      <dgm:spPr>
        <a:prstGeom prst="round2SameRect">
          <a:avLst/>
        </a:prstGeom>
      </dgm:spPr>
      <dgm:t>
        <a:bodyPr/>
        <a:lstStyle/>
        <a:p>
          <a:endParaRPr lang="en-US"/>
        </a:p>
      </dgm:t>
    </dgm:pt>
    <dgm:pt modelId="{9821B5A6-FDCC-42AE-97B1-08407A9A7E25}" type="pres">
      <dgm:prSet presAssocID="{034C8929-917A-48D0-BCC8-B30EE0795949}" presName="sp" presStyleCnt="0"/>
      <dgm:spPr/>
    </dgm:pt>
    <dgm:pt modelId="{C46E1B35-D4EE-4442-B51A-C3DA8ACADFC7}" type="pres">
      <dgm:prSet presAssocID="{D4AE3759-6C18-4245-B001-945F4F9E9142}" presName="composite" presStyleCnt="0"/>
      <dgm:spPr/>
    </dgm:pt>
    <dgm:pt modelId="{CDF9A143-B535-4CF2-934A-08B805BEEDD9}" type="pres">
      <dgm:prSet presAssocID="{D4AE3759-6C18-4245-B001-945F4F9E9142}" presName="parentText" presStyleLbl="alignNode1" presStyleIdx="11" presStyleCnt="13">
        <dgm:presLayoutVars>
          <dgm:chMax val="1"/>
          <dgm:bulletEnabled val="1"/>
        </dgm:presLayoutVars>
      </dgm:prSet>
      <dgm:spPr>
        <a:prstGeom prst="chevron">
          <a:avLst/>
        </a:prstGeom>
      </dgm:spPr>
      <dgm:t>
        <a:bodyPr/>
        <a:lstStyle/>
        <a:p>
          <a:endParaRPr lang="en-US"/>
        </a:p>
      </dgm:t>
    </dgm:pt>
    <dgm:pt modelId="{4EC7D9D2-4F3F-41AD-A49F-F35C7543AF90}" type="pres">
      <dgm:prSet presAssocID="{D4AE3759-6C18-4245-B001-945F4F9E9142}" presName="descendantText" presStyleLbl="alignAcc1" presStyleIdx="11" presStyleCnt="13">
        <dgm:presLayoutVars>
          <dgm:bulletEnabled val="1"/>
        </dgm:presLayoutVars>
      </dgm:prSet>
      <dgm:spPr>
        <a:prstGeom prst="round2SameRect">
          <a:avLst/>
        </a:prstGeom>
      </dgm:spPr>
      <dgm:t>
        <a:bodyPr/>
        <a:lstStyle/>
        <a:p>
          <a:endParaRPr lang="en-US"/>
        </a:p>
      </dgm:t>
    </dgm:pt>
    <dgm:pt modelId="{4F438FA0-3A78-47BF-A2E8-7354DFDF7E66}" type="pres">
      <dgm:prSet presAssocID="{06856A61-7CD5-42E5-AB0B-0F3CC9E28F1B}" presName="sp" presStyleCnt="0"/>
      <dgm:spPr/>
    </dgm:pt>
    <dgm:pt modelId="{E137627A-4A54-4323-8DFA-FFE0EA9D77C3}" type="pres">
      <dgm:prSet presAssocID="{9FD95FE1-D889-4E59-880B-3FFBBB429D8D}" presName="composite" presStyleCnt="0"/>
      <dgm:spPr/>
    </dgm:pt>
    <dgm:pt modelId="{7FC38286-01DF-4C5F-9135-320AE939B5E8}" type="pres">
      <dgm:prSet presAssocID="{9FD95FE1-D889-4E59-880B-3FFBBB429D8D}" presName="parentText" presStyleLbl="alignNode1" presStyleIdx="12" presStyleCnt="13">
        <dgm:presLayoutVars>
          <dgm:chMax val="1"/>
          <dgm:bulletEnabled val="1"/>
        </dgm:presLayoutVars>
      </dgm:prSet>
      <dgm:spPr>
        <a:prstGeom prst="chevron">
          <a:avLst/>
        </a:prstGeom>
      </dgm:spPr>
      <dgm:t>
        <a:bodyPr/>
        <a:lstStyle/>
        <a:p>
          <a:endParaRPr lang="en-US"/>
        </a:p>
      </dgm:t>
    </dgm:pt>
    <dgm:pt modelId="{1BF55025-7862-4A6A-A4E8-7650D1007729}" type="pres">
      <dgm:prSet presAssocID="{9FD95FE1-D889-4E59-880B-3FFBBB429D8D}" presName="descendantText" presStyleLbl="alignAcc1" presStyleIdx="12" presStyleCnt="13" custLinFactNeighborX="1" custLinFactNeighborY="-5208">
        <dgm:presLayoutVars>
          <dgm:bulletEnabled val="1"/>
        </dgm:presLayoutVars>
      </dgm:prSet>
      <dgm:spPr>
        <a:prstGeom prst="round2SameRect">
          <a:avLst/>
        </a:prstGeom>
      </dgm:spPr>
      <dgm:t>
        <a:bodyPr/>
        <a:lstStyle/>
        <a:p>
          <a:endParaRPr lang="en-US"/>
        </a:p>
      </dgm:t>
    </dgm:pt>
  </dgm:ptLst>
  <dgm:cxnLst>
    <dgm:cxn modelId="{BB3FA088-E012-43C9-A3A6-E9358244044E}" type="presOf" srcId="{9F2ED8FE-9985-4726-81A4-3CF2E3C5ABE5}" destId="{1DB86A8F-73BB-4AAD-B365-F1307ABFCA7A}" srcOrd="0" destOrd="0" presId="urn:microsoft.com/office/officeart/2005/8/layout/chevron2"/>
    <dgm:cxn modelId="{2C38C2BB-FAD2-428E-8B8A-5C3A9355E184}" type="presOf" srcId="{19814185-69C4-481E-9981-680EBC864CE1}" destId="{ECC1EAF7-3D5F-4F69-BB26-C0CDE5C25866}" srcOrd="0" destOrd="0" presId="urn:microsoft.com/office/officeart/2005/8/layout/chevron2"/>
    <dgm:cxn modelId="{57E94FA2-17C2-488C-89DA-744CB990B391}" type="presOf" srcId="{13823A2E-E7EE-4318-AA08-EB67FF193614}" destId="{137B3C28-1399-4796-92F1-4DA73D3E7C25}" srcOrd="0" destOrd="0" presId="urn:microsoft.com/office/officeart/2005/8/layout/chevron2"/>
    <dgm:cxn modelId="{6A1ED06D-F208-4B84-A01A-2ABF60FF4DD0}" srcId="{B93F7421-56C7-4838-A2BC-EC19E58B0C9D}" destId="{9F2ED8FE-9985-4726-81A4-3CF2E3C5ABE5}" srcOrd="10" destOrd="0" parTransId="{5781EA54-89E4-45F5-96CC-585D9EF10035}" sibTransId="{034C8929-917A-48D0-BCC8-B30EE0795949}"/>
    <dgm:cxn modelId="{3DF3BF32-1A48-41F8-925E-6F4C968E281D}" type="presOf" srcId="{8957D6A8-9CAB-4965-8EE5-D04B8E740E0F}" destId="{0574EBBA-9929-4118-B7CE-62A36CA8E70C}" srcOrd="0" destOrd="0" presId="urn:microsoft.com/office/officeart/2005/8/layout/chevron2"/>
    <dgm:cxn modelId="{3A69AC59-BA89-4F4D-AC99-D741B1222DF6}" srcId="{B93F7421-56C7-4838-A2BC-EC19E58B0C9D}" destId="{9FD95FE1-D889-4E59-880B-3FFBBB429D8D}" srcOrd="12" destOrd="0" parTransId="{D1BD80D6-FDE4-4C30-80E0-AC080D937FD4}" sibTransId="{7AB82977-CCAA-455A-BA93-E3F15D761143}"/>
    <dgm:cxn modelId="{F326444D-F326-414C-AAEA-0AA7AD992E93}" type="presOf" srcId="{28096FC4-949A-4CA6-A395-6A6ADC14CEFB}" destId="{E94C0AA8-26AF-448A-A26E-5923F2965E6C}" srcOrd="0" destOrd="0" presId="urn:microsoft.com/office/officeart/2005/8/layout/chevron2"/>
    <dgm:cxn modelId="{9774DBD7-F3A3-4FC2-B049-1068A3D57FDD}" srcId="{8957D6A8-9CAB-4965-8EE5-D04B8E740E0F}" destId="{5FBEC694-6D72-45FC-B844-BB1ABCC17AAD}" srcOrd="0" destOrd="0" parTransId="{8D60C053-0B6B-430F-A355-1264F908C67E}" sibTransId="{3D9BA8DA-F04E-49DB-891B-965E53F473D7}"/>
    <dgm:cxn modelId="{9156B13C-A8D0-4D1C-9847-C01022FDB9A5}" srcId="{9F2ED8FE-9985-4726-81A4-3CF2E3C5ABE5}" destId="{E521C599-7A6B-4922-ACD6-DF103F00755B}" srcOrd="0" destOrd="0" parTransId="{E5A2C3E3-FA8F-4D7A-A7A1-37D6522777D3}" sibTransId="{5A2EF855-A1CA-4257-971D-51A6636B04B1}"/>
    <dgm:cxn modelId="{E4E15F19-9348-4DBB-AC4B-289FD71C475B}" srcId="{B93F7421-56C7-4838-A2BC-EC19E58B0C9D}" destId="{D4AE3759-6C18-4245-B001-945F4F9E9142}" srcOrd="11" destOrd="0" parTransId="{592B52F5-66D1-4B3B-884D-CC8C247F81D3}" sibTransId="{06856A61-7CD5-42E5-AB0B-0F3CC9E28F1B}"/>
    <dgm:cxn modelId="{B884723B-FA16-4280-A379-28727CA3E7EB}" type="presOf" srcId="{88304025-6AFD-4EEC-A28D-4729C6486C59}" destId="{569AD216-58FE-4509-AD23-BB23B27A060C}" srcOrd="0" destOrd="0" presId="urn:microsoft.com/office/officeart/2005/8/layout/chevron2"/>
    <dgm:cxn modelId="{594B4262-39A6-4D8C-96AA-F736E5F904E0}" type="presOf" srcId="{DDE409BB-4180-4071-B379-6706BD873999}" destId="{B0995E04-3C20-4CAD-A59C-B4E45B151ED7}" srcOrd="0" destOrd="0" presId="urn:microsoft.com/office/officeart/2005/8/layout/chevron2"/>
    <dgm:cxn modelId="{3B3B78A0-6B3D-426B-B1FB-FD9CF2950EBB}" type="presOf" srcId="{069A5020-BC0B-4B85-AF4A-495466A8FB05}" destId="{4EC7D9D2-4F3F-41AD-A49F-F35C7543AF90}" srcOrd="0" destOrd="0" presId="urn:microsoft.com/office/officeart/2005/8/layout/chevron2"/>
    <dgm:cxn modelId="{AC298E81-48E0-4028-9B14-3526F2B35573}" srcId="{B93F7421-56C7-4838-A2BC-EC19E58B0C9D}" destId="{8957D6A8-9CAB-4965-8EE5-D04B8E740E0F}" srcOrd="8" destOrd="0" parTransId="{3530EE01-BE32-4581-B32E-A9585E67F11B}" sibTransId="{8D712AB5-75BB-4AC6-B0FC-AC0518522A1C}"/>
    <dgm:cxn modelId="{5FC5B995-B046-4912-A643-505D1CBEA845}" type="presOf" srcId="{5FBEC694-6D72-45FC-B844-BB1ABCC17AAD}" destId="{1E2BAB2D-A7CB-480F-94C5-C089B56F08CE}" srcOrd="0" destOrd="0" presId="urn:microsoft.com/office/officeart/2005/8/layout/chevron2"/>
    <dgm:cxn modelId="{DC25BAEE-D5B1-48DB-BA04-544E04856D8D}" type="presOf" srcId="{4F14CE12-E91E-4249-B336-FFA48CC52430}" destId="{5544BC65-4267-4BC8-9E7C-EC475C046460}" srcOrd="0" destOrd="0" presId="urn:microsoft.com/office/officeart/2005/8/layout/chevron2"/>
    <dgm:cxn modelId="{9C8754BA-DC4C-45B8-9EC9-4CD3E9B94421}" srcId="{28096FC4-949A-4CA6-A395-6A6ADC14CEFB}" destId="{DDE409BB-4180-4071-B379-6706BD873999}" srcOrd="0" destOrd="0" parTransId="{7DE82400-09E0-4433-8701-419F664541A6}" sibTransId="{F3378376-7C2C-4008-84EB-CDE20E78DC6E}"/>
    <dgm:cxn modelId="{AE9DC9EA-BD50-4936-86B4-7DCF216AEAB3}" type="presOf" srcId="{4DDCC443-8294-44A5-82A8-D40A8B14A149}" destId="{6455F6B6-9F17-4F3D-BF7E-644A64AF75CB}" srcOrd="0" destOrd="0" presId="urn:microsoft.com/office/officeart/2005/8/layout/chevron2"/>
    <dgm:cxn modelId="{14559DC7-E7C6-4D5C-B2D7-71143230EC99}" srcId="{4F14CE12-E91E-4249-B336-FFA48CC52430}" destId="{B8B0C007-60A8-43C3-A7CD-A7ADDB217D70}" srcOrd="0" destOrd="0" parTransId="{C9118355-3411-4473-9A0B-560EBFFA7EC1}" sibTransId="{642F7A0D-2606-44B6-9CA4-09D06E4C0015}"/>
    <dgm:cxn modelId="{4114DAB8-8B1D-49D7-A6BB-65A3D29E1B0A}" srcId="{D4AE3759-6C18-4245-B001-945F4F9E9142}" destId="{069A5020-BC0B-4B85-AF4A-495466A8FB05}" srcOrd="0" destOrd="0" parTransId="{9F773CFC-6D56-4D53-80E5-56780B1754FF}" sibTransId="{72C8B128-B6E8-4F28-8329-DF3F83175C39}"/>
    <dgm:cxn modelId="{0F931180-9927-4225-9FEA-7F681D289812}" srcId="{13823A2E-E7EE-4318-AA08-EB67FF193614}" destId="{88304025-6AFD-4EEC-A28D-4729C6486C59}" srcOrd="0" destOrd="0" parTransId="{CD14B492-D753-4CB9-9144-901C0DCB6EA7}" sibTransId="{95BF6C5B-C097-463B-B135-3FB3665984FA}"/>
    <dgm:cxn modelId="{861BB625-50BC-4DA9-8D60-1C1DE7B33D4B}" srcId="{B93F7421-56C7-4838-A2BC-EC19E58B0C9D}" destId="{E3706DB6-9915-4A06-A385-2936E4E4CF5B}" srcOrd="5" destOrd="0" parTransId="{987DB11E-0B71-45D4-B2C4-9C55CDDDFA62}" sibTransId="{BE039C6E-2B17-4F2E-B72B-AE6BF0D9EAB5}"/>
    <dgm:cxn modelId="{50FBF5F0-54BE-4129-A32E-3F46E4071A05}" srcId="{9FD95FE1-D889-4E59-880B-3FFBBB429D8D}" destId="{E0EEAD50-074A-4857-A6B8-E10CD7240CF2}" srcOrd="0" destOrd="0" parTransId="{30001261-22A8-4B47-9A3D-B05C2578A74A}" sibTransId="{4B4924C3-F0E8-4E0D-9C56-B72D30BC248E}"/>
    <dgm:cxn modelId="{CE830744-7FEC-4231-B7BA-487F1249920E}" srcId="{7E49EF31-4FA9-49D0-8DBE-6CF75FBE0271}" destId="{5033C56E-1EE1-4DC5-AF51-DAEA170A3CC2}" srcOrd="0" destOrd="0" parTransId="{5981F8F6-C424-479C-8C4D-7990C94F03D9}" sibTransId="{70B1E205-B7C7-437B-B6C7-2CF071149716}"/>
    <dgm:cxn modelId="{1B37D5B1-3BEA-4185-B224-7EF700DF7D21}" type="presOf" srcId="{B8B0C007-60A8-43C3-A7CD-A7ADDB217D70}" destId="{0AF8CBF6-BB21-4A69-9956-8BC4EFCFA71C}" srcOrd="0" destOrd="0" presId="urn:microsoft.com/office/officeart/2005/8/layout/chevron2"/>
    <dgm:cxn modelId="{BD29FDBD-947D-43CA-997E-B2F19AFC273A}" type="presOf" srcId="{D4AE3759-6C18-4245-B001-945F4F9E9142}" destId="{CDF9A143-B535-4CF2-934A-08B805BEEDD9}" srcOrd="0" destOrd="0" presId="urn:microsoft.com/office/officeart/2005/8/layout/chevron2"/>
    <dgm:cxn modelId="{47CF520D-13D3-417E-8838-6EF0DFD63CB4}" type="presOf" srcId="{9FD95FE1-D889-4E59-880B-3FFBBB429D8D}" destId="{7FC38286-01DF-4C5F-9135-320AE939B5E8}" srcOrd="0" destOrd="0" presId="urn:microsoft.com/office/officeart/2005/8/layout/chevron2"/>
    <dgm:cxn modelId="{5341B37E-0EB4-4391-81C0-C03C69E15487}" srcId="{B93F7421-56C7-4838-A2BC-EC19E58B0C9D}" destId="{13823A2E-E7EE-4318-AA08-EB67FF193614}" srcOrd="7" destOrd="0" parTransId="{F2172E88-A518-43D8-917E-0952621FAFE2}" sibTransId="{8833960E-10A6-4C82-9D8E-5B571A8DB419}"/>
    <dgm:cxn modelId="{654EF570-C7D7-4656-B9BE-825F6E25EDC1}" type="presOf" srcId="{E0EEAD50-074A-4857-A6B8-E10CD7240CF2}" destId="{1BF55025-7862-4A6A-A4E8-7650D1007729}" srcOrd="0" destOrd="0" presId="urn:microsoft.com/office/officeart/2005/8/layout/chevron2"/>
    <dgm:cxn modelId="{CFF01E67-2369-4BB6-B5B8-64377CA97234}" type="presOf" srcId="{B93F7421-56C7-4838-A2BC-EC19E58B0C9D}" destId="{1A73EC0D-FB3F-4754-A01A-E4B3F209135B}" srcOrd="0" destOrd="0" presId="urn:microsoft.com/office/officeart/2005/8/layout/chevron2"/>
    <dgm:cxn modelId="{AE083BE2-77FA-4A4C-8BCF-2D3EE0481FA5}" srcId="{9A8F75C1-EAC4-47B8-86D9-BFD301902AD7}" destId="{BC9716C1-4B76-4970-AB68-0E624081DA77}" srcOrd="0" destOrd="0" parTransId="{653852DB-A8A1-439D-BB18-23A554868E59}" sibTransId="{FE030A7B-D6C6-4B1F-9FBC-C7472E808709}"/>
    <dgm:cxn modelId="{28EB9D6D-6115-4448-B97A-3A8CAB748701}" srcId="{19814185-69C4-481E-9981-680EBC864CE1}" destId="{F7073F08-6019-4709-99BA-7CC0BFE90C7F}" srcOrd="0" destOrd="0" parTransId="{5466D1AA-DDE3-482D-8BBD-7DF668B3E18F}" sibTransId="{C8DE9BD1-B0CE-4214-ACF6-798080E2EF22}"/>
    <dgm:cxn modelId="{89424C3D-C5F8-4ABF-A5F8-7AF544C9F503}" srcId="{F671849F-61F1-48C5-B2B3-9967349B90F2}" destId="{AB4187B3-E39B-40A6-9952-8892B4E5DAF1}" srcOrd="0" destOrd="0" parTransId="{1B644A3A-103D-4758-B13B-DB131394563B}" sibTransId="{9B41B4BF-41E6-41CA-8515-BB5C8C8D6735}"/>
    <dgm:cxn modelId="{10F9A411-31E8-4179-A082-88B0B20AB077}" type="presOf" srcId="{F671849F-61F1-48C5-B2B3-9967349B90F2}" destId="{95DF6846-B9AD-4F6A-B310-5A5E3CD70D42}" srcOrd="0" destOrd="0" presId="urn:microsoft.com/office/officeart/2005/8/layout/chevron2"/>
    <dgm:cxn modelId="{C8E2929E-F004-40FE-BFBB-7846F7780C60}" type="presOf" srcId="{7E49EF31-4FA9-49D0-8DBE-6CF75FBE0271}" destId="{1B430139-ABED-4C68-A126-E9E0CACF3D40}" srcOrd="0" destOrd="0" presId="urn:microsoft.com/office/officeart/2005/8/layout/chevron2"/>
    <dgm:cxn modelId="{1136DF2D-208C-484D-B28E-5FCA9D4DB10D}" type="presOf" srcId="{C9DA3208-4FD1-4C84-9F16-AD101DD1E569}" destId="{687F1159-9BCF-4CB0-B121-24AAE1449BC0}" srcOrd="0" destOrd="0" presId="urn:microsoft.com/office/officeart/2005/8/layout/chevron2"/>
    <dgm:cxn modelId="{CDDB22A3-95DA-46C7-9531-CD2F533F7DDE}" type="presOf" srcId="{97AE7748-4F74-4A5A-912A-3561246FDDAA}" destId="{DB86B60E-7A76-4121-AEA3-ABE6B2B5B4EF}" srcOrd="0" destOrd="0" presId="urn:microsoft.com/office/officeart/2005/8/layout/chevron2"/>
    <dgm:cxn modelId="{5D5BD76B-B754-471C-9D2A-EA7E667074A5}" type="presOf" srcId="{E521C599-7A6B-4922-ACD6-DF103F00755B}" destId="{D078A783-689F-42AF-8FB3-912537C93781}" srcOrd="0" destOrd="0" presId="urn:microsoft.com/office/officeart/2005/8/layout/chevron2"/>
    <dgm:cxn modelId="{E82A4D02-D295-4EC4-8558-3B03011767C9}" srcId="{B93F7421-56C7-4838-A2BC-EC19E58B0C9D}" destId="{97AE7748-4F74-4A5A-912A-3561246FDDAA}" srcOrd="6" destOrd="0" parTransId="{82767AAB-EBF6-4253-B690-45AC24698427}" sibTransId="{810CD9A8-4795-44FA-838E-9114EC4AACF9}"/>
    <dgm:cxn modelId="{7C54F7DC-934D-4559-8FF7-7647241AF125}" type="presOf" srcId="{BC9716C1-4B76-4970-AB68-0E624081DA77}" destId="{12F56F55-6EB3-4CF0-9C73-49484206F9D8}" srcOrd="0" destOrd="0" presId="urn:microsoft.com/office/officeart/2005/8/layout/chevron2"/>
    <dgm:cxn modelId="{0930F9E0-4A40-4612-882B-00AA0C549C09}" type="presOf" srcId="{AB4187B3-E39B-40A6-9952-8892B4E5DAF1}" destId="{EC26E6DC-DBBD-4679-BEE5-999406CF0C41}" srcOrd="0" destOrd="0" presId="urn:microsoft.com/office/officeart/2005/8/layout/chevron2"/>
    <dgm:cxn modelId="{6D5F5BFF-D237-47C1-9F67-195F1A3AC6F7}" type="presOf" srcId="{9A8F75C1-EAC4-47B8-86D9-BFD301902AD7}" destId="{A3CF88AF-A4D9-486D-BC6A-ABC9772053E9}" srcOrd="0" destOrd="0" presId="urn:microsoft.com/office/officeart/2005/8/layout/chevron2"/>
    <dgm:cxn modelId="{23EF5F93-0294-4955-9A7B-95C37A0A00BB}" srcId="{97AE7748-4F74-4A5A-912A-3561246FDDAA}" destId="{4DDCC443-8294-44A5-82A8-D40A8B14A149}" srcOrd="0" destOrd="0" parTransId="{37B4888D-F17C-4C58-8D7B-66A98A3C65D5}" sibTransId="{9AC66053-E254-4AC2-AD14-77EED38C943F}"/>
    <dgm:cxn modelId="{1999FF74-2F5B-4274-AA88-3A99852A9551}" srcId="{B93F7421-56C7-4838-A2BC-EC19E58B0C9D}" destId="{28096FC4-949A-4CA6-A395-6A6ADC14CEFB}" srcOrd="1" destOrd="0" parTransId="{5FA1EFBF-A943-43B2-B86B-058281845954}" sibTransId="{F8FCDE1B-9FC6-4A67-A1E6-99E87EF6483C}"/>
    <dgm:cxn modelId="{3D87D482-DD28-4F80-88CB-1C6061953F12}" srcId="{B93F7421-56C7-4838-A2BC-EC19E58B0C9D}" destId="{7E49EF31-4FA9-49D0-8DBE-6CF75FBE0271}" srcOrd="0" destOrd="0" parTransId="{8EC0FC37-5D09-4382-BA8E-3E552EDB78A0}" sibTransId="{6EF9F1D7-DE00-4848-B090-8B88F245E0D5}"/>
    <dgm:cxn modelId="{E7384A44-3DF7-4B8C-85EE-7FF620BA535D}" srcId="{B93F7421-56C7-4838-A2BC-EC19E58B0C9D}" destId="{4F14CE12-E91E-4249-B336-FFA48CC52430}" srcOrd="4" destOrd="0" parTransId="{69ABAEF3-C75E-4C01-91EA-773000472432}" sibTransId="{499AE70F-1C86-4B2F-B935-76D349913369}"/>
    <dgm:cxn modelId="{EE8097BA-D328-4252-974B-760956D7F14D}" type="presOf" srcId="{5033C56E-1EE1-4DC5-AF51-DAEA170A3CC2}" destId="{FAF2AF55-A654-44F3-B92C-B6CA469148D2}" srcOrd="0" destOrd="0" presId="urn:microsoft.com/office/officeart/2005/8/layout/chevron2"/>
    <dgm:cxn modelId="{C28AC49D-BF61-406F-BF2F-933E7AF3DDA7}" srcId="{B93F7421-56C7-4838-A2BC-EC19E58B0C9D}" destId="{9A8F75C1-EAC4-47B8-86D9-BFD301902AD7}" srcOrd="9" destOrd="0" parTransId="{DD54E761-E577-4539-935A-ED8D7F646220}" sibTransId="{9C1CEEBC-F16A-420C-A8C1-300B3B5615CA}"/>
    <dgm:cxn modelId="{813EBB6D-D4D1-40B7-9930-7047C210BECE}" srcId="{B93F7421-56C7-4838-A2BC-EC19E58B0C9D}" destId="{19814185-69C4-481E-9981-680EBC864CE1}" srcOrd="2" destOrd="0" parTransId="{F493C23F-D10B-450B-B226-9D356B31D502}" sibTransId="{A787719E-6538-4AA1-9C72-8770F7FBCAFE}"/>
    <dgm:cxn modelId="{BF227717-014D-428F-B11E-151EF9498AF1}" type="presOf" srcId="{E3706DB6-9915-4A06-A385-2936E4E4CF5B}" destId="{DFF501C2-F973-4D0F-8182-4B59A2E18133}" srcOrd="0" destOrd="0" presId="urn:microsoft.com/office/officeart/2005/8/layout/chevron2"/>
    <dgm:cxn modelId="{25287F68-B7CD-4ED3-82BC-C26D9A947F42}" srcId="{E3706DB6-9915-4A06-A385-2936E4E4CF5B}" destId="{C9DA3208-4FD1-4C84-9F16-AD101DD1E569}" srcOrd="0" destOrd="0" parTransId="{D52C4041-AE58-47D7-8012-26BDAB6E258C}" sibTransId="{422498F4-EB0A-402E-86CA-A78B1EE2715E}"/>
    <dgm:cxn modelId="{102A22E9-93C3-4C5C-8C6E-73C926DD9BFC}" type="presOf" srcId="{F7073F08-6019-4709-99BA-7CC0BFE90C7F}" destId="{D6ED99AA-4082-44BC-8DCA-9752A290BB44}" srcOrd="0" destOrd="0" presId="urn:microsoft.com/office/officeart/2005/8/layout/chevron2"/>
    <dgm:cxn modelId="{4A649223-B9A4-455D-91FA-95148BE740D8}" srcId="{B93F7421-56C7-4838-A2BC-EC19E58B0C9D}" destId="{F671849F-61F1-48C5-B2B3-9967349B90F2}" srcOrd="3" destOrd="0" parTransId="{1719759C-7EB6-49FF-BD9E-79AB8CD6F25B}" sibTransId="{66E80941-0B8E-4521-B760-16567EEC6BBC}"/>
    <dgm:cxn modelId="{7ACE3A8B-DB20-47DE-9F62-A55B6CE7A0D7}" type="presParOf" srcId="{1A73EC0D-FB3F-4754-A01A-E4B3F209135B}" destId="{059064DD-3425-491E-8B4B-CDE2E28B9134}" srcOrd="0" destOrd="0" presId="urn:microsoft.com/office/officeart/2005/8/layout/chevron2"/>
    <dgm:cxn modelId="{B1D895F9-DFEB-4004-83F5-8D88DC9BCB68}" type="presParOf" srcId="{059064DD-3425-491E-8B4B-CDE2E28B9134}" destId="{1B430139-ABED-4C68-A126-E9E0CACF3D40}" srcOrd="0" destOrd="0" presId="urn:microsoft.com/office/officeart/2005/8/layout/chevron2"/>
    <dgm:cxn modelId="{1781FD48-37C3-44FB-BFA9-98FB172C64EB}" type="presParOf" srcId="{059064DD-3425-491E-8B4B-CDE2E28B9134}" destId="{FAF2AF55-A654-44F3-B92C-B6CA469148D2}" srcOrd="1" destOrd="0" presId="urn:microsoft.com/office/officeart/2005/8/layout/chevron2"/>
    <dgm:cxn modelId="{01EE44EE-E23C-4B6C-94D1-64A3AF41F1A6}" type="presParOf" srcId="{1A73EC0D-FB3F-4754-A01A-E4B3F209135B}" destId="{4BC551CA-B686-4611-84C4-41ACDA97188E}" srcOrd="1" destOrd="0" presId="urn:microsoft.com/office/officeart/2005/8/layout/chevron2"/>
    <dgm:cxn modelId="{A9E87491-8821-4102-AB1E-619FACE54D72}" type="presParOf" srcId="{1A73EC0D-FB3F-4754-A01A-E4B3F209135B}" destId="{AE0483F0-BD2D-4F30-91B7-B3AAEE09A280}" srcOrd="2" destOrd="0" presId="urn:microsoft.com/office/officeart/2005/8/layout/chevron2"/>
    <dgm:cxn modelId="{6BD95068-612A-470F-9ED2-81FBEDFE6E9B}" type="presParOf" srcId="{AE0483F0-BD2D-4F30-91B7-B3AAEE09A280}" destId="{E94C0AA8-26AF-448A-A26E-5923F2965E6C}" srcOrd="0" destOrd="0" presId="urn:microsoft.com/office/officeart/2005/8/layout/chevron2"/>
    <dgm:cxn modelId="{1BB5DEAA-4DED-459E-80A2-C79EC6DA7422}" type="presParOf" srcId="{AE0483F0-BD2D-4F30-91B7-B3AAEE09A280}" destId="{B0995E04-3C20-4CAD-A59C-B4E45B151ED7}" srcOrd="1" destOrd="0" presId="urn:microsoft.com/office/officeart/2005/8/layout/chevron2"/>
    <dgm:cxn modelId="{AEBB6142-A863-486E-9F23-58237EF487DF}" type="presParOf" srcId="{1A73EC0D-FB3F-4754-A01A-E4B3F209135B}" destId="{E6DEA24D-0BFB-4FED-BACF-B725CE26A723}" srcOrd="3" destOrd="0" presId="urn:microsoft.com/office/officeart/2005/8/layout/chevron2"/>
    <dgm:cxn modelId="{F279A1A0-A550-4893-ABB4-FE22ECB3ED0C}" type="presParOf" srcId="{1A73EC0D-FB3F-4754-A01A-E4B3F209135B}" destId="{E6B4D1FA-9751-4279-94E4-7C5EC5A4B2C2}" srcOrd="4" destOrd="0" presId="urn:microsoft.com/office/officeart/2005/8/layout/chevron2"/>
    <dgm:cxn modelId="{2CCAD77B-E592-4D0C-874B-9BA7A6C0D952}" type="presParOf" srcId="{E6B4D1FA-9751-4279-94E4-7C5EC5A4B2C2}" destId="{ECC1EAF7-3D5F-4F69-BB26-C0CDE5C25866}" srcOrd="0" destOrd="0" presId="urn:microsoft.com/office/officeart/2005/8/layout/chevron2"/>
    <dgm:cxn modelId="{B209BE36-E532-4078-B631-C1BCBDE6D1D6}" type="presParOf" srcId="{E6B4D1FA-9751-4279-94E4-7C5EC5A4B2C2}" destId="{D6ED99AA-4082-44BC-8DCA-9752A290BB44}" srcOrd="1" destOrd="0" presId="urn:microsoft.com/office/officeart/2005/8/layout/chevron2"/>
    <dgm:cxn modelId="{555D75F0-EAD3-4AC5-9E18-7E8B5AD4E5C4}" type="presParOf" srcId="{1A73EC0D-FB3F-4754-A01A-E4B3F209135B}" destId="{60309E38-8448-46DD-B587-905270857E2B}" srcOrd="5" destOrd="0" presId="urn:microsoft.com/office/officeart/2005/8/layout/chevron2"/>
    <dgm:cxn modelId="{EDFD3E67-3FB1-4B43-B7E2-4D000E64A76D}" type="presParOf" srcId="{1A73EC0D-FB3F-4754-A01A-E4B3F209135B}" destId="{52EB2A67-46A9-488C-87C9-51C328814CDC}" srcOrd="6" destOrd="0" presId="urn:microsoft.com/office/officeart/2005/8/layout/chevron2"/>
    <dgm:cxn modelId="{56918685-6F83-432B-8A47-DBAB3A3657CF}" type="presParOf" srcId="{52EB2A67-46A9-488C-87C9-51C328814CDC}" destId="{95DF6846-B9AD-4F6A-B310-5A5E3CD70D42}" srcOrd="0" destOrd="0" presId="urn:microsoft.com/office/officeart/2005/8/layout/chevron2"/>
    <dgm:cxn modelId="{EEEE623A-1662-46CE-BF69-B3E93BBD5717}" type="presParOf" srcId="{52EB2A67-46A9-488C-87C9-51C328814CDC}" destId="{EC26E6DC-DBBD-4679-BEE5-999406CF0C41}" srcOrd="1" destOrd="0" presId="urn:microsoft.com/office/officeart/2005/8/layout/chevron2"/>
    <dgm:cxn modelId="{ADA81865-41F0-4FC9-B8BA-E8EA5DF3F610}" type="presParOf" srcId="{1A73EC0D-FB3F-4754-A01A-E4B3F209135B}" destId="{0E9CB094-DEC6-4843-A77D-1B90BB06A585}" srcOrd="7" destOrd="0" presId="urn:microsoft.com/office/officeart/2005/8/layout/chevron2"/>
    <dgm:cxn modelId="{22F8B58E-8E4F-4E40-BA40-DAB5F1BF6004}" type="presParOf" srcId="{1A73EC0D-FB3F-4754-A01A-E4B3F209135B}" destId="{7B71C395-EC63-4D94-8D6A-918B773FC19A}" srcOrd="8" destOrd="0" presId="urn:microsoft.com/office/officeart/2005/8/layout/chevron2"/>
    <dgm:cxn modelId="{6B7523CD-BC8D-4938-90BA-5CD1D29407DB}" type="presParOf" srcId="{7B71C395-EC63-4D94-8D6A-918B773FC19A}" destId="{5544BC65-4267-4BC8-9E7C-EC475C046460}" srcOrd="0" destOrd="0" presId="urn:microsoft.com/office/officeart/2005/8/layout/chevron2"/>
    <dgm:cxn modelId="{AFBCC372-BB9F-4D55-832A-A48978F37AA0}" type="presParOf" srcId="{7B71C395-EC63-4D94-8D6A-918B773FC19A}" destId="{0AF8CBF6-BB21-4A69-9956-8BC4EFCFA71C}" srcOrd="1" destOrd="0" presId="urn:microsoft.com/office/officeart/2005/8/layout/chevron2"/>
    <dgm:cxn modelId="{E371407E-BD50-441D-ABBB-5925BF9E79AC}" type="presParOf" srcId="{1A73EC0D-FB3F-4754-A01A-E4B3F209135B}" destId="{1ED2A612-53B6-4D72-BBF4-A56447363490}" srcOrd="9" destOrd="0" presId="urn:microsoft.com/office/officeart/2005/8/layout/chevron2"/>
    <dgm:cxn modelId="{5692B57D-D9E2-4178-8998-000BF186F1DC}" type="presParOf" srcId="{1A73EC0D-FB3F-4754-A01A-E4B3F209135B}" destId="{17A41DA4-8062-433D-831E-08196A28DFE9}" srcOrd="10" destOrd="0" presId="urn:microsoft.com/office/officeart/2005/8/layout/chevron2"/>
    <dgm:cxn modelId="{4FC72E89-3A28-498F-967C-99766AAEE0C4}" type="presParOf" srcId="{17A41DA4-8062-433D-831E-08196A28DFE9}" destId="{DFF501C2-F973-4D0F-8182-4B59A2E18133}" srcOrd="0" destOrd="0" presId="urn:microsoft.com/office/officeart/2005/8/layout/chevron2"/>
    <dgm:cxn modelId="{A1B181D6-7E73-4470-A5B5-DD1789B4F4C9}" type="presParOf" srcId="{17A41DA4-8062-433D-831E-08196A28DFE9}" destId="{687F1159-9BCF-4CB0-B121-24AAE1449BC0}" srcOrd="1" destOrd="0" presId="urn:microsoft.com/office/officeart/2005/8/layout/chevron2"/>
    <dgm:cxn modelId="{BC81C646-64E9-4612-8483-DA47E2D3A534}" type="presParOf" srcId="{1A73EC0D-FB3F-4754-A01A-E4B3F209135B}" destId="{54D5CB49-E3FD-4D8B-B629-8584391C8F1C}" srcOrd="11" destOrd="0" presId="urn:microsoft.com/office/officeart/2005/8/layout/chevron2"/>
    <dgm:cxn modelId="{7BBE6764-9B50-4EB4-93DE-2E7F45F53A4C}" type="presParOf" srcId="{1A73EC0D-FB3F-4754-A01A-E4B3F209135B}" destId="{90FE7D98-D8CD-4226-8EFF-88051CDD5B4C}" srcOrd="12" destOrd="0" presId="urn:microsoft.com/office/officeart/2005/8/layout/chevron2"/>
    <dgm:cxn modelId="{E4FC8C48-122B-45C5-A46A-D8326C9D2ABE}" type="presParOf" srcId="{90FE7D98-D8CD-4226-8EFF-88051CDD5B4C}" destId="{DB86B60E-7A76-4121-AEA3-ABE6B2B5B4EF}" srcOrd="0" destOrd="0" presId="urn:microsoft.com/office/officeart/2005/8/layout/chevron2"/>
    <dgm:cxn modelId="{83E84C4B-130C-4402-B3DE-00E82A9E8124}" type="presParOf" srcId="{90FE7D98-D8CD-4226-8EFF-88051CDD5B4C}" destId="{6455F6B6-9F17-4F3D-BF7E-644A64AF75CB}" srcOrd="1" destOrd="0" presId="urn:microsoft.com/office/officeart/2005/8/layout/chevron2"/>
    <dgm:cxn modelId="{432A3106-FCEF-4633-AC9F-6102FBD7257D}" type="presParOf" srcId="{1A73EC0D-FB3F-4754-A01A-E4B3F209135B}" destId="{B0CA6E4F-B898-451E-B0DE-A41C8DD29F45}" srcOrd="13" destOrd="0" presId="urn:microsoft.com/office/officeart/2005/8/layout/chevron2"/>
    <dgm:cxn modelId="{52752EDD-7FCD-4DCC-BFFB-9CD3328F09E1}" type="presParOf" srcId="{1A73EC0D-FB3F-4754-A01A-E4B3F209135B}" destId="{1D37A01B-08B6-47AB-BAF0-B7C843C686B9}" srcOrd="14" destOrd="0" presId="urn:microsoft.com/office/officeart/2005/8/layout/chevron2"/>
    <dgm:cxn modelId="{A9734F7D-4593-4D29-BA95-6084C48EC9DE}" type="presParOf" srcId="{1D37A01B-08B6-47AB-BAF0-B7C843C686B9}" destId="{137B3C28-1399-4796-92F1-4DA73D3E7C25}" srcOrd="0" destOrd="0" presId="urn:microsoft.com/office/officeart/2005/8/layout/chevron2"/>
    <dgm:cxn modelId="{96A9A435-9B55-49A7-B285-B109E26ABE67}" type="presParOf" srcId="{1D37A01B-08B6-47AB-BAF0-B7C843C686B9}" destId="{569AD216-58FE-4509-AD23-BB23B27A060C}" srcOrd="1" destOrd="0" presId="urn:microsoft.com/office/officeart/2005/8/layout/chevron2"/>
    <dgm:cxn modelId="{8CE2FF7A-E481-4DF8-AD15-4605BE1C2F2B}" type="presParOf" srcId="{1A73EC0D-FB3F-4754-A01A-E4B3F209135B}" destId="{3545F3FA-921E-4167-BB16-A0BA352C4D71}" srcOrd="15" destOrd="0" presId="urn:microsoft.com/office/officeart/2005/8/layout/chevron2"/>
    <dgm:cxn modelId="{EAE4A2D5-ACA3-42C2-861D-917650ED5B6A}" type="presParOf" srcId="{1A73EC0D-FB3F-4754-A01A-E4B3F209135B}" destId="{C0ABA4A3-9F4F-44E2-AF8F-B0B4497FFC5B}" srcOrd="16" destOrd="0" presId="urn:microsoft.com/office/officeart/2005/8/layout/chevron2"/>
    <dgm:cxn modelId="{46167661-D569-44C9-B0FD-FF920708FDEF}" type="presParOf" srcId="{C0ABA4A3-9F4F-44E2-AF8F-B0B4497FFC5B}" destId="{0574EBBA-9929-4118-B7CE-62A36CA8E70C}" srcOrd="0" destOrd="0" presId="urn:microsoft.com/office/officeart/2005/8/layout/chevron2"/>
    <dgm:cxn modelId="{2E559812-F864-4F13-9A73-90D4BE0DE547}" type="presParOf" srcId="{C0ABA4A3-9F4F-44E2-AF8F-B0B4497FFC5B}" destId="{1E2BAB2D-A7CB-480F-94C5-C089B56F08CE}" srcOrd="1" destOrd="0" presId="urn:microsoft.com/office/officeart/2005/8/layout/chevron2"/>
    <dgm:cxn modelId="{E571368E-2ACC-42EF-B5B9-3B62E5849021}" type="presParOf" srcId="{1A73EC0D-FB3F-4754-A01A-E4B3F209135B}" destId="{2408E0C8-28B3-4CCB-A63C-6B68CB255035}" srcOrd="17" destOrd="0" presId="urn:microsoft.com/office/officeart/2005/8/layout/chevron2"/>
    <dgm:cxn modelId="{CBABE9E2-2B10-4DE7-97BD-9BF1F63D9075}" type="presParOf" srcId="{1A73EC0D-FB3F-4754-A01A-E4B3F209135B}" destId="{A47D5A22-0A10-4B35-82B1-29AF341586BD}" srcOrd="18" destOrd="0" presId="urn:microsoft.com/office/officeart/2005/8/layout/chevron2"/>
    <dgm:cxn modelId="{0233AD47-1A27-4C58-AD94-BB887EEE6F75}" type="presParOf" srcId="{A47D5A22-0A10-4B35-82B1-29AF341586BD}" destId="{A3CF88AF-A4D9-486D-BC6A-ABC9772053E9}" srcOrd="0" destOrd="0" presId="urn:microsoft.com/office/officeart/2005/8/layout/chevron2"/>
    <dgm:cxn modelId="{FB1027FB-3646-44E8-B4C4-895B7BCB2669}" type="presParOf" srcId="{A47D5A22-0A10-4B35-82B1-29AF341586BD}" destId="{12F56F55-6EB3-4CF0-9C73-49484206F9D8}" srcOrd="1" destOrd="0" presId="urn:microsoft.com/office/officeart/2005/8/layout/chevron2"/>
    <dgm:cxn modelId="{21848112-4A0C-4C8E-A979-9E52C68F10D5}" type="presParOf" srcId="{1A73EC0D-FB3F-4754-A01A-E4B3F209135B}" destId="{3AC3D2A2-4FB1-4D48-954C-9BC999FC834F}" srcOrd="19" destOrd="0" presId="urn:microsoft.com/office/officeart/2005/8/layout/chevron2"/>
    <dgm:cxn modelId="{4A593302-2847-4244-9EFA-BD6F1C9EBA49}" type="presParOf" srcId="{1A73EC0D-FB3F-4754-A01A-E4B3F209135B}" destId="{9D8F18A7-9958-47D5-9219-2069931A1B2C}" srcOrd="20" destOrd="0" presId="urn:microsoft.com/office/officeart/2005/8/layout/chevron2"/>
    <dgm:cxn modelId="{5277B3D7-7AFB-4466-B4C0-C080A989629B}" type="presParOf" srcId="{9D8F18A7-9958-47D5-9219-2069931A1B2C}" destId="{1DB86A8F-73BB-4AAD-B365-F1307ABFCA7A}" srcOrd="0" destOrd="0" presId="urn:microsoft.com/office/officeart/2005/8/layout/chevron2"/>
    <dgm:cxn modelId="{CBA7C0EE-1BA9-4FE4-B8D6-EB7BE91D756A}" type="presParOf" srcId="{9D8F18A7-9958-47D5-9219-2069931A1B2C}" destId="{D078A783-689F-42AF-8FB3-912537C93781}" srcOrd="1" destOrd="0" presId="urn:microsoft.com/office/officeart/2005/8/layout/chevron2"/>
    <dgm:cxn modelId="{D496E4A9-C772-4095-8B30-2FAB644713F8}" type="presParOf" srcId="{1A73EC0D-FB3F-4754-A01A-E4B3F209135B}" destId="{9821B5A6-FDCC-42AE-97B1-08407A9A7E25}" srcOrd="21" destOrd="0" presId="urn:microsoft.com/office/officeart/2005/8/layout/chevron2"/>
    <dgm:cxn modelId="{B0F03131-7A4C-4FFF-A3D0-312203622FFF}" type="presParOf" srcId="{1A73EC0D-FB3F-4754-A01A-E4B3F209135B}" destId="{C46E1B35-D4EE-4442-B51A-C3DA8ACADFC7}" srcOrd="22" destOrd="0" presId="urn:microsoft.com/office/officeart/2005/8/layout/chevron2"/>
    <dgm:cxn modelId="{F2E16E15-BD42-4FA9-809D-148F7EB17A6E}" type="presParOf" srcId="{C46E1B35-D4EE-4442-B51A-C3DA8ACADFC7}" destId="{CDF9A143-B535-4CF2-934A-08B805BEEDD9}" srcOrd="0" destOrd="0" presId="urn:microsoft.com/office/officeart/2005/8/layout/chevron2"/>
    <dgm:cxn modelId="{94887A2E-5D37-4836-94E1-C17548C3A43C}" type="presParOf" srcId="{C46E1B35-D4EE-4442-B51A-C3DA8ACADFC7}" destId="{4EC7D9D2-4F3F-41AD-A49F-F35C7543AF90}" srcOrd="1" destOrd="0" presId="urn:microsoft.com/office/officeart/2005/8/layout/chevron2"/>
    <dgm:cxn modelId="{693C72A7-0542-429C-81F9-9ED46C2BDB53}" type="presParOf" srcId="{1A73EC0D-FB3F-4754-A01A-E4B3F209135B}" destId="{4F438FA0-3A78-47BF-A2E8-7354DFDF7E66}" srcOrd="23" destOrd="0" presId="urn:microsoft.com/office/officeart/2005/8/layout/chevron2"/>
    <dgm:cxn modelId="{1EADA170-04B5-4E7E-B8A5-D99989020FDD}" type="presParOf" srcId="{1A73EC0D-FB3F-4754-A01A-E4B3F209135B}" destId="{E137627A-4A54-4323-8DFA-FFE0EA9D77C3}" srcOrd="24" destOrd="0" presId="urn:microsoft.com/office/officeart/2005/8/layout/chevron2"/>
    <dgm:cxn modelId="{62DBBE2A-0BB7-41E6-BC88-6EB4A5E0FDDB}" type="presParOf" srcId="{E137627A-4A54-4323-8DFA-FFE0EA9D77C3}" destId="{7FC38286-01DF-4C5F-9135-320AE939B5E8}" srcOrd="0" destOrd="0" presId="urn:microsoft.com/office/officeart/2005/8/layout/chevron2"/>
    <dgm:cxn modelId="{392D3486-AB81-4FAE-9A7E-AF2C76C1DE23}" type="presParOf" srcId="{E137627A-4A54-4323-8DFA-FFE0EA9D77C3}" destId="{1BF55025-7862-4A6A-A4E8-7650D1007729}"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93F7421-56C7-4838-A2BC-EC19E58B0C9D}"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7E49EF31-4FA9-49D0-8DBE-6CF75FBE0271}">
      <dgm:prSet phldrT="[Text]" custT="1"/>
      <dgm:spPr>
        <a:xfrm rot="5400000">
          <a:off x="-102881" y="111064"/>
          <a:ext cx="685873" cy="480111"/>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22.04.</a:t>
          </a:r>
          <a:endParaRPr lang="en-US" sz="1100" b="1">
            <a:solidFill>
              <a:srgbClr val="002060"/>
            </a:solidFill>
            <a:latin typeface="Cambria" panose="02040503050406030204" pitchFamily="18" charset="0"/>
            <a:ea typeface="Cambria" panose="02040503050406030204" pitchFamily="18" charset="0"/>
            <a:cs typeface="+mn-cs"/>
          </a:endParaRPr>
        </a:p>
        <a:p>
          <a:r>
            <a:rPr lang="bg-BG" sz="1100" b="1">
              <a:solidFill>
                <a:srgbClr val="002060"/>
              </a:solidFill>
              <a:latin typeface="Cambria" panose="02040503050406030204" pitchFamily="18" charset="0"/>
              <a:ea typeface="Cambria" panose="02040503050406030204" pitchFamily="18" charset="0"/>
              <a:cs typeface="+mn-cs"/>
            </a:rPr>
            <a:t>22</a:t>
          </a:r>
          <a:endParaRPr lang="en-US" sz="1100" b="1">
            <a:solidFill>
              <a:srgbClr val="002060"/>
            </a:solidFill>
            <a:latin typeface="Cambria" panose="02040503050406030204" pitchFamily="18" charset="0"/>
            <a:ea typeface="Cambria" panose="02040503050406030204" pitchFamily="18" charset="0"/>
            <a:cs typeface="+mn-cs"/>
          </a:endParaRPr>
        </a:p>
      </dgm:t>
    </dgm:pt>
    <dgm:pt modelId="{8EC0FC37-5D09-4382-BA8E-3E552EDB78A0}" type="parTrans" cxnId="{3D87D482-DD28-4F80-88CB-1C6061953F12}">
      <dgm:prSet/>
      <dgm:spPr/>
      <dgm:t>
        <a:bodyPr/>
        <a:lstStyle/>
        <a:p>
          <a:endParaRPr lang="en-US"/>
        </a:p>
      </dgm:t>
    </dgm:pt>
    <dgm:pt modelId="{6EF9F1D7-DE00-4848-B090-8B88F245E0D5}" type="sibTrans" cxnId="{3D87D482-DD28-4F80-88CB-1C6061953F12}">
      <dgm:prSet/>
      <dgm:spPr/>
      <dgm:t>
        <a:bodyPr/>
        <a:lstStyle/>
        <a:p>
          <a:endParaRPr lang="en-US"/>
        </a:p>
      </dgm:t>
    </dgm:pt>
    <dgm:pt modelId="{5033C56E-1EE1-4DC5-AF51-DAEA170A3CC2}">
      <dgm:prSet phldrT="[Text]" custT="1"/>
      <dgm:spPr>
        <a:xfrm rot="5400000">
          <a:off x="2881825" y="-2393531"/>
          <a:ext cx="446052" cy="524948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Европейската комисия се присъединява към европейския пакт за климата и поема ангажимент всичките ѝ операции да станат неутрални по отношение на климата до 2030 г.</a:t>
          </a:r>
          <a:endParaRPr lang="en-US" sz="1100" b="1">
            <a:solidFill>
              <a:srgbClr val="002060"/>
            </a:solidFill>
            <a:latin typeface="Cambria" panose="02040503050406030204" pitchFamily="18" charset="0"/>
            <a:ea typeface="Cambria" panose="02040503050406030204" pitchFamily="18" charset="0"/>
            <a:cs typeface="+mn-cs"/>
          </a:endParaRPr>
        </a:p>
      </dgm:t>
    </dgm:pt>
    <dgm:pt modelId="{5981F8F6-C424-479C-8C4D-7990C94F03D9}" type="parTrans" cxnId="{CE830744-7FEC-4231-B7BA-487F1249920E}">
      <dgm:prSet/>
      <dgm:spPr/>
      <dgm:t>
        <a:bodyPr/>
        <a:lstStyle/>
        <a:p>
          <a:endParaRPr lang="en-US"/>
        </a:p>
      </dgm:t>
    </dgm:pt>
    <dgm:pt modelId="{70B1E205-B7C7-437B-B6C7-2CF071149716}" type="sibTrans" cxnId="{CE830744-7FEC-4231-B7BA-487F1249920E}">
      <dgm:prSet/>
      <dgm:spPr/>
      <dgm:t>
        <a:bodyPr/>
        <a:lstStyle/>
        <a:p>
          <a:endParaRPr lang="en-US"/>
        </a:p>
      </dgm:t>
    </dgm:pt>
    <dgm:pt modelId="{28096FC4-949A-4CA6-A395-6A6ADC14CEFB}">
      <dgm:prSet phldrT="[Text]" custT="1"/>
      <dgm:spPr>
        <a:xfrm rot="5400000">
          <a:off x="-102881" y="743500"/>
          <a:ext cx="685873" cy="480111"/>
        </a:xfrm>
        <a:prstGeom prst="chevron">
          <a:avLst/>
        </a:prstGeom>
        <a:solidFill>
          <a:srgbClr val="4472C4">
            <a:hueOff val="-612779"/>
            <a:satOff val="-852"/>
            <a:lumOff val="-327"/>
            <a:alphaOff val="0"/>
          </a:srgbClr>
        </a:solidFill>
        <a:ln w="12700" cap="flat" cmpd="sng" algn="ctr">
          <a:solidFill>
            <a:srgbClr val="4472C4">
              <a:hueOff val="-612779"/>
              <a:satOff val="-852"/>
              <a:lumOff val="-32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15.05.</a:t>
          </a:r>
          <a:endParaRPr lang="en-US" sz="1100" b="1">
            <a:solidFill>
              <a:srgbClr val="002060"/>
            </a:solidFill>
            <a:latin typeface="Cambria" panose="02040503050406030204" pitchFamily="18" charset="0"/>
            <a:ea typeface="Cambria" panose="02040503050406030204" pitchFamily="18" charset="0"/>
            <a:cs typeface="+mn-cs"/>
          </a:endParaRPr>
        </a:p>
        <a:p>
          <a:r>
            <a:rPr lang="bg-BG" sz="1100" b="1">
              <a:solidFill>
                <a:srgbClr val="002060"/>
              </a:solidFill>
              <a:latin typeface="Cambria" panose="02040503050406030204" pitchFamily="18" charset="0"/>
              <a:ea typeface="Cambria" panose="02040503050406030204" pitchFamily="18" charset="0"/>
              <a:cs typeface="+mn-cs"/>
            </a:rPr>
            <a:t>22</a:t>
          </a:r>
          <a:endParaRPr lang="en-US" sz="1100" b="1">
            <a:solidFill>
              <a:srgbClr val="002060"/>
            </a:solidFill>
            <a:latin typeface="Cambria" panose="02040503050406030204" pitchFamily="18" charset="0"/>
            <a:ea typeface="Cambria" panose="02040503050406030204" pitchFamily="18" charset="0"/>
            <a:cs typeface="+mn-cs"/>
          </a:endParaRPr>
        </a:p>
      </dgm:t>
    </dgm:pt>
    <dgm:pt modelId="{5FA1EFBF-A943-43B2-B86B-058281845954}" type="parTrans" cxnId="{1999FF74-2F5B-4274-AA88-3A99852A9551}">
      <dgm:prSet/>
      <dgm:spPr/>
      <dgm:t>
        <a:bodyPr/>
        <a:lstStyle/>
        <a:p>
          <a:endParaRPr lang="en-US"/>
        </a:p>
      </dgm:t>
    </dgm:pt>
    <dgm:pt modelId="{F8FCDE1B-9FC6-4A67-A1E6-99E87EF6483C}" type="sibTrans" cxnId="{1999FF74-2F5B-4274-AA88-3A99852A9551}">
      <dgm:prSet/>
      <dgm:spPr/>
      <dgm:t>
        <a:bodyPr/>
        <a:lstStyle/>
        <a:p>
          <a:endParaRPr lang="en-US"/>
        </a:p>
      </dgm:t>
    </dgm:pt>
    <dgm:pt modelId="{DDE409BB-4180-4071-B379-6706BD873999}">
      <dgm:prSet phldrT="[Text]" custT="1"/>
      <dgm:spPr>
        <a:xfrm rot="5400000">
          <a:off x="2881942" y="-1761212"/>
          <a:ext cx="445817" cy="5249480"/>
        </a:xfrm>
        <a:prstGeom prst="round2SameRect">
          <a:avLst/>
        </a:prstGeom>
        <a:solidFill>
          <a:sysClr val="window" lastClr="FFFFFF">
            <a:alpha val="90000"/>
            <a:hueOff val="0"/>
            <a:satOff val="0"/>
            <a:lumOff val="0"/>
            <a:alphaOff val="0"/>
          </a:sysClr>
        </a:solidFill>
        <a:ln w="12700" cap="flat" cmpd="sng" algn="ctr">
          <a:solidFill>
            <a:srgbClr val="4472C4">
              <a:hueOff val="-612779"/>
              <a:satOff val="-852"/>
              <a:lumOff val="-327"/>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Планът </a:t>
          </a:r>
          <a:r>
            <a:rPr lang="en-US" sz="1100" b="1">
              <a:solidFill>
                <a:srgbClr val="002060"/>
              </a:solidFill>
              <a:latin typeface="Cambria" panose="02040503050406030204" pitchFamily="18" charset="0"/>
              <a:ea typeface="Cambria" panose="02040503050406030204" pitchFamily="18" charset="0"/>
              <a:cs typeface="+mn-cs"/>
            </a:rPr>
            <a:t>REPowerEU: </a:t>
          </a:r>
          <a:r>
            <a:rPr lang="bg-BG" sz="1100" b="1">
              <a:solidFill>
                <a:srgbClr val="002060"/>
              </a:solidFill>
              <a:latin typeface="Cambria" panose="02040503050406030204" pitchFamily="18" charset="0"/>
              <a:ea typeface="Cambria" panose="02040503050406030204" pitchFamily="18" charset="0"/>
              <a:cs typeface="+mn-cs"/>
            </a:rPr>
            <a:t>сигурна и устойчива енергия на достъпни цени в Европа</a:t>
          </a:r>
          <a:endParaRPr lang="en-US" sz="1100" b="1">
            <a:solidFill>
              <a:srgbClr val="002060"/>
            </a:solidFill>
            <a:latin typeface="Cambria" panose="02040503050406030204" pitchFamily="18" charset="0"/>
            <a:ea typeface="Cambria" panose="02040503050406030204" pitchFamily="18" charset="0"/>
            <a:cs typeface="+mn-cs"/>
          </a:endParaRPr>
        </a:p>
      </dgm:t>
    </dgm:pt>
    <dgm:pt modelId="{7DE82400-09E0-4433-8701-419F664541A6}" type="parTrans" cxnId="{9C8754BA-DC4C-45B8-9EC9-4CD3E9B94421}">
      <dgm:prSet/>
      <dgm:spPr/>
      <dgm:t>
        <a:bodyPr/>
        <a:lstStyle/>
        <a:p>
          <a:endParaRPr lang="en-US"/>
        </a:p>
      </dgm:t>
    </dgm:pt>
    <dgm:pt modelId="{F3378376-7C2C-4008-84EB-CDE20E78DC6E}" type="sibTrans" cxnId="{9C8754BA-DC4C-45B8-9EC9-4CD3E9B94421}">
      <dgm:prSet/>
      <dgm:spPr/>
      <dgm:t>
        <a:bodyPr/>
        <a:lstStyle/>
        <a:p>
          <a:endParaRPr lang="en-US"/>
        </a:p>
      </dgm:t>
    </dgm:pt>
    <dgm:pt modelId="{19814185-69C4-481E-9981-680EBC864CE1}">
      <dgm:prSet phldrT="[Text]" custT="1"/>
      <dgm:spPr>
        <a:xfrm rot="5400000">
          <a:off x="-102881" y="1375936"/>
          <a:ext cx="685873" cy="480111"/>
        </a:xfrm>
        <a:prstGeom prst="chevron">
          <a:avLst/>
        </a:prstGeom>
        <a:solidFill>
          <a:srgbClr val="4472C4">
            <a:hueOff val="-1225557"/>
            <a:satOff val="-1705"/>
            <a:lumOff val="-654"/>
            <a:alphaOff val="0"/>
          </a:srgbClr>
        </a:solidFill>
        <a:ln w="12700" cap="flat" cmpd="sng" algn="ctr">
          <a:solidFill>
            <a:srgbClr val="4472C4">
              <a:hueOff val="-1225557"/>
              <a:satOff val="-1705"/>
              <a:lumOff val="-65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22.07.</a:t>
          </a:r>
          <a:endParaRPr lang="en-US" sz="1100" b="1">
            <a:solidFill>
              <a:srgbClr val="002060"/>
            </a:solidFill>
            <a:latin typeface="Cambria" panose="02040503050406030204" pitchFamily="18" charset="0"/>
            <a:ea typeface="Cambria" panose="02040503050406030204" pitchFamily="18" charset="0"/>
            <a:cs typeface="+mn-cs"/>
          </a:endParaRPr>
        </a:p>
        <a:p>
          <a:r>
            <a:rPr lang="bg-BG" sz="1100" b="1">
              <a:solidFill>
                <a:srgbClr val="002060"/>
              </a:solidFill>
              <a:latin typeface="Cambria" panose="02040503050406030204" pitchFamily="18" charset="0"/>
              <a:ea typeface="Cambria" panose="02040503050406030204" pitchFamily="18" charset="0"/>
              <a:cs typeface="+mn-cs"/>
            </a:rPr>
            <a:t>22</a:t>
          </a:r>
          <a:endParaRPr lang="en-US" sz="1100" b="1">
            <a:solidFill>
              <a:srgbClr val="002060"/>
            </a:solidFill>
            <a:latin typeface="Cambria" panose="02040503050406030204" pitchFamily="18" charset="0"/>
            <a:ea typeface="Cambria" panose="02040503050406030204" pitchFamily="18" charset="0"/>
            <a:cs typeface="+mn-cs"/>
          </a:endParaRPr>
        </a:p>
      </dgm:t>
    </dgm:pt>
    <dgm:pt modelId="{F493C23F-D10B-450B-B226-9D356B31D502}" type="parTrans" cxnId="{813EBB6D-D4D1-40B7-9930-7047C210BECE}">
      <dgm:prSet/>
      <dgm:spPr/>
      <dgm:t>
        <a:bodyPr/>
        <a:lstStyle/>
        <a:p>
          <a:endParaRPr lang="en-US"/>
        </a:p>
      </dgm:t>
    </dgm:pt>
    <dgm:pt modelId="{A787719E-6538-4AA1-9C72-8770F7FBCAFE}" type="sibTrans" cxnId="{813EBB6D-D4D1-40B7-9930-7047C210BECE}">
      <dgm:prSet/>
      <dgm:spPr/>
      <dgm:t>
        <a:bodyPr/>
        <a:lstStyle/>
        <a:p>
          <a:endParaRPr lang="en-US"/>
        </a:p>
      </dgm:t>
    </dgm:pt>
    <dgm:pt modelId="{F7073F08-6019-4709-99BA-7CC0BFE90C7F}">
      <dgm:prSet phldrT="[Text]" custT="1"/>
      <dgm:spPr>
        <a:xfrm rot="5400000">
          <a:off x="2881942" y="-1128776"/>
          <a:ext cx="445817" cy="5249480"/>
        </a:xfrm>
        <a:prstGeom prst="round2SameRect">
          <a:avLst/>
        </a:prstGeom>
        <a:solidFill>
          <a:sysClr val="window" lastClr="FFFFFF">
            <a:alpha val="90000"/>
            <a:hueOff val="0"/>
            <a:satOff val="0"/>
            <a:lumOff val="0"/>
            <a:alphaOff val="0"/>
          </a:sysClr>
        </a:solidFill>
        <a:ln w="12700" cap="flat" cmpd="sng" algn="ctr">
          <a:solidFill>
            <a:srgbClr val="4472C4">
              <a:hueOff val="-1225557"/>
              <a:satOff val="-1705"/>
              <a:lumOff val="-654"/>
              <a:alphaOff val="0"/>
            </a:srgbClr>
          </a:solidFill>
          <a:prstDash val="solid"/>
          <a:miter lim="800000"/>
        </a:ln>
        <a:effectLst/>
      </dgm:spPr>
      <dgm:t>
        <a:bodyPr/>
        <a:lstStyle/>
        <a:p>
          <a:r>
            <a:rPr lang="bg-BG" sz="1100" b="1">
              <a:solidFill>
                <a:srgbClr val="002060"/>
              </a:solidFill>
              <a:latin typeface="Cambria" panose="02040503050406030204" pitchFamily="18" charset="0"/>
              <a:ea typeface="Cambria" panose="02040503050406030204" pitchFamily="18" charset="0"/>
              <a:cs typeface="+mn-cs"/>
            </a:rPr>
            <a:t>Пакет за опазване на околната среда</a:t>
          </a:r>
          <a:endParaRPr lang="en-US" sz="1100" b="1">
            <a:solidFill>
              <a:srgbClr val="002060"/>
            </a:solidFill>
            <a:latin typeface="Cambria" panose="02040503050406030204" pitchFamily="18" charset="0"/>
            <a:ea typeface="Cambria" panose="02040503050406030204" pitchFamily="18" charset="0"/>
            <a:cs typeface="+mn-cs"/>
          </a:endParaRPr>
        </a:p>
      </dgm:t>
    </dgm:pt>
    <dgm:pt modelId="{5466D1AA-DDE3-482D-8BBD-7DF668B3E18F}" type="parTrans" cxnId="{28EB9D6D-6115-4448-B97A-3A8CAB748701}">
      <dgm:prSet/>
      <dgm:spPr/>
      <dgm:t>
        <a:bodyPr/>
        <a:lstStyle/>
        <a:p>
          <a:endParaRPr lang="en-US"/>
        </a:p>
      </dgm:t>
    </dgm:pt>
    <dgm:pt modelId="{C8DE9BD1-B0CE-4214-ACF6-798080E2EF22}" type="sibTrans" cxnId="{28EB9D6D-6115-4448-B97A-3A8CAB748701}">
      <dgm:prSet/>
      <dgm:spPr/>
      <dgm:t>
        <a:bodyPr/>
        <a:lstStyle/>
        <a:p>
          <a:endParaRPr lang="en-US"/>
        </a:p>
      </dgm:t>
    </dgm:pt>
    <dgm:pt modelId="{1A73EC0D-FB3F-4754-A01A-E4B3F209135B}" type="pres">
      <dgm:prSet presAssocID="{B93F7421-56C7-4838-A2BC-EC19E58B0C9D}" presName="linearFlow" presStyleCnt="0">
        <dgm:presLayoutVars>
          <dgm:dir/>
          <dgm:animLvl val="lvl"/>
          <dgm:resizeHandles val="exact"/>
        </dgm:presLayoutVars>
      </dgm:prSet>
      <dgm:spPr/>
      <dgm:t>
        <a:bodyPr/>
        <a:lstStyle/>
        <a:p>
          <a:endParaRPr lang="en-US"/>
        </a:p>
      </dgm:t>
    </dgm:pt>
    <dgm:pt modelId="{059064DD-3425-491E-8B4B-CDE2E28B9134}" type="pres">
      <dgm:prSet presAssocID="{7E49EF31-4FA9-49D0-8DBE-6CF75FBE0271}" presName="composite" presStyleCnt="0"/>
      <dgm:spPr/>
    </dgm:pt>
    <dgm:pt modelId="{1B430139-ABED-4C68-A126-E9E0CACF3D40}" type="pres">
      <dgm:prSet presAssocID="{7E49EF31-4FA9-49D0-8DBE-6CF75FBE0271}" presName="parentText" presStyleLbl="alignNode1" presStyleIdx="0" presStyleCnt="3">
        <dgm:presLayoutVars>
          <dgm:chMax val="1"/>
          <dgm:bulletEnabled val="1"/>
        </dgm:presLayoutVars>
      </dgm:prSet>
      <dgm:spPr>
        <a:prstGeom prst="chevron">
          <a:avLst/>
        </a:prstGeom>
      </dgm:spPr>
      <dgm:t>
        <a:bodyPr/>
        <a:lstStyle/>
        <a:p>
          <a:endParaRPr lang="en-US"/>
        </a:p>
      </dgm:t>
    </dgm:pt>
    <dgm:pt modelId="{FAF2AF55-A654-44F3-B92C-B6CA469148D2}" type="pres">
      <dgm:prSet presAssocID="{7E49EF31-4FA9-49D0-8DBE-6CF75FBE0271}" presName="descendantText" presStyleLbl="alignAcc1" presStyleIdx="0" presStyleCnt="3">
        <dgm:presLayoutVars>
          <dgm:bulletEnabled val="1"/>
        </dgm:presLayoutVars>
      </dgm:prSet>
      <dgm:spPr>
        <a:prstGeom prst="round2SameRect">
          <a:avLst/>
        </a:prstGeom>
      </dgm:spPr>
      <dgm:t>
        <a:bodyPr/>
        <a:lstStyle/>
        <a:p>
          <a:endParaRPr lang="en-US"/>
        </a:p>
      </dgm:t>
    </dgm:pt>
    <dgm:pt modelId="{4BC551CA-B686-4611-84C4-41ACDA97188E}" type="pres">
      <dgm:prSet presAssocID="{6EF9F1D7-DE00-4848-B090-8B88F245E0D5}" presName="sp" presStyleCnt="0"/>
      <dgm:spPr/>
    </dgm:pt>
    <dgm:pt modelId="{AE0483F0-BD2D-4F30-91B7-B3AAEE09A280}" type="pres">
      <dgm:prSet presAssocID="{28096FC4-949A-4CA6-A395-6A6ADC14CEFB}" presName="composite" presStyleCnt="0"/>
      <dgm:spPr/>
    </dgm:pt>
    <dgm:pt modelId="{E94C0AA8-26AF-448A-A26E-5923F2965E6C}" type="pres">
      <dgm:prSet presAssocID="{28096FC4-949A-4CA6-A395-6A6ADC14CEFB}" presName="parentText" presStyleLbl="alignNode1" presStyleIdx="1" presStyleCnt="3">
        <dgm:presLayoutVars>
          <dgm:chMax val="1"/>
          <dgm:bulletEnabled val="1"/>
        </dgm:presLayoutVars>
      </dgm:prSet>
      <dgm:spPr>
        <a:prstGeom prst="chevron">
          <a:avLst/>
        </a:prstGeom>
      </dgm:spPr>
      <dgm:t>
        <a:bodyPr/>
        <a:lstStyle/>
        <a:p>
          <a:endParaRPr lang="en-US"/>
        </a:p>
      </dgm:t>
    </dgm:pt>
    <dgm:pt modelId="{B0995E04-3C20-4CAD-A59C-B4E45B151ED7}" type="pres">
      <dgm:prSet presAssocID="{28096FC4-949A-4CA6-A395-6A6ADC14CEFB}" presName="descendantText" presStyleLbl="alignAcc1" presStyleIdx="1" presStyleCnt="3">
        <dgm:presLayoutVars>
          <dgm:bulletEnabled val="1"/>
        </dgm:presLayoutVars>
      </dgm:prSet>
      <dgm:spPr>
        <a:prstGeom prst="round2SameRect">
          <a:avLst/>
        </a:prstGeom>
      </dgm:spPr>
      <dgm:t>
        <a:bodyPr/>
        <a:lstStyle/>
        <a:p>
          <a:endParaRPr lang="en-US"/>
        </a:p>
      </dgm:t>
    </dgm:pt>
    <dgm:pt modelId="{E6DEA24D-0BFB-4FED-BACF-B725CE26A723}" type="pres">
      <dgm:prSet presAssocID="{F8FCDE1B-9FC6-4A67-A1E6-99E87EF6483C}" presName="sp" presStyleCnt="0"/>
      <dgm:spPr/>
    </dgm:pt>
    <dgm:pt modelId="{E6B4D1FA-9751-4279-94E4-7C5EC5A4B2C2}" type="pres">
      <dgm:prSet presAssocID="{19814185-69C4-481E-9981-680EBC864CE1}" presName="composite" presStyleCnt="0"/>
      <dgm:spPr/>
    </dgm:pt>
    <dgm:pt modelId="{ECC1EAF7-3D5F-4F69-BB26-C0CDE5C25866}" type="pres">
      <dgm:prSet presAssocID="{19814185-69C4-481E-9981-680EBC864CE1}" presName="parentText" presStyleLbl="alignNode1" presStyleIdx="2" presStyleCnt="3">
        <dgm:presLayoutVars>
          <dgm:chMax val="1"/>
          <dgm:bulletEnabled val="1"/>
        </dgm:presLayoutVars>
      </dgm:prSet>
      <dgm:spPr>
        <a:prstGeom prst="chevron">
          <a:avLst/>
        </a:prstGeom>
      </dgm:spPr>
      <dgm:t>
        <a:bodyPr/>
        <a:lstStyle/>
        <a:p>
          <a:endParaRPr lang="en-US"/>
        </a:p>
      </dgm:t>
    </dgm:pt>
    <dgm:pt modelId="{D6ED99AA-4082-44BC-8DCA-9752A290BB44}" type="pres">
      <dgm:prSet presAssocID="{19814185-69C4-481E-9981-680EBC864CE1}" presName="descendantText" presStyleLbl="alignAcc1" presStyleIdx="2" presStyleCnt="3">
        <dgm:presLayoutVars>
          <dgm:bulletEnabled val="1"/>
        </dgm:presLayoutVars>
      </dgm:prSet>
      <dgm:spPr>
        <a:prstGeom prst="round2SameRect">
          <a:avLst/>
        </a:prstGeom>
      </dgm:spPr>
      <dgm:t>
        <a:bodyPr/>
        <a:lstStyle/>
        <a:p>
          <a:endParaRPr lang="en-US"/>
        </a:p>
      </dgm:t>
    </dgm:pt>
  </dgm:ptLst>
  <dgm:cxnLst>
    <dgm:cxn modelId="{CE830744-7FEC-4231-B7BA-487F1249920E}" srcId="{7E49EF31-4FA9-49D0-8DBE-6CF75FBE0271}" destId="{5033C56E-1EE1-4DC5-AF51-DAEA170A3CC2}" srcOrd="0" destOrd="0" parTransId="{5981F8F6-C424-479C-8C4D-7990C94F03D9}" sibTransId="{70B1E205-B7C7-437B-B6C7-2CF071149716}"/>
    <dgm:cxn modelId="{2C38C2BB-FAD2-428E-8B8A-5C3A9355E184}" type="presOf" srcId="{19814185-69C4-481E-9981-680EBC864CE1}" destId="{ECC1EAF7-3D5F-4F69-BB26-C0CDE5C25866}" srcOrd="0" destOrd="0" presId="urn:microsoft.com/office/officeart/2005/8/layout/chevron2"/>
    <dgm:cxn modelId="{3D87D482-DD28-4F80-88CB-1C6061953F12}" srcId="{B93F7421-56C7-4838-A2BC-EC19E58B0C9D}" destId="{7E49EF31-4FA9-49D0-8DBE-6CF75FBE0271}" srcOrd="0" destOrd="0" parTransId="{8EC0FC37-5D09-4382-BA8E-3E552EDB78A0}" sibTransId="{6EF9F1D7-DE00-4848-B090-8B88F245E0D5}"/>
    <dgm:cxn modelId="{1999FF74-2F5B-4274-AA88-3A99852A9551}" srcId="{B93F7421-56C7-4838-A2BC-EC19E58B0C9D}" destId="{28096FC4-949A-4CA6-A395-6A6ADC14CEFB}" srcOrd="1" destOrd="0" parTransId="{5FA1EFBF-A943-43B2-B86B-058281845954}" sibTransId="{F8FCDE1B-9FC6-4A67-A1E6-99E87EF6483C}"/>
    <dgm:cxn modelId="{813EBB6D-D4D1-40B7-9930-7047C210BECE}" srcId="{B93F7421-56C7-4838-A2BC-EC19E58B0C9D}" destId="{19814185-69C4-481E-9981-680EBC864CE1}" srcOrd="2" destOrd="0" parTransId="{F493C23F-D10B-450B-B226-9D356B31D502}" sibTransId="{A787719E-6538-4AA1-9C72-8770F7FBCAFE}"/>
    <dgm:cxn modelId="{594B4262-39A6-4D8C-96AA-F736E5F904E0}" type="presOf" srcId="{DDE409BB-4180-4071-B379-6706BD873999}" destId="{B0995E04-3C20-4CAD-A59C-B4E45B151ED7}" srcOrd="0" destOrd="0" presId="urn:microsoft.com/office/officeart/2005/8/layout/chevron2"/>
    <dgm:cxn modelId="{28EB9D6D-6115-4448-B97A-3A8CAB748701}" srcId="{19814185-69C4-481E-9981-680EBC864CE1}" destId="{F7073F08-6019-4709-99BA-7CC0BFE90C7F}" srcOrd="0" destOrd="0" parTransId="{5466D1AA-DDE3-482D-8BBD-7DF668B3E18F}" sibTransId="{C8DE9BD1-B0CE-4214-ACF6-798080E2EF22}"/>
    <dgm:cxn modelId="{C8E2929E-F004-40FE-BFBB-7846F7780C60}" type="presOf" srcId="{7E49EF31-4FA9-49D0-8DBE-6CF75FBE0271}" destId="{1B430139-ABED-4C68-A126-E9E0CACF3D40}" srcOrd="0" destOrd="0" presId="urn:microsoft.com/office/officeart/2005/8/layout/chevron2"/>
    <dgm:cxn modelId="{102A22E9-93C3-4C5C-8C6E-73C926DD9BFC}" type="presOf" srcId="{F7073F08-6019-4709-99BA-7CC0BFE90C7F}" destId="{D6ED99AA-4082-44BC-8DCA-9752A290BB44}" srcOrd="0" destOrd="0" presId="urn:microsoft.com/office/officeart/2005/8/layout/chevron2"/>
    <dgm:cxn modelId="{CFF01E67-2369-4BB6-B5B8-64377CA97234}" type="presOf" srcId="{B93F7421-56C7-4838-A2BC-EC19E58B0C9D}" destId="{1A73EC0D-FB3F-4754-A01A-E4B3F209135B}" srcOrd="0" destOrd="0" presId="urn:microsoft.com/office/officeart/2005/8/layout/chevron2"/>
    <dgm:cxn modelId="{EE8097BA-D328-4252-974B-760956D7F14D}" type="presOf" srcId="{5033C56E-1EE1-4DC5-AF51-DAEA170A3CC2}" destId="{FAF2AF55-A654-44F3-B92C-B6CA469148D2}" srcOrd="0" destOrd="0" presId="urn:microsoft.com/office/officeart/2005/8/layout/chevron2"/>
    <dgm:cxn modelId="{F326444D-F326-414C-AAEA-0AA7AD992E93}" type="presOf" srcId="{28096FC4-949A-4CA6-A395-6A6ADC14CEFB}" destId="{E94C0AA8-26AF-448A-A26E-5923F2965E6C}" srcOrd="0" destOrd="0" presId="urn:microsoft.com/office/officeart/2005/8/layout/chevron2"/>
    <dgm:cxn modelId="{9C8754BA-DC4C-45B8-9EC9-4CD3E9B94421}" srcId="{28096FC4-949A-4CA6-A395-6A6ADC14CEFB}" destId="{DDE409BB-4180-4071-B379-6706BD873999}" srcOrd="0" destOrd="0" parTransId="{7DE82400-09E0-4433-8701-419F664541A6}" sibTransId="{F3378376-7C2C-4008-84EB-CDE20E78DC6E}"/>
    <dgm:cxn modelId="{7ACE3A8B-DB20-47DE-9F62-A55B6CE7A0D7}" type="presParOf" srcId="{1A73EC0D-FB3F-4754-A01A-E4B3F209135B}" destId="{059064DD-3425-491E-8B4B-CDE2E28B9134}" srcOrd="0" destOrd="0" presId="urn:microsoft.com/office/officeart/2005/8/layout/chevron2"/>
    <dgm:cxn modelId="{B1D895F9-DFEB-4004-83F5-8D88DC9BCB68}" type="presParOf" srcId="{059064DD-3425-491E-8B4B-CDE2E28B9134}" destId="{1B430139-ABED-4C68-A126-E9E0CACF3D40}" srcOrd="0" destOrd="0" presId="urn:microsoft.com/office/officeart/2005/8/layout/chevron2"/>
    <dgm:cxn modelId="{1781FD48-37C3-44FB-BFA9-98FB172C64EB}" type="presParOf" srcId="{059064DD-3425-491E-8B4B-CDE2E28B9134}" destId="{FAF2AF55-A654-44F3-B92C-B6CA469148D2}" srcOrd="1" destOrd="0" presId="urn:microsoft.com/office/officeart/2005/8/layout/chevron2"/>
    <dgm:cxn modelId="{01EE44EE-E23C-4B6C-94D1-64A3AF41F1A6}" type="presParOf" srcId="{1A73EC0D-FB3F-4754-A01A-E4B3F209135B}" destId="{4BC551CA-B686-4611-84C4-41ACDA97188E}" srcOrd="1" destOrd="0" presId="urn:microsoft.com/office/officeart/2005/8/layout/chevron2"/>
    <dgm:cxn modelId="{A9E87491-8821-4102-AB1E-619FACE54D72}" type="presParOf" srcId="{1A73EC0D-FB3F-4754-A01A-E4B3F209135B}" destId="{AE0483F0-BD2D-4F30-91B7-B3AAEE09A280}" srcOrd="2" destOrd="0" presId="urn:microsoft.com/office/officeart/2005/8/layout/chevron2"/>
    <dgm:cxn modelId="{6BD95068-612A-470F-9ED2-81FBEDFE6E9B}" type="presParOf" srcId="{AE0483F0-BD2D-4F30-91B7-B3AAEE09A280}" destId="{E94C0AA8-26AF-448A-A26E-5923F2965E6C}" srcOrd="0" destOrd="0" presId="urn:microsoft.com/office/officeart/2005/8/layout/chevron2"/>
    <dgm:cxn modelId="{1BB5DEAA-4DED-459E-80A2-C79EC6DA7422}" type="presParOf" srcId="{AE0483F0-BD2D-4F30-91B7-B3AAEE09A280}" destId="{B0995E04-3C20-4CAD-A59C-B4E45B151ED7}" srcOrd="1" destOrd="0" presId="urn:microsoft.com/office/officeart/2005/8/layout/chevron2"/>
    <dgm:cxn modelId="{AEBB6142-A863-486E-9F23-58237EF487DF}" type="presParOf" srcId="{1A73EC0D-FB3F-4754-A01A-E4B3F209135B}" destId="{E6DEA24D-0BFB-4FED-BACF-B725CE26A723}" srcOrd="3" destOrd="0" presId="urn:microsoft.com/office/officeart/2005/8/layout/chevron2"/>
    <dgm:cxn modelId="{F279A1A0-A550-4893-ABB4-FE22ECB3ED0C}" type="presParOf" srcId="{1A73EC0D-FB3F-4754-A01A-E4B3F209135B}" destId="{E6B4D1FA-9751-4279-94E4-7C5EC5A4B2C2}" srcOrd="4" destOrd="0" presId="urn:microsoft.com/office/officeart/2005/8/layout/chevron2"/>
    <dgm:cxn modelId="{2CCAD77B-E592-4D0C-874B-9BA7A6C0D952}" type="presParOf" srcId="{E6B4D1FA-9751-4279-94E4-7C5EC5A4B2C2}" destId="{ECC1EAF7-3D5F-4F69-BB26-C0CDE5C25866}" srcOrd="0" destOrd="0" presId="urn:microsoft.com/office/officeart/2005/8/layout/chevron2"/>
    <dgm:cxn modelId="{B209BE36-E532-4078-B631-C1BCBDE6D1D6}" type="presParOf" srcId="{E6B4D1FA-9751-4279-94E4-7C5EC5A4B2C2}" destId="{D6ED99AA-4082-44BC-8DCA-9752A290BB44}"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30139-ABED-4C68-A126-E9E0CACF3D40}">
      <dsp:nvSpPr>
        <dsp:cNvPr id="0" name=""/>
        <dsp:cNvSpPr/>
      </dsp:nvSpPr>
      <dsp:spPr>
        <a:xfrm rot="5400000">
          <a:off x="-100365" y="152578"/>
          <a:ext cx="669103" cy="468372"/>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11.12.19</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286398"/>
        <a:ext cx="468372" cy="200731"/>
      </dsp:txXfrm>
    </dsp:sp>
    <dsp:sp modelId="{FAF2AF55-A654-44F3-B92C-B6CA469148D2}">
      <dsp:nvSpPr>
        <dsp:cNvPr id="0" name=""/>
        <dsp:cNvSpPr/>
      </dsp:nvSpPr>
      <dsp:spPr>
        <a:xfrm rot="5400000">
          <a:off x="2881409" y="-2360823"/>
          <a:ext cx="435146" cy="526121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Представяне на Европейския зелен пакт</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468373" y="73455"/>
        <a:ext cx="5239977" cy="392662"/>
      </dsp:txXfrm>
    </dsp:sp>
    <dsp:sp modelId="{E94C0AA8-26AF-448A-A26E-5923F2965E6C}">
      <dsp:nvSpPr>
        <dsp:cNvPr id="0" name=""/>
        <dsp:cNvSpPr/>
      </dsp:nvSpPr>
      <dsp:spPr>
        <a:xfrm rot="5400000">
          <a:off x="-100365" y="769551"/>
          <a:ext cx="669103" cy="468372"/>
        </a:xfrm>
        <a:prstGeom prst="chevron">
          <a:avLst/>
        </a:prstGeom>
        <a:solidFill>
          <a:srgbClr val="4472C4">
            <a:hueOff val="-612779"/>
            <a:satOff val="-852"/>
            <a:lumOff val="-327"/>
            <a:alphaOff val="0"/>
          </a:srgbClr>
        </a:solidFill>
        <a:ln w="12700" cap="flat" cmpd="sng" algn="ctr">
          <a:solidFill>
            <a:srgbClr val="4472C4">
              <a:hueOff val="-612779"/>
              <a:satOff val="-852"/>
              <a:lumOff val="-32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rgbClr val="002060"/>
              </a:solidFill>
              <a:latin typeface="Cambria" panose="02040503050406030204" pitchFamily="18" charset="0"/>
              <a:ea typeface="Cambria" panose="02040503050406030204" pitchFamily="18" charset="0"/>
              <a:cs typeface="+mn-cs"/>
            </a:rPr>
            <a:t>14.01.20</a:t>
          </a:r>
        </a:p>
      </dsp:txBody>
      <dsp:txXfrm rot="-5400000">
        <a:off x="1" y="903371"/>
        <a:ext cx="468372" cy="200731"/>
      </dsp:txXfrm>
    </dsp:sp>
    <dsp:sp modelId="{B0995E04-3C20-4CAD-A59C-B4E45B151ED7}">
      <dsp:nvSpPr>
        <dsp:cNvPr id="0" name=""/>
        <dsp:cNvSpPr/>
      </dsp:nvSpPr>
      <dsp:spPr>
        <a:xfrm rot="5400000">
          <a:off x="2881523" y="-1743964"/>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612779"/>
              <a:satOff val="-852"/>
              <a:lumOff val="-32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Представяне на Плана за инвестиции във връзка с Европейския зелен пакт и на Механизма за справедлив преход</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468373" y="690417"/>
        <a:ext cx="5239988" cy="392455"/>
      </dsp:txXfrm>
    </dsp:sp>
    <dsp:sp modelId="{ECC1EAF7-3D5F-4F69-BB26-C0CDE5C25866}">
      <dsp:nvSpPr>
        <dsp:cNvPr id="0" name=""/>
        <dsp:cNvSpPr/>
      </dsp:nvSpPr>
      <dsp:spPr>
        <a:xfrm rot="5400000">
          <a:off x="-100365" y="1386525"/>
          <a:ext cx="669103" cy="468372"/>
        </a:xfrm>
        <a:prstGeom prst="chevron">
          <a:avLst/>
        </a:prstGeom>
        <a:solidFill>
          <a:srgbClr val="4472C4">
            <a:hueOff val="-1225557"/>
            <a:satOff val="-1705"/>
            <a:lumOff val="-654"/>
            <a:alphaOff val="0"/>
          </a:srgbClr>
        </a:solidFill>
        <a:ln w="12700" cap="flat" cmpd="sng" algn="ctr">
          <a:solidFill>
            <a:srgbClr val="4472C4">
              <a:hueOff val="-1225557"/>
              <a:satOff val="-1705"/>
              <a:lumOff val="-6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04.03.20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1520345"/>
        <a:ext cx="468372" cy="200731"/>
      </dsp:txXfrm>
    </dsp:sp>
    <dsp:sp modelId="{D6ED99AA-4082-44BC-8DCA-9752A290BB44}">
      <dsp:nvSpPr>
        <dsp:cNvPr id="0" name=""/>
        <dsp:cNvSpPr/>
      </dsp:nvSpPr>
      <dsp:spPr>
        <a:xfrm rot="5400000">
          <a:off x="2881523" y="-1126991"/>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1225557"/>
              <a:satOff val="-1705"/>
              <a:lumOff val="-6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Предложение за законодателен акт в областта на климата за постигане на неутрален по отношение на климата Европейски съюз до 2050г.</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468373" y="1307390"/>
        <a:ext cx="5239988" cy="392455"/>
      </dsp:txXfrm>
    </dsp:sp>
    <dsp:sp modelId="{95DF6846-B9AD-4F6A-B310-5A5E3CD70D42}">
      <dsp:nvSpPr>
        <dsp:cNvPr id="0" name=""/>
        <dsp:cNvSpPr/>
      </dsp:nvSpPr>
      <dsp:spPr>
        <a:xfrm rot="5400000">
          <a:off x="-100365" y="2003498"/>
          <a:ext cx="669103" cy="468372"/>
        </a:xfrm>
        <a:prstGeom prst="chevron">
          <a:avLst/>
        </a:prstGeom>
        <a:solidFill>
          <a:srgbClr val="4472C4">
            <a:hueOff val="-1838336"/>
            <a:satOff val="-2557"/>
            <a:lumOff val="-981"/>
            <a:alphaOff val="0"/>
          </a:srgbClr>
        </a:solidFill>
        <a:ln w="12700" cap="flat" cmpd="sng" algn="ctr">
          <a:solidFill>
            <a:srgbClr val="4472C4">
              <a:hueOff val="-1838336"/>
              <a:satOff val="-2557"/>
              <a:lumOff val="-98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10.03.20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2137318"/>
        <a:ext cx="468372" cy="200731"/>
      </dsp:txXfrm>
    </dsp:sp>
    <dsp:sp modelId="{EC26E6DC-DBBD-4679-BEE5-999406CF0C41}">
      <dsp:nvSpPr>
        <dsp:cNvPr id="0" name=""/>
        <dsp:cNvSpPr/>
      </dsp:nvSpPr>
      <dsp:spPr>
        <a:xfrm rot="5400000">
          <a:off x="2881523" y="-510018"/>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1838336"/>
              <a:satOff val="-2557"/>
              <a:lumOff val="-98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Приемане на Европейска промишлена стратегия - план за подготвена за бъдещето икономика</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1924363"/>
        <a:ext cx="5239988" cy="392455"/>
      </dsp:txXfrm>
    </dsp:sp>
    <dsp:sp modelId="{5544BC65-4267-4BC8-9E7C-EC475C046460}">
      <dsp:nvSpPr>
        <dsp:cNvPr id="0" name=""/>
        <dsp:cNvSpPr/>
      </dsp:nvSpPr>
      <dsp:spPr>
        <a:xfrm rot="5400000">
          <a:off x="-100365" y="2620471"/>
          <a:ext cx="669103" cy="468372"/>
        </a:xfrm>
        <a:prstGeom prst="chevron">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11.03.20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2754291"/>
        <a:ext cx="468372" cy="200731"/>
      </dsp:txXfrm>
    </dsp:sp>
    <dsp:sp modelId="{0AF8CBF6-BB21-4A69-9956-8BC4EFCFA71C}">
      <dsp:nvSpPr>
        <dsp:cNvPr id="0" name=""/>
        <dsp:cNvSpPr/>
      </dsp:nvSpPr>
      <dsp:spPr>
        <a:xfrm rot="5400000">
          <a:off x="2881523" y="106954"/>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Предложение за План за действие относно кръговата икономика с акцент върху усойчивото ползване на ресурсите</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2541336"/>
        <a:ext cx="5239988" cy="392455"/>
      </dsp:txXfrm>
    </dsp:sp>
    <dsp:sp modelId="{DFF501C2-F973-4D0F-8182-4B59A2E18133}">
      <dsp:nvSpPr>
        <dsp:cNvPr id="0" name=""/>
        <dsp:cNvSpPr/>
      </dsp:nvSpPr>
      <dsp:spPr>
        <a:xfrm rot="5400000">
          <a:off x="-100365" y="3367306"/>
          <a:ext cx="669103" cy="468372"/>
        </a:xfrm>
        <a:prstGeom prst="chevron">
          <a:avLst/>
        </a:prstGeom>
        <a:solidFill>
          <a:srgbClr val="4472C4">
            <a:hueOff val="-3063894"/>
            <a:satOff val="-4262"/>
            <a:lumOff val="-1634"/>
            <a:alphaOff val="0"/>
          </a:srgbClr>
        </a:solidFill>
        <a:ln w="12700" cap="flat" cmpd="sng" algn="ctr">
          <a:solidFill>
            <a:srgbClr val="4472C4">
              <a:hueOff val="-3063894"/>
              <a:satOff val="-4262"/>
              <a:lumOff val="-163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20.05.20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3501126"/>
        <a:ext cx="468372" cy="200731"/>
      </dsp:txXfrm>
    </dsp:sp>
    <dsp:sp modelId="{687F1159-9BCF-4CB0-B121-24AAE1449BC0}">
      <dsp:nvSpPr>
        <dsp:cNvPr id="0" name=""/>
        <dsp:cNvSpPr/>
      </dsp:nvSpPr>
      <dsp:spPr>
        <a:xfrm rot="5400000">
          <a:off x="2751661" y="853790"/>
          <a:ext cx="694641" cy="5261219"/>
        </a:xfrm>
        <a:prstGeom prst="round2SameRect">
          <a:avLst/>
        </a:prstGeom>
        <a:solidFill>
          <a:sysClr val="window" lastClr="FFFFFF">
            <a:alpha val="90000"/>
            <a:hueOff val="0"/>
            <a:satOff val="0"/>
            <a:lumOff val="0"/>
            <a:alphaOff val="0"/>
          </a:sysClr>
        </a:solidFill>
        <a:ln w="12700" cap="flat" cmpd="sng" algn="ctr">
          <a:solidFill>
            <a:srgbClr val="4472C4">
              <a:hueOff val="-3063894"/>
              <a:satOff val="-4262"/>
              <a:lumOff val="-163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Представяне на стратегията на ЕС за биологично разнообразие до 2030г. с цел защита на уязвимите природни ресурси на планетата</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a:p>
          <a:pPr marL="57150" lvl="1" indent="-57150" algn="just"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Представяне на Стратегията "От фермата към трапезата" за устойчивост на продоволствените системи</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a:p>
          <a:pPr marL="57150" lvl="1" indent="-57150" algn="l" defTabSz="466725">
            <a:lnSpc>
              <a:spcPct val="90000"/>
            </a:lnSpc>
            <a:spcBef>
              <a:spcPct val="0"/>
            </a:spcBef>
            <a:spcAft>
              <a:spcPct val="15000"/>
            </a:spcAft>
            <a:buChar char="••"/>
          </a:pP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2" y="3170989"/>
        <a:ext cx="5227309" cy="626821"/>
      </dsp:txXfrm>
    </dsp:sp>
    <dsp:sp modelId="{DB86B60E-7A76-4121-AEA3-ABE6B2B5B4EF}">
      <dsp:nvSpPr>
        <dsp:cNvPr id="0" name=""/>
        <dsp:cNvSpPr/>
      </dsp:nvSpPr>
      <dsp:spPr>
        <a:xfrm rot="5400000">
          <a:off x="-100365" y="3984279"/>
          <a:ext cx="669103" cy="468372"/>
        </a:xfrm>
        <a:prstGeom prst="chevron">
          <a:avLst/>
        </a:prstGeom>
        <a:solidFill>
          <a:srgbClr val="4472C4">
            <a:hueOff val="-3676672"/>
            <a:satOff val="-5114"/>
            <a:lumOff val="-1961"/>
            <a:alphaOff val="0"/>
          </a:srgbClr>
        </a:solidFill>
        <a:ln w="12700" cap="flat" cmpd="sng" algn="ctr">
          <a:solidFill>
            <a:srgbClr val="4472C4">
              <a:hueOff val="-3676672"/>
              <a:satOff val="-5114"/>
              <a:lumOff val="-1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08.07.20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4118099"/>
        <a:ext cx="468372" cy="200731"/>
      </dsp:txXfrm>
    </dsp:sp>
    <dsp:sp modelId="{6455F6B6-9F17-4F3D-BF7E-644A64AF75CB}">
      <dsp:nvSpPr>
        <dsp:cNvPr id="0" name=""/>
        <dsp:cNvSpPr/>
      </dsp:nvSpPr>
      <dsp:spPr>
        <a:xfrm rot="5400000">
          <a:off x="2881523" y="1470763"/>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3676672"/>
              <a:satOff val="-5114"/>
              <a:lumOff val="-1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Стратегия на ЕС за интегриране на енергийната система и ипозване на водорода за постигане на изцяло декарбонизиран, ефективен и взаимносвързан енергиен сектор</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3905145"/>
        <a:ext cx="5239988" cy="392455"/>
      </dsp:txXfrm>
    </dsp:sp>
    <dsp:sp modelId="{137B3C28-1399-4796-92F1-4DA73D3E7C25}">
      <dsp:nvSpPr>
        <dsp:cNvPr id="0" name=""/>
        <dsp:cNvSpPr/>
      </dsp:nvSpPr>
      <dsp:spPr>
        <a:xfrm rot="5400000">
          <a:off x="-100365" y="4601252"/>
          <a:ext cx="669103" cy="468372"/>
        </a:xfrm>
        <a:prstGeom prst="chevron">
          <a:avLst/>
        </a:prstGeom>
        <a:solidFill>
          <a:srgbClr val="4472C4">
            <a:hueOff val="-4289451"/>
            <a:satOff val="-5966"/>
            <a:lumOff val="-2288"/>
            <a:alphaOff val="0"/>
          </a:srgbClr>
        </a:solidFill>
        <a:ln w="12700" cap="flat" cmpd="sng" algn="ctr">
          <a:solidFill>
            <a:srgbClr val="4472C4">
              <a:hueOff val="-4289451"/>
              <a:satOff val="-5966"/>
              <a:lumOff val="-228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17.09.20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4735072"/>
        <a:ext cx="468372" cy="200731"/>
      </dsp:txXfrm>
    </dsp:sp>
    <dsp:sp modelId="{569AD216-58FE-4509-AD23-BB23B27A060C}">
      <dsp:nvSpPr>
        <dsp:cNvPr id="0" name=""/>
        <dsp:cNvSpPr/>
      </dsp:nvSpPr>
      <dsp:spPr>
        <a:xfrm rot="5400000">
          <a:off x="2881523" y="2087736"/>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4289451"/>
              <a:satOff val="-5966"/>
              <a:lumOff val="-228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Представяне на План за целите в областта на климата до 2030г.</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4522118"/>
        <a:ext cx="5239988" cy="392455"/>
      </dsp:txXfrm>
    </dsp:sp>
    <dsp:sp modelId="{0574EBBA-9929-4118-B7CE-62A36CA8E70C}">
      <dsp:nvSpPr>
        <dsp:cNvPr id="0" name=""/>
        <dsp:cNvSpPr/>
      </dsp:nvSpPr>
      <dsp:spPr>
        <a:xfrm rot="5400000">
          <a:off x="-100365" y="5218225"/>
          <a:ext cx="669103" cy="468372"/>
        </a:xfrm>
        <a:prstGeom prst="chevron">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14.10.20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5352045"/>
        <a:ext cx="468372" cy="200731"/>
      </dsp:txXfrm>
    </dsp:sp>
    <dsp:sp modelId="{1E2BAB2D-A7CB-480F-94C5-C089B56F08CE}">
      <dsp:nvSpPr>
        <dsp:cNvPr id="0" name=""/>
        <dsp:cNvSpPr/>
      </dsp:nvSpPr>
      <dsp:spPr>
        <a:xfrm rot="5400000">
          <a:off x="2881523" y="2704709"/>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План за саниране, План за метана, Стратегия за химичните вещества с цел устойчивост</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5139091"/>
        <a:ext cx="5239988" cy="392455"/>
      </dsp:txXfrm>
    </dsp:sp>
    <dsp:sp modelId="{A3CF88AF-A4D9-486D-BC6A-ABC9772053E9}">
      <dsp:nvSpPr>
        <dsp:cNvPr id="0" name=""/>
        <dsp:cNvSpPr/>
      </dsp:nvSpPr>
      <dsp:spPr>
        <a:xfrm rot="5400000">
          <a:off x="-100365" y="5835199"/>
          <a:ext cx="669103" cy="468372"/>
        </a:xfrm>
        <a:prstGeom prst="chevron">
          <a:avLst/>
        </a:prstGeom>
        <a:solidFill>
          <a:srgbClr val="4472C4">
            <a:hueOff val="-5515009"/>
            <a:satOff val="-7671"/>
            <a:lumOff val="-2942"/>
            <a:alphaOff val="0"/>
          </a:srgbClr>
        </a:solidFill>
        <a:ln w="12700" cap="flat" cmpd="sng" algn="ctr">
          <a:solidFill>
            <a:srgbClr val="4472C4">
              <a:hueOff val="-5515009"/>
              <a:satOff val="-7671"/>
              <a:lumOff val="-294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19.11.20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5969019"/>
        <a:ext cx="468372" cy="200731"/>
      </dsp:txXfrm>
    </dsp:sp>
    <dsp:sp modelId="{12F56F55-6EB3-4CF0-9C73-49484206F9D8}">
      <dsp:nvSpPr>
        <dsp:cNvPr id="0" name=""/>
        <dsp:cNvSpPr/>
      </dsp:nvSpPr>
      <dsp:spPr>
        <a:xfrm rot="5400000">
          <a:off x="2881523" y="3321682"/>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5515009"/>
              <a:satOff val="-7671"/>
              <a:lumOff val="-294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Енергия от възобновяеми източници в морето</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5756064"/>
        <a:ext cx="5239988" cy="392455"/>
      </dsp:txXfrm>
    </dsp:sp>
    <dsp:sp modelId="{1DB86A8F-73BB-4AAD-B365-F1307ABFCA7A}">
      <dsp:nvSpPr>
        <dsp:cNvPr id="0" name=""/>
        <dsp:cNvSpPr/>
      </dsp:nvSpPr>
      <dsp:spPr>
        <a:xfrm rot="5400000">
          <a:off x="-100365" y="6452172"/>
          <a:ext cx="669103" cy="468372"/>
        </a:xfrm>
        <a:prstGeom prst="chevron">
          <a:avLst/>
        </a:prstGeom>
        <a:solidFill>
          <a:srgbClr val="4472C4">
            <a:hueOff val="-6127787"/>
            <a:satOff val="-8523"/>
            <a:lumOff val="-3268"/>
            <a:alphaOff val="0"/>
          </a:srgbClr>
        </a:solidFill>
        <a:ln w="12700" cap="flat" cmpd="sng" algn="ctr">
          <a:solidFill>
            <a:srgbClr val="4472C4">
              <a:hueOff val="-6127787"/>
              <a:satOff val="-8523"/>
              <a:lumOff val="-326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09.12.20</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6585992"/>
        <a:ext cx="468372" cy="200731"/>
      </dsp:txXfrm>
    </dsp:sp>
    <dsp:sp modelId="{D078A783-689F-42AF-8FB3-912537C93781}">
      <dsp:nvSpPr>
        <dsp:cNvPr id="0" name=""/>
        <dsp:cNvSpPr/>
      </dsp:nvSpPr>
      <dsp:spPr>
        <a:xfrm rot="5400000">
          <a:off x="2881523" y="3938655"/>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6127787"/>
              <a:satOff val="-8523"/>
              <a:lumOff val="-326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Европейски пакт за климата</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6373037"/>
        <a:ext cx="5239988" cy="392455"/>
      </dsp:txXfrm>
    </dsp:sp>
    <dsp:sp modelId="{CDF9A143-B535-4CF2-934A-08B805BEEDD9}">
      <dsp:nvSpPr>
        <dsp:cNvPr id="0" name=""/>
        <dsp:cNvSpPr/>
      </dsp:nvSpPr>
      <dsp:spPr>
        <a:xfrm rot="5400000">
          <a:off x="-100365" y="7069145"/>
          <a:ext cx="669103" cy="468372"/>
        </a:xfrm>
        <a:prstGeom prst="chevron">
          <a:avLst/>
        </a:prstGeom>
        <a:solidFill>
          <a:srgbClr val="4472C4">
            <a:hueOff val="-6740566"/>
            <a:satOff val="-9376"/>
            <a:lumOff val="-3595"/>
            <a:alphaOff val="0"/>
          </a:srgbClr>
        </a:solidFill>
        <a:ln w="12700" cap="flat" cmpd="sng" algn="ctr">
          <a:solidFill>
            <a:srgbClr val="4472C4">
              <a:hueOff val="-6740566"/>
              <a:satOff val="-9376"/>
              <a:lumOff val="-359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bg-BG" sz="1050" b="1" kern="1200">
              <a:solidFill>
                <a:srgbClr val="002060"/>
              </a:solidFill>
              <a:latin typeface="Cambria" panose="02040503050406030204" pitchFamily="18" charset="0"/>
              <a:ea typeface="Cambria" panose="02040503050406030204" pitchFamily="18" charset="0"/>
              <a:cs typeface="+mn-cs"/>
            </a:rPr>
            <a:t>10.12.20</a:t>
          </a:r>
          <a:endParaRPr lang="en-US" sz="1050" b="1" kern="1200">
            <a:solidFill>
              <a:srgbClr val="002060"/>
            </a:solidFill>
            <a:latin typeface="Cambria" panose="02040503050406030204" pitchFamily="18" charset="0"/>
            <a:ea typeface="Cambria" panose="02040503050406030204" pitchFamily="18" charset="0"/>
            <a:cs typeface="+mn-cs"/>
          </a:endParaRPr>
        </a:p>
      </dsp:txBody>
      <dsp:txXfrm rot="-5400000">
        <a:off x="1" y="7202965"/>
        <a:ext cx="468372" cy="200731"/>
      </dsp:txXfrm>
    </dsp:sp>
    <dsp:sp modelId="{4EC7D9D2-4F3F-41AD-A49F-F35C7543AF90}">
      <dsp:nvSpPr>
        <dsp:cNvPr id="0" name=""/>
        <dsp:cNvSpPr/>
      </dsp:nvSpPr>
      <dsp:spPr>
        <a:xfrm rot="5400000">
          <a:off x="2881523" y="4555628"/>
          <a:ext cx="434917" cy="5261219"/>
        </a:xfrm>
        <a:prstGeom prst="round2SameRect">
          <a:avLst/>
        </a:prstGeom>
        <a:solidFill>
          <a:sysClr val="window" lastClr="FFFFFF">
            <a:alpha val="90000"/>
            <a:hueOff val="0"/>
            <a:satOff val="0"/>
            <a:lumOff val="0"/>
            <a:alphaOff val="0"/>
          </a:sysClr>
        </a:solidFill>
        <a:ln w="12700" cap="flat" cmpd="sng" algn="ctr">
          <a:solidFill>
            <a:srgbClr val="4472C4">
              <a:hueOff val="-6740566"/>
              <a:satOff val="-9376"/>
              <a:lumOff val="-359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Европейски алианс за акумулаторните батерии</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468373" y="6990010"/>
        <a:ext cx="5239988" cy="392455"/>
      </dsp:txXfrm>
    </dsp:sp>
    <dsp:sp modelId="{7FC38286-01DF-4C5F-9135-320AE939B5E8}">
      <dsp:nvSpPr>
        <dsp:cNvPr id="0" name=""/>
        <dsp:cNvSpPr/>
      </dsp:nvSpPr>
      <dsp:spPr>
        <a:xfrm rot="5400000">
          <a:off x="-100365" y="7686118"/>
          <a:ext cx="669103" cy="468372"/>
        </a:xfrm>
        <a:prstGeom prst="chevron">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bg-BG" sz="1050" b="1" kern="1200">
              <a:solidFill>
                <a:srgbClr val="002060"/>
              </a:solidFill>
              <a:latin typeface="Cambria" panose="02040503050406030204" pitchFamily="18" charset="0"/>
              <a:ea typeface="Cambria" panose="02040503050406030204" pitchFamily="18" charset="0"/>
              <a:cs typeface="+mn-cs"/>
            </a:rPr>
            <a:t>18.01.21</a:t>
          </a:r>
          <a:endParaRPr lang="en-US" sz="1050" b="1" kern="1200">
            <a:solidFill>
              <a:srgbClr val="002060"/>
            </a:solidFill>
            <a:latin typeface="Cambria" panose="02040503050406030204" pitchFamily="18" charset="0"/>
            <a:ea typeface="Cambria" panose="02040503050406030204" pitchFamily="18" charset="0"/>
            <a:cs typeface="+mn-cs"/>
          </a:endParaRPr>
        </a:p>
      </dsp:txBody>
      <dsp:txXfrm rot="-5400000">
        <a:off x="1" y="7819938"/>
        <a:ext cx="468372" cy="200731"/>
      </dsp:txXfrm>
    </dsp:sp>
    <dsp:sp modelId="{1BF55025-7862-4A6A-A4E8-7650D1007729}">
      <dsp:nvSpPr>
        <dsp:cNvPr id="0" name=""/>
        <dsp:cNvSpPr/>
      </dsp:nvSpPr>
      <dsp:spPr>
        <a:xfrm rot="5400000">
          <a:off x="2881523" y="5149951"/>
          <a:ext cx="434917" cy="5261219"/>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rPr>
            <a:t>нов Европейски Баухаус</a:t>
          </a:r>
          <a:endParaRPr lang="en-US" sz="1100" b="1" kern="1200">
            <a:solidFill>
              <a:srgbClr val="002060"/>
            </a:solidFill>
            <a:latin typeface="Cambria" panose="02040503050406030204" pitchFamily="18" charset="0"/>
            <a:ea typeface="Cambria" panose="02040503050406030204" pitchFamily="18" charset="0"/>
          </a:endParaRPr>
        </a:p>
      </dsp:txBody>
      <dsp:txXfrm rot="-5400000">
        <a:off x="468373" y="7584333"/>
        <a:ext cx="5239988" cy="3924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30139-ABED-4C68-A126-E9E0CACF3D40}">
      <dsp:nvSpPr>
        <dsp:cNvPr id="0" name=""/>
        <dsp:cNvSpPr/>
      </dsp:nvSpPr>
      <dsp:spPr>
        <a:xfrm rot="5400000">
          <a:off x="-115319" y="123497"/>
          <a:ext cx="768799" cy="538159"/>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24.02.</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277257"/>
        <a:ext cx="538159" cy="230640"/>
      </dsp:txXfrm>
    </dsp:sp>
    <dsp:sp modelId="{FAF2AF55-A654-44F3-B92C-B6CA469148D2}">
      <dsp:nvSpPr>
        <dsp:cNvPr id="0" name=""/>
        <dsp:cNvSpPr/>
      </dsp:nvSpPr>
      <dsp:spPr>
        <a:xfrm rot="5400000">
          <a:off x="2883573" y="-2337236"/>
          <a:ext cx="499982" cy="5190810"/>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Нова стратегия на ЕК за адаптация към изменението на климата</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538160" y="32584"/>
        <a:ext cx="5166403" cy="451168"/>
      </dsp:txXfrm>
    </dsp:sp>
    <dsp:sp modelId="{E94C0AA8-26AF-448A-A26E-5923F2965E6C}">
      <dsp:nvSpPr>
        <dsp:cNvPr id="0" name=""/>
        <dsp:cNvSpPr/>
      </dsp:nvSpPr>
      <dsp:spPr>
        <a:xfrm rot="5400000">
          <a:off x="-115319" y="832391"/>
          <a:ext cx="768799" cy="538159"/>
        </a:xfrm>
        <a:prstGeom prst="chevron">
          <a:avLst/>
        </a:prstGeom>
        <a:solidFill>
          <a:srgbClr val="4472C4">
            <a:hueOff val="-612779"/>
            <a:satOff val="-852"/>
            <a:lumOff val="-327"/>
            <a:alphaOff val="0"/>
          </a:srgbClr>
        </a:solidFill>
        <a:ln w="12700" cap="flat" cmpd="sng" algn="ctr">
          <a:solidFill>
            <a:srgbClr val="4472C4">
              <a:hueOff val="-612779"/>
              <a:satOff val="-852"/>
              <a:lumOff val="-32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25</a:t>
          </a:r>
          <a:r>
            <a:rPr lang="en-US" sz="1100" b="1" kern="1200">
              <a:solidFill>
                <a:srgbClr val="002060"/>
              </a:solidFill>
              <a:latin typeface="Cambria" panose="02040503050406030204" pitchFamily="18" charset="0"/>
              <a:ea typeface="Cambria" panose="02040503050406030204" pitchFamily="18" charset="0"/>
              <a:cs typeface="+mn-cs"/>
            </a:rPr>
            <a:t>.0</a:t>
          </a:r>
          <a:r>
            <a:rPr lang="bg-BG" sz="1100" b="1" kern="1200">
              <a:solidFill>
                <a:srgbClr val="002060"/>
              </a:solidFill>
              <a:latin typeface="Cambria" panose="02040503050406030204" pitchFamily="18" charset="0"/>
              <a:ea typeface="Cambria" panose="02040503050406030204" pitchFamily="18" charset="0"/>
              <a:cs typeface="+mn-cs"/>
            </a:rPr>
            <a:t>3</a:t>
          </a:r>
          <a:r>
            <a:rPr lang="en-US" sz="1100" b="1" kern="1200">
              <a:solidFill>
                <a:srgbClr val="002060"/>
              </a:solidFill>
              <a:latin typeface="Cambria" panose="02040503050406030204" pitchFamily="18" charset="0"/>
              <a:ea typeface="Cambria" panose="02040503050406030204" pitchFamily="18" charset="0"/>
              <a:cs typeface="+mn-cs"/>
            </a:rPr>
            <a:t>.</a:t>
          </a:r>
          <a:endParaRPr lang="bg-BG" sz="1100" b="1" kern="1200">
            <a:solidFill>
              <a:srgbClr val="002060"/>
            </a:solidFill>
            <a:latin typeface="Cambria" panose="02040503050406030204" pitchFamily="18" charset="0"/>
            <a:ea typeface="Cambria" panose="02040503050406030204" pitchFamily="18" charset="0"/>
            <a:cs typeface="+mn-cs"/>
          </a:endParaRPr>
        </a:p>
        <a:p>
          <a:pPr lvl="0" algn="ctr" defTabSz="488950">
            <a:lnSpc>
              <a:spcPct val="90000"/>
            </a:lnSpc>
            <a:spcBef>
              <a:spcPct val="0"/>
            </a:spcBef>
            <a:spcAft>
              <a:spcPct val="35000"/>
            </a:spcAft>
          </a:pPr>
          <a:r>
            <a:rPr lang="en-US" sz="1100" b="1" kern="1200">
              <a:solidFill>
                <a:srgbClr val="002060"/>
              </a:solidFill>
              <a:latin typeface="Cambria" panose="02040503050406030204" pitchFamily="18" charset="0"/>
              <a:ea typeface="Cambria" panose="02040503050406030204" pitchFamily="18" charset="0"/>
              <a:cs typeface="+mn-cs"/>
            </a:rPr>
            <a:t>2</a:t>
          </a:r>
          <a:r>
            <a:rPr lang="bg-BG" sz="1100" b="1" kern="1200">
              <a:solidFill>
                <a:srgbClr val="002060"/>
              </a:solidFill>
              <a:latin typeface="Cambria" panose="02040503050406030204" pitchFamily="18" charset="0"/>
              <a:ea typeface="Cambria" panose="02040503050406030204" pitchFamily="18" charset="0"/>
              <a:cs typeface="+mn-cs"/>
            </a:rPr>
            <a:t>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986151"/>
        <a:ext cx="538159" cy="230640"/>
      </dsp:txXfrm>
    </dsp:sp>
    <dsp:sp modelId="{B0995E04-3C20-4CAD-A59C-B4E45B151ED7}">
      <dsp:nvSpPr>
        <dsp:cNvPr id="0" name=""/>
        <dsp:cNvSpPr/>
      </dsp:nvSpPr>
      <dsp:spPr>
        <a:xfrm rot="5400000">
          <a:off x="2883704" y="-1628473"/>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612779"/>
              <a:satOff val="-852"/>
              <a:lumOff val="-32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План за действие в областта на биологичното производство</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538159" y="741466"/>
        <a:ext cx="5166416" cy="450931"/>
      </dsp:txXfrm>
    </dsp:sp>
    <dsp:sp modelId="{ECC1EAF7-3D5F-4F69-BB26-C0CDE5C25866}">
      <dsp:nvSpPr>
        <dsp:cNvPr id="0" name=""/>
        <dsp:cNvSpPr/>
      </dsp:nvSpPr>
      <dsp:spPr>
        <a:xfrm rot="5400000">
          <a:off x="-115319" y="1541286"/>
          <a:ext cx="768799" cy="538159"/>
        </a:xfrm>
        <a:prstGeom prst="chevron">
          <a:avLst/>
        </a:prstGeom>
        <a:solidFill>
          <a:srgbClr val="4472C4">
            <a:hueOff val="-1225557"/>
            <a:satOff val="-1705"/>
            <a:lumOff val="-654"/>
            <a:alphaOff val="0"/>
          </a:srgbClr>
        </a:solidFill>
        <a:ln w="12700" cap="flat" cmpd="sng" algn="ctr">
          <a:solidFill>
            <a:srgbClr val="4472C4">
              <a:hueOff val="-1225557"/>
              <a:satOff val="-1705"/>
              <a:lumOff val="-6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12.05.</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1695046"/>
        <a:ext cx="538159" cy="230640"/>
      </dsp:txXfrm>
    </dsp:sp>
    <dsp:sp modelId="{D6ED99AA-4082-44BC-8DCA-9752A290BB44}">
      <dsp:nvSpPr>
        <dsp:cNvPr id="0" name=""/>
        <dsp:cNvSpPr/>
      </dsp:nvSpPr>
      <dsp:spPr>
        <a:xfrm rot="5400000">
          <a:off x="2883704" y="-919579"/>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1225557"/>
              <a:satOff val="-1705"/>
              <a:lumOff val="-6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План за действие за нулево замърсяване</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538159" y="1450360"/>
        <a:ext cx="5166416" cy="450931"/>
      </dsp:txXfrm>
    </dsp:sp>
    <dsp:sp modelId="{95DF6846-B9AD-4F6A-B310-5A5E3CD70D42}">
      <dsp:nvSpPr>
        <dsp:cNvPr id="0" name=""/>
        <dsp:cNvSpPr/>
      </dsp:nvSpPr>
      <dsp:spPr>
        <a:xfrm rot="5400000">
          <a:off x="-115319" y="2250180"/>
          <a:ext cx="768799" cy="538159"/>
        </a:xfrm>
        <a:prstGeom prst="chevron">
          <a:avLst/>
        </a:prstGeom>
        <a:solidFill>
          <a:srgbClr val="4472C4">
            <a:hueOff val="-1838336"/>
            <a:satOff val="-2557"/>
            <a:lumOff val="-981"/>
            <a:alphaOff val="0"/>
          </a:srgbClr>
        </a:solidFill>
        <a:ln w="12700" cap="flat" cmpd="sng" algn="ctr">
          <a:solidFill>
            <a:srgbClr val="4472C4">
              <a:hueOff val="-1838336"/>
              <a:satOff val="-2557"/>
              <a:lumOff val="-98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17.05.</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2403940"/>
        <a:ext cx="538159" cy="230640"/>
      </dsp:txXfrm>
    </dsp:sp>
    <dsp:sp modelId="{EC26E6DC-DBBD-4679-BEE5-999406CF0C41}">
      <dsp:nvSpPr>
        <dsp:cNvPr id="0" name=""/>
        <dsp:cNvSpPr/>
      </dsp:nvSpPr>
      <dsp:spPr>
        <a:xfrm rot="5400000">
          <a:off x="2883704" y="-210684"/>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1838336"/>
              <a:satOff val="-2557"/>
              <a:lumOff val="-98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Устойчива синя икономика</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2159255"/>
        <a:ext cx="5166416" cy="450931"/>
      </dsp:txXfrm>
    </dsp:sp>
    <dsp:sp modelId="{5544BC65-4267-4BC8-9E7C-EC475C046460}">
      <dsp:nvSpPr>
        <dsp:cNvPr id="0" name=""/>
        <dsp:cNvSpPr/>
      </dsp:nvSpPr>
      <dsp:spPr>
        <a:xfrm rot="5400000">
          <a:off x="-115319" y="2959075"/>
          <a:ext cx="768799" cy="538159"/>
        </a:xfrm>
        <a:prstGeom prst="chevron">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14.07.</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3112835"/>
        <a:ext cx="538159" cy="230640"/>
      </dsp:txXfrm>
    </dsp:sp>
    <dsp:sp modelId="{0AF8CBF6-BB21-4A69-9956-8BC4EFCFA71C}">
      <dsp:nvSpPr>
        <dsp:cNvPr id="0" name=""/>
        <dsp:cNvSpPr/>
      </dsp:nvSpPr>
      <dsp:spPr>
        <a:xfrm rot="5400000">
          <a:off x="2883704" y="498209"/>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Осъществяване на Европейския зелен пакт</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2868148"/>
        <a:ext cx="5166416" cy="450931"/>
      </dsp:txXfrm>
    </dsp:sp>
    <dsp:sp modelId="{DFF501C2-F973-4D0F-8182-4B59A2E18133}">
      <dsp:nvSpPr>
        <dsp:cNvPr id="0" name=""/>
        <dsp:cNvSpPr/>
      </dsp:nvSpPr>
      <dsp:spPr>
        <a:xfrm rot="5400000">
          <a:off x="-115319" y="3685452"/>
          <a:ext cx="768799" cy="538159"/>
        </a:xfrm>
        <a:prstGeom prst="chevron">
          <a:avLst/>
        </a:prstGeom>
        <a:solidFill>
          <a:srgbClr val="4472C4">
            <a:hueOff val="-3063894"/>
            <a:satOff val="-4262"/>
            <a:lumOff val="-1634"/>
            <a:alphaOff val="0"/>
          </a:srgbClr>
        </a:solidFill>
        <a:ln w="12700" cap="flat" cmpd="sng" algn="ctr">
          <a:solidFill>
            <a:srgbClr val="4472C4">
              <a:hueOff val="-3063894"/>
              <a:satOff val="-4262"/>
              <a:lumOff val="-163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15.09.</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3839212"/>
        <a:ext cx="538159" cy="230640"/>
      </dsp:txXfrm>
    </dsp:sp>
    <dsp:sp modelId="{687F1159-9BCF-4CB0-B121-24AAE1449BC0}">
      <dsp:nvSpPr>
        <dsp:cNvPr id="0" name=""/>
        <dsp:cNvSpPr/>
      </dsp:nvSpPr>
      <dsp:spPr>
        <a:xfrm rot="5400000">
          <a:off x="2866222" y="1268812"/>
          <a:ext cx="534684" cy="5102359"/>
        </a:xfrm>
        <a:prstGeom prst="round2SameRect">
          <a:avLst/>
        </a:prstGeom>
        <a:solidFill>
          <a:sysClr val="window" lastClr="FFFFFF">
            <a:alpha val="90000"/>
            <a:hueOff val="0"/>
            <a:satOff val="0"/>
            <a:lumOff val="0"/>
            <a:alphaOff val="0"/>
          </a:sysClr>
        </a:solidFill>
        <a:ln w="12700" cap="flat" cmpd="sng" algn="ctr">
          <a:solidFill>
            <a:srgbClr val="4472C4">
              <a:hueOff val="-3063894"/>
              <a:satOff val="-4262"/>
              <a:lumOff val="-163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Нов европейски Баухаус: нови действия и финансиране</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82385" y="3578751"/>
        <a:ext cx="5076258" cy="482482"/>
      </dsp:txXfrm>
    </dsp:sp>
    <dsp:sp modelId="{DB86B60E-7A76-4121-AEA3-ABE6B2B5B4EF}">
      <dsp:nvSpPr>
        <dsp:cNvPr id="0" name=""/>
        <dsp:cNvSpPr/>
      </dsp:nvSpPr>
      <dsp:spPr>
        <a:xfrm rot="5400000">
          <a:off x="-115319" y="4394346"/>
          <a:ext cx="768799" cy="538159"/>
        </a:xfrm>
        <a:prstGeom prst="chevron">
          <a:avLst/>
        </a:prstGeom>
        <a:solidFill>
          <a:srgbClr val="4472C4">
            <a:hueOff val="-3676672"/>
            <a:satOff val="-5114"/>
            <a:lumOff val="-1961"/>
            <a:alphaOff val="0"/>
          </a:srgbClr>
        </a:solidFill>
        <a:ln w="12700" cap="flat" cmpd="sng" algn="ctr">
          <a:solidFill>
            <a:srgbClr val="4472C4">
              <a:hueOff val="-3676672"/>
              <a:satOff val="-5114"/>
              <a:lumOff val="-1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17.11.</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4548106"/>
        <a:ext cx="538159" cy="230640"/>
      </dsp:txXfrm>
    </dsp:sp>
    <dsp:sp modelId="{6455F6B6-9F17-4F3D-BF7E-644A64AF75CB}">
      <dsp:nvSpPr>
        <dsp:cNvPr id="0" name=""/>
        <dsp:cNvSpPr/>
      </dsp:nvSpPr>
      <dsp:spPr>
        <a:xfrm rot="5400000">
          <a:off x="2883704" y="1933481"/>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3676672"/>
              <a:satOff val="-5114"/>
              <a:lumOff val="-1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Предложения за спиране на обезлесяването, за иновации в устойчивото управление на отпадъците и за подобряване на състоянието на почвите</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4303420"/>
        <a:ext cx="5166416" cy="450931"/>
      </dsp:txXfrm>
    </dsp:sp>
    <dsp:sp modelId="{137B3C28-1399-4796-92F1-4DA73D3E7C25}">
      <dsp:nvSpPr>
        <dsp:cNvPr id="0" name=""/>
        <dsp:cNvSpPr/>
      </dsp:nvSpPr>
      <dsp:spPr>
        <a:xfrm rot="5400000">
          <a:off x="-115319" y="5103241"/>
          <a:ext cx="768799" cy="538159"/>
        </a:xfrm>
        <a:prstGeom prst="chevron">
          <a:avLst/>
        </a:prstGeom>
        <a:solidFill>
          <a:srgbClr val="4472C4">
            <a:hueOff val="-4289451"/>
            <a:satOff val="-5966"/>
            <a:lumOff val="-2288"/>
            <a:alphaOff val="0"/>
          </a:srgbClr>
        </a:solidFill>
        <a:ln w="12700" cap="flat" cmpd="sng" algn="ctr">
          <a:solidFill>
            <a:srgbClr val="4472C4">
              <a:hueOff val="-4289451"/>
              <a:satOff val="-5966"/>
              <a:lumOff val="-228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14.12.</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5257001"/>
        <a:ext cx="538159" cy="230640"/>
      </dsp:txXfrm>
    </dsp:sp>
    <dsp:sp modelId="{569AD216-58FE-4509-AD23-BB23B27A060C}">
      <dsp:nvSpPr>
        <dsp:cNvPr id="0" name=""/>
        <dsp:cNvSpPr/>
      </dsp:nvSpPr>
      <dsp:spPr>
        <a:xfrm rot="5400000">
          <a:off x="2883704" y="2642375"/>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4289451"/>
              <a:satOff val="-5966"/>
              <a:lumOff val="-228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Новите предложения в областта на транспорта са насочени към постигане на по-голяма ефективност и към по-устойчиви пътувания</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5012314"/>
        <a:ext cx="5166416" cy="450931"/>
      </dsp:txXfrm>
    </dsp:sp>
    <dsp:sp modelId="{0574EBBA-9929-4118-B7CE-62A36CA8E70C}">
      <dsp:nvSpPr>
        <dsp:cNvPr id="0" name=""/>
        <dsp:cNvSpPr/>
      </dsp:nvSpPr>
      <dsp:spPr>
        <a:xfrm rot="5400000">
          <a:off x="-115319" y="5812135"/>
          <a:ext cx="768799" cy="538159"/>
        </a:xfrm>
        <a:prstGeom prst="chevron">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15.12.</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21</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5965895"/>
        <a:ext cx="538159" cy="230640"/>
      </dsp:txXfrm>
    </dsp:sp>
    <dsp:sp modelId="{1E2BAB2D-A7CB-480F-94C5-C089B56F08CE}">
      <dsp:nvSpPr>
        <dsp:cNvPr id="0" name=""/>
        <dsp:cNvSpPr/>
      </dsp:nvSpPr>
      <dsp:spPr>
        <a:xfrm rot="5400000">
          <a:off x="2883704" y="3351270"/>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Предложение за нова рамка на ЕС за декарбонизация на пазарите на газ, насърчаване на използването на водород и намаляване на емиисите на метан</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5721209"/>
        <a:ext cx="5166416" cy="450931"/>
      </dsp:txXfrm>
    </dsp:sp>
    <dsp:sp modelId="{A3CF88AF-A4D9-486D-BC6A-ABC9772053E9}">
      <dsp:nvSpPr>
        <dsp:cNvPr id="0" name=""/>
        <dsp:cNvSpPr/>
      </dsp:nvSpPr>
      <dsp:spPr>
        <a:xfrm rot="5400000">
          <a:off x="-115319" y="6521030"/>
          <a:ext cx="768799" cy="538159"/>
        </a:xfrm>
        <a:prstGeom prst="chevron">
          <a:avLst/>
        </a:prstGeom>
        <a:solidFill>
          <a:srgbClr val="4472C4">
            <a:hueOff val="-5515009"/>
            <a:satOff val="-7671"/>
            <a:lumOff val="-2942"/>
            <a:alphaOff val="0"/>
          </a:srgbClr>
        </a:solidFill>
        <a:ln w="12700" cap="flat" cmpd="sng" algn="ctr">
          <a:solidFill>
            <a:srgbClr val="4472C4">
              <a:hueOff val="-5515009"/>
              <a:satOff val="-7671"/>
              <a:lumOff val="-294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08.03.</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6674790"/>
        <a:ext cx="538159" cy="230640"/>
      </dsp:txXfrm>
    </dsp:sp>
    <dsp:sp modelId="{12F56F55-6EB3-4CF0-9C73-49484206F9D8}">
      <dsp:nvSpPr>
        <dsp:cNvPr id="0" name=""/>
        <dsp:cNvSpPr/>
      </dsp:nvSpPr>
      <dsp:spPr>
        <a:xfrm rot="5400000">
          <a:off x="2883704" y="4060164"/>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5515009"/>
              <a:satOff val="-7671"/>
              <a:lumOff val="-294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b="1" kern="1200">
              <a:solidFill>
                <a:srgbClr val="4472C4">
                  <a:lumMod val="50000"/>
                </a:srgbClr>
              </a:solidFill>
              <a:latin typeface="Cambria" panose="02040503050406030204" pitchFamily="18" charset="0"/>
              <a:ea typeface="Cambria" panose="02040503050406030204" pitchFamily="18" charset="0"/>
              <a:cs typeface="+mn-cs"/>
            </a:rPr>
            <a:t>REPowerEU: </a:t>
          </a:r>
          <a:r>
            <a:rPr lang="bg-BG" sz="1050" b="1" kern="1200">
              <a:solidFill>
                <a:srgbClr val="4472C4">
                  <a:lumMod val="50000"/>
                </a:srgbClr>
              </a:solidFill>
              <a:latin typeface="Cambria" panose="02040503050406030204" pitchFamily="18" charset="0"/>
              <a:ea typeface="Cambria" panose="02040503050406030204" pitchFamily="18" charset="0"/>
              <a:cs typeface="+mn-cs"/>
            </a:rPr>
            <a:t>съвместни европейски действия за по-сигурна и устойчива енергия на достъпни цени</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6430103"/>
        <a:ext cx="5166416" cy="450931"/>
      </dsp:txXfrm>
    </dsp:sp>
    <dsp:sp modelId="{1DB86A8F-73BB-4AAD-B365-F1307ABFCA7A}">
      <dsp:nvSpPr>
        <dsp:cNvPr id="0" name=""/>
        <dsp:cNvSpPr/>
      </dsp:nvSpPr>
      <dsp:spPr>
        <a:xfrm rot="5400000">
          <a:off x="-115319" y="7229924"/>
          <a:ext cx="768799" cy="538159"/>
        </a:xfrm>
        <a:prstGeom prst="chevron">
          <a:avLst/>
        </a:prstGeom>
        <a:solidFill>
          <a:srgbClr val="4472C4">
            <a:hueOff val="-6127787"/>
            <a:satOff val="-8523"/>
            <a:lumOff val="-3268"/>
            <a:alphaOff val="0"/>
          </a:srgbClr>
        </a:solidFill>
        <a:ln w="12700" cap="flat" cmpd="sng" algn="ctr">
          <a:solidFill>
            <a:srgbClr val="4472C4">
              <a:hueOff val="-6127787"/>
              <a:satOff val="-8523"/>
              <a:lumOff val="-326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23.03.</a:t>
          </a: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2" y="7383684"/>
        <a:ext cx="538159" cy="230640"/>
      </dsp:txXfrm>
    </dsp:sp>
    <dsp:sp modelId="{D078A783-689F-42AF-8FB3-912537C93781}">
      <dsp:nvSpPr>
        <dsp:cNvPr id="0" name=""/>
        <dsp:cNvSpPr/>
      </dsp:nvSpPr>
      <dsp:spPr>
        <a:xfrm rot="5400000">
          <a:off x="2883704" y="4769058"/>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6127787"/>
              <a:satOff val="-8523"/>
              <a:lumOff val="-326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Възможности за смекчаване на високите цени на енергията чрез съвместно закупуване на газ и задължения за минимално запълване на газохранилищата</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7138997"/>
        <a:ext cx="5166416" cy="450931"/>
      </dsp:txXfrm>
    </dsp:sp>
    <dsp:sp modelId="{CDF9A143-B535-4CF2-934A-08B805BEEDD9}">
      <dsp:nvSpPr>
        <dsp:cNvPr id="0" name=""/>
        <dsp:cNvSpPr/>
      </dsp:nvSpPr>
      <dsp:spPr>
        <a:xfrm rot="5400000">
          <a:off x="-115319" y="7938818"/>
          <a:ext cx="768799" cy="538159"/>
        </a:xfrm>
        <a:prstGeom prst="chevron">
          <a:avLst/>
        </a:prstGeom>
        <a:solidFill>
          <a:srgbClr val="4472C4">
            <a:hueOff val="-6740566"/>
            <a:satOff val="-9376"/>
            <a:lumOff val="-3595"/>
            <a:alphaOff val="0"/>
          </a:srgbClr>
        </a:solidFill>
        <a:ln w="12700" cap="flat" cmpd="sng" algn="ctr">
          <a:solidFill>
            <a:srgbClr val="4472C4">
              <a:hueOff val="-6740566"/>
              <a:satOff val="-9376"/>
              <a:lumOff val="-359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bg-BG" sz="1050" b="1" kern="1200">
              <a:solidFill>
                <a:srgbClr val="002060"/>
              </a:solidFill>
              <a:latin typeface="Cambria" panose="02040503050406030204" pitchFamily="18" charset="0"/>
              <a:ea typeface="Cambria" panose="02040503050406030204" pitchFamily="18" charset="0"/>
              <a:cs typeface="+mn-cs"/>
            </a:rPr>
            <a:t>30.03.</a:t>
          </a:r>
        </a:p>
        <a:p>
          <a:pPr lvl="0" algn="ctr" defTabSz="466725">
            <a:lnSpc>
              <a:spcPct val="90000"/>
            </a:lnSpc>
            <a:spcBef>
              <a:spcPct val="0"/>
            </a:spcBef>
            <a:spcAft>
              <a:spcPct val="35000"/>
            </a:spcAft>
          </a:pPr>
          <a:r>
            <a:rPr lang="bg-BG" sz="1050" b="1" kern="1200">
              <a:solidFill>
                <a:srgbClr val="002060"/>
              </a:solidFill>
              <a:latin typeface="Cambria" panose="02040503050406030204" pitchFamily="18" charset="0"/>
              <a:ea typeface="Cambria" panose="02040503050406030204" pitchFamily="18" charset="0"/>
              <a:cs typeface="+mn-cs"/>
            </a:rPr>
            <a:t>22</a:t>
          </a:r>
          <a:endParaRPr lang="en-US" sz="1050" b="1" kern="1200">
            <a:solidFill>
              <a:srgbClr val="002060"/>
            </a:solidFill>
            <a:latin typeface="Cambria" panose="02040503050406030204" pitchFamily="18" charset="0"/>
            <a:ea typeface="Cambria" panose="02040503050406030204" pitchFamily="18" charset="0"/>
            <a:cs typeface="+mn-cs"/>
          </a:endParaRPr>
        </a:p>
      </dsp:txBody>
      <dsp:txXfrm rot="-5400000">
        <a:off x="2" y="8092578"/>
        <a:ext cx="538159" cy="230640"/>
      </dsp:txXfrm>
    </dsp:sp>
    <dsp:sp modelId="{4EC7D9D2-4F3F-41AD-A49F-F35C7543AF90}">
      <dsp:nvSpPr>
        <dsp:cNvPr id="0" name=""/>
        <dsp:cNvSpPr/>
      </dsp:nvSpPr>
      <dsp:spPr>
        <a:xfrm rot="5400000">
          <a:off x="2883704" y="5477953"/>
          <a:ext cx="499719" cy="5190810"/>
        </a:xfrm>
        <a:prstGeom prst="round2SameRect">
          <a:avLst/>
        </a:prstGeom>
        <a:solidFill>
          <a:sysClr val="window" lastClr="FFFFFF">
            <a:alpha val="90000"/>
            <a:hueOff val="0"/>
            <a:satOff val="0"/>
            <a:lumOff val="0"/>
            <a:alphaOff val="0"/>
          </a:sysClr>
        </a:solidFill>
        <a:ln w="12700" cap="flat" cmpd="sng" algn="ctr">
          <a:solidFill>
            <a:srgbClr val="4472C4">
              <a:hueOff val="-6740566"/>
              <a:satOff val="-9376"/>
              <a:lumOff val="-359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4472C4">
                  <a:lumMod val="50000"/>
                </a:srgbClr>
              </a:solidFill>
              <a:latin typeface="Cambria" panose="02040503050406030204" pitchFamily="18" charset="0"/>
              <a:ea typeface="Cambria" panose="02040503050406030204" pitchFamily="18" charset="0"/>
              <a:cs typeface="+mn-cs"/>
            </a:rPr>
            <a:t>Предложения за превръщане на устойчивите продукти в норма в ЕС, насърчаване на кръговите бизнес модели и засилване на ролята на потребителите в екологичния преход</a:t>
          </a:r>
          <a:endParaRPr lang="en-US" sz="1050" b="1" kern="1200">
            <a:solidFill>
              <a:srgbClr val="4472C4">
                <a:lumMod val="50000"/>
              </a:srgbClr>
            </a:solidFill>
            <a:latin typeface="Cambria" panose="02040503050406030204" pitchFamily="18" charset="0"/>
            <a:ea typeface="Cambria" panose="02040503050406030204" pitchFamily="18" charset="0"/>
            <a:cs typeface="+mn-cs"/>
          </a:endParaRPr>
        </a:p>
      </dsp:txBody>
      <dsp:txXfrm rot="-5400000">
        <a:off x="538159" y="7847892"/>
        <a:ext cx="5166416" cy="450931"/>
      </dsp:txXfrm>
    </dsp:sp>
    <dsp:sp modelId="{7FC38286-01DF-4C5F-9135-320AE939B5E8}">
      <dsp:nvSpPr>
        <dsp:cNvPr id="0" name=""/>
        <dsp:cNvSpPr/>
      </dsp:nvSpPr>
      <dsp:spPr>
        <a:xfrm rot="5400000">
          <a:off x="-115319" y="8647713"/>
          <a:ext cx="768799" cy="538159"/>
        </a:xfrm>
        <a:prstGeom prst="chevron">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bg-BG" sz="1050" b="1" kern="1200">
              <a:solidFill>
                <a:srgbClr val="002060"/>
              </a:solidFill>
              <a:latin typeface="Cambria" panose="02040503050406030204" pitchFamily="18" charset="0"/>
              <a:ea typeface="Cambria" panose="02040503050406030204" pitchFamily="18" charset="0"/>
              <a:cs typeface="+mn-cs"/>
            </a:rPr>
            <a:t>05.04.</a:t>
          </a:r>
        </a:p>
        <a:p>
          <a:pPr lvl="0" algn="ctr" defTabSz="466725">
            <a:lnSpc>
              <a:spcPct val="90000"/>
            </a:lnSpc>
            <a:spcBef>
              <a:spcPct val="0"/>
            </a:spcBef>
            <a:spcAft>
              <a:spcPct val="35000"/>
            </a:spcAft>
          </a:pPr>
          <a:r>
            <a:rPr lang="bg-BG" sz="1050" b="1" kern="1200">
              <a:solidFill>
                <a:srgbClr val="002060"/>
              </a:solidFill>
              <a:latin typeface="Cambria" panose="02040503050406030204" pitchFamily="18" charset="0"/>
              <a:ea typeface="Cambria" panose="02040503050406030204" pitchFamily="18" charset="0"/>
              <a:cs typeface="+mn-cs"/>
            </a:rPr>
            <a:t>22</a:t>
          </a:r>
          <a:endParaRPr lang="en-US" sz="1050" b="1" kern="1200">
            <a:solidFill>
              <a:srgbClr val="002060"/>
            </a:solidFill>
            <a:latin typeface="Cambria" panose="02040503050406030204" pitchFamily="18" charset="0"/>
            <a:ea typeface="Cambria" panose="02040503050406030204" pitchFamily="18" charset="0"/>
            <a:cs typeface="+mn-cs"/>
          </a:endParaRPr>
        </a:p>
      </dsp:txBody>
      <dsp:txXfrm rot="-5400000">
        <a:off x="2" y="8801473"/>
        <a:ext cx="538159" cy="230640"/>
      </dsp:txXfrm>
    </dsp:sp>
    <dsp:sp modelId="{1BF55025-7862-4A6A-A4E8-7650D1007729}">
      <dsp:nvSpPr>
        <dsp:cNvPr id="0" name=""/>
        <dsp:cNvSpPr/>
      </dsp:nvSpPr>
      <dsp:spPr>
        <a:xfrm rot="5400000">
          <a:off x="2883704" y="6160822"/>
          <a:ext cx="499719" cy="5190810"/>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bg-BG" sz="1050" b="1" kern="1200">
              <a:solidFill>
                <a:srgbClr val="002060"/>
              </a:solidFill>
              <a:latin typeface="Cambria" panose="02040503050406030204" pitchFamily="18" charset="0"/>
              <a:ea typeface="Cambria" panose="02040503050406030204" pitchFamily="18" charset="0"/>
            </a:rPr>
            <a:t>Предложения за модернизиране на правилата на ЕС за емисиите от промишлеността с цел насочване на едрата промишленост към дългосрочен екологичен преход</a:t>
          </a:r>
          <a:endParaRPr lang="en-US" sz="1050" b="1" kern="1200">
            <a:solidFill>
              <a:srgbClr val="002060"/>
            </a:solidFill>
            <a:latin typeface="Cambria" panose="02040503050406030204" pitchFamily="18" charset="0"/>
            <a:ea typeface="Cambria" panose="02040503050406030204" pitchFamily="18" charset="0"/>
          </a:endParaRPr>
        </a:p>
      </dsp:txBody>
      <dsp:txXfrm rot="-5400000">
        <a:off x="538159" y="8530761"/>
        <a:ext cx="5166416" cy="4509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30139-ABED-4C68-A126-E9E0CACF3D40}">
      <dsp:nvSpPr>
        <dsp:cNvPr id="0" name=""/>
        <dsp:cNvSpPr/>
      </dsp:nvSpPr>
      <dsp:spPr>
        <a:xfrm rot="5400000">
          <a:off x="-114877" y="115897"/>
          <a:ext cx="765850" cy="536095"/>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22.04.</a:t>
          </a:r>
          <a:endParaRPr lang="en-US" sz="1100" b="1" kern="1200">
            <a:solidFill>
              <a:srgbClr val="002060"/>
            </a:solidFill>
            <a:latin typeface="Cambria" panose="02040503050406030204" pitchFamily="18" charset="0"/>
            <a:ea typeface="Cambria" panose="02040503050406030204" pitchFamily="18" charset="0"/>
            <a:cs typeface="+mn-cs"/>
          </a:endParaRP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269068"/>
        <a:ext cx="536095" cy="229755"/>
      </dsp:txXfrm>
    </dsp:sp>
    <dsp:sp modelId="{FAF2AF55-A654-44F3-B92C-B6CA469148D2}">
      <dsp:nvSpPr>
        <dsp:cNvPr id="0" name=""/>
        <dsp:cNvSpPr/>
      </dsp:nvSpPr>
      <dsp:spPr>
        <a:xfrm rot="5400000">
          <a:off x="2888674" y="-2351559"/>
          <a:ext cx="498064" cy="5203223"/>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Европейската комисия се присъединява към европейския пакт за климата и поема ангажимент всичките ѝ операции да станат неутрални по отношение на климата до 2030 г.</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536095" y="25333"/>
        <a:ext cx="5178910" cy="449438"/>
      </dsp:txXfrm>
    </dsp:sp>
    <dsp:sp modelId="{E94C0AA8-26AF-448A-A26E-5923F2965E6C}">
      <dsp:nvSpPr>
        <dsp:cNvPr id="0" name=""/>
        <dsp:cNvSpPr/>
      </dsp:nvSpPr>
      <dsp:spPr>
        <a:xfrm rot="5400000">
          <a:off x="-114877" y="660943"/>
          <a:ext cx="765850" cy="536095"/>
        </a:xfrm>
        <a:prstGeom prst="chevron">
          <a:avLst/>
        </a:prstGeom>
        <a:solidFill>
          <a:srgbClr val="4472C4">
            <a:hueOff val="-612779"/>
            <a:satOff val="-852"/>
            <a:lumOff val="-327"/>
            <a:alphaOff val="0"/>
          </a:srgbClr>
        </a:solidFill>
        <a:ln w="12700" cap="flat" cmpd="sng" algn="ctr">
          <a:solidFill>
            <a:srgbClr val="4472C4">
              <a:hueOff val="-612779"/>
              <a:satOff val="-852"/>
              <a:lumOff val="-32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15.05.</a:t>
          </a:r>
          <a:endParaRPr lang="en-US" sz="1100" b="1" kern="1200">
            <a:solidFill>
              <a:srgbClr val="002060"/>
            </a:solidFill>
            <a:latin typeface="Cambria" panose="02040503050406030204" pitchFamily="18" charset="0"/>
            <a:ea typeface="Cambria" panose="02040503050406030204" pitchFamily="18" charset="0"/>
            <a:cs typeface="+mn-cs"/>
          </a:endParaRP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814114"/>
        <a:ext cx="536095" cy="229755"/>
      </dsp:txXfrm>
    </dsp:sp>
    <dsp:sp modelId="{B0995E04-3C20-4CAD-A59C-B4E45B151ED7}">
      <dsp:nvSpPr>
        <dsp:cNvPr id="0" name=""/>
        <dsp:cNvSpPr/>
      </dsp:nvSpPr>
      <dsp:spPr>
        <a:xfrm rot="5400000">
          <a:off x="2888805" y="-1806644"/>
          <a:ext cx="497803" cy="5203223"/>
        </a:xfrm>
        <a:prstGeom prst="round2SameRect">
          <a:avLst/>
        </a:prstGeom>
        <a:solidFill>
          <a:sysClr val="window" lastClr="FFFFFF">
            <a:alpha val="90000"/>
            <a:hueOff val="0"/>
            <a:satOff val="0"/>
            <a:lumOff val="0"/>
            <a:alphaOff val="0"/>
          </a:sysClr>
        </a:solidFill>
        <a:ln w="12700" cap="flat" cmpd="sng" algn="ctr">
          <a:solidFill>
            <a:srgbClr val="4472C4">
              <a:hueOff val="-612779"/>
              <a:satOff val="-852"/>
              <a:lumOff val="-32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Планът </a:t>
          </a:r>
          <a:r>
            <a:rPr lang="en-US" sz="1100" b="1" kern="1200">
              <a:solidFill>
                <a:srgbClr val="002060"/>
              </a:solidFill>
              <a:latin typeface="Cambria" panose="02040503050406030204" pitchFamily="18" charset="0"/>
              <a:ea typeface="Cambria" panose="02040503050406030204" pitchFamily="18" charset="0"/>
              <a:cs typeface="+mn-cs"/>
            </a:rPr>
            <a:t>REPowerEU: </a:t>
          </a:r>
          <a:r>
            <a:rPr lang="bg-BG" sz="1100" b="1" kern="1200">
              <a:solidFill>
                <a:srgbClr val="002060"/>
              </a:solidFill>
              <a:latin typeface="Cambria" panose="02040503050406030204" pitchFamily="18" charset="0"/>
              <a:ea typeface="Cambria" panose="02040503050406030204" pitchFamily="18" charset="0"/>
              <a:cs typeface="+mn-cs"/>
            </a:rPr>
            <a:t>сигурна и устойчива енергия на достъпни цени в Европа</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536096" y="570366"/>
        <a:ext cx="5178922" cy="449201"/>
      </dsp:txXfrm>
    </dsp:sp>
    <dsp:sp modelId="{ECC1EAF7-3D5F-4F69-BB26-C0CDE5C25866}">
      <dsp:nvSpPr>
        <dsp:cNvPr id="0" name=""/>
        <dsp:cNvSpPr/>
      </dsp:nvSpPr>
      <dsp:spPr>
        <a:xfrm rot="5400000">
          <a:off x="-114877" y="1205990"/>
          <a:ext cx="765850" cy="536095"/>
        </a:xfrm>
        <a:prstGeom prst="chevron">
          <a:avLst/>
        </a:prstGeom>
        <a:solidFill>
          <a:srgbClr val="4472C4">
            <a:hueOff val="-1225557"/>
            <a:satOff val="-1705"/>
            <a:lumOff val="-654"/>
            <a:alphaOff val="0"/>
          </a:srgbClr>
        </a:solidFill>
        <a:ln w="12700" cap="flat" cmpd="sng" algn="ctr">
          <a:solidFill>
            <a:srgbClr val="4472C4">
              <a:hueOff val="-1225557"/>
              <a:satOff val="-1705"/>
              <a:lumOff val="-6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22.07.</a:t>
          </a:r>
          <a:endParaRPr lang="en-US" sz="1100" b="1" kern="1200">
            <a:solidFill>
              <a:srgbClr val="002060"/>
            </a:solidFill>
            <a:latin typeface="Cambria" panose="02040503050406030204" pitchFamily="18" charset="0"/>
            <a:ea typeface="Cambria" panose="02040503050406030204" pitchFamily="18" charset="0"/>
            <a:cs typeface="+mn-cs"/>
          </a:endParaRPr>
        </a:p>
        <a:p>
          <a:pPr lvl="0" algn="ctr" defTabSz="488950">
            <a:lnSpc>
              <a:spcPct val="90000"/>
            </a:lnSpc>
            <a:spcBef>
              <a:spcPct val="0"/>
            </a:spcBef>
            <a:spcAft>
              <a:spcPct val="35000"/>
            </a:spcAft>
          </a:pPr>
          <a:r>
            <a:rPr lang="bg-BG" sz="1100" b="1" kern="1200">
              <a:solidFill>
                <a:srgbClr val="002060"/>
              </a:solidFill>
              <a:latin typeface="Cambria" panose="02040503050406030204" pitchFamily="18" charset="0"/>
              <a:ea typeface="Cambria" panose="02040503050406030204" pitchFamily="18" charset="0"/>
              <a:cs typeface="+mn-cs"/>
            </a:rPr>
            <a:t>22</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1" y="1359161"/>
        <a:ext cx="536095" cy="229755"/>
      </dsp:txXfrm>
    </dsp:sp>
    <dsp:sp modelId="{D6ED99AA-4082-44BC-8DCA-9752A290BB44}">
      <dsp:nvSpPr>
        <dsp:cNvPr id="0" name=""/>
        <dsp:cNvSpPr/>
      </dsp:nvSpPr>
      <dsp:spPr>
        <a:xfrm rot="5400000">
          <a:off x="2888805" y="-1261597"/>
          <a:ext cx="497803" cy="5203223"/>
        </a:xfrm>
        <a:prstGeom prst="round2SameRect">
          <a:avLst/>
        </a:prstGeom>
        <a:solidFill>
          <a:sysClr val="window" lastClr="FFFFFF">
            <a:alpha val="90000"/>
            <a:hueOff val="0"/>
            <a:satOff val="0"/>
            <a:lumOff val="0"/>
            <a:alphaOff val="0"/>
          </a:sysClr>
        </a:solidFill>
        <a:ln w="12700" cap="flat" cmpd="sng" algn="ctr">
          <a:solidFill>
            <a:srgbClr val="4472C4">
              <a:hueOff val="-1225557"/>
              <a:satOff val="-1705"/>
              <a:lumOff val="-6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bg-BG" sz="1100" b="1" kern="1200">
              <a:solidFill>
                <a:srgbClr val="002060"/>
              </a:solidFill>
              <a:latin typeface="Cambria" panose="02040503050406030204" pitchFamily="18" charset="0"/>
              <a:ea typeface="Cambria" panose="02040503050406030204" pitchFamily="18" charset="0"/>
              <a:cs typeface="+mn-cs"/>
            </a:rPr>
            <a:t>Пакет за опазване на околната среда</a:t>
          </a:r>
          <a:endParaRPr lang="en-US" sz="1100" b="1" kern="1200">
            <a:solidFill>
              <a:srgbClr val="002060"/>
            </a:solidFill>
            <a:latin typeface="Cambria" panose="02040503050406030204" pitchFamily="18" charset="0"/>
            <a:ea typeface="Cambria" panose="02040503050406030204" pitchFamily="18" charset="0"/>
            <a:cs typeface="+mn-cs"/>
          </a:endParaRPr>
        </a:p>
      </dsp:txBody>
      <dsp:txXfrm rot="-5400000">
        <a:off x="536096" y="1115413"/>
        <a:ext cx="5178922" cy="4492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60B6-2C9F-4825-96EF-1094A1BB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62</Pages>
  <Words>25177</Words>
  <Characters>143509</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110</cp:revision>
  <dcterms:created xsi:type="dcterms:W3CDTF">2022-07-25T07:09:00Z</dcterms:created>
  <dcterms:modified xsi:type="dcterms:W3CDTF">2022-12-13T12:33:00Z</dcterms:modified>
</cp:coreProperties>
</file>