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62" w:rsidRPr="000C22CF" w:rsidRDefault="00D51262" w:rsidP="00D512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2CF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A13E69" w:rsidRPr="000C22CF" w:rsidRDefault="00D51262" w:rsidP="00D51262">
      <w:pPr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1. За кого е предназначено дистанционното обучение по модул „Управление на отпадъците“</w:t>
      </w:r>
    </w:p>
    <w:p w:rsidR="00D51262" w:rsidRPr="000C22CF" w:rsidRDefault="00D51262" w:rsidP="000C22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>Дистанционното обучение  по обучителен модул „ Управление на отпадъците“ е изградено на база актуализации и изменения в сферата на „ Управлението на отпадъците“ и е с практическа и експертна насоченост. Предназначено е за ресорни заместник-кметове,  директори на дирекции, началници на отдели и сектори, експерти или др. общински служители, пряко ангажирани  в ефективното управление на водите и екологията, работещи на трудово или служебно правоотношение.</w:t>
      </w:r>
    </w:p>
    <w:p w:rsidR="00D51262" w:rsidRPr="000C22CF" w:rsidRDefault="00D51262" w:rsidP="000C22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 xml:space="preserve"> Съгласно изискванията на проекта в дистанционните обучения не могат да участват  лица на изборни длъжности, както и участници, които вече са преминали присъствените обучителни семинари по проекта на НСОРБ „Повишаване на знанията, уменията и квалификацията на общинските служители“.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провежда самостоятелната си работа.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 xml:space="preserve">Настоящото дистанционно обучение е част от дейностите по проект „ Повишаване на знанията, уменията и квалификацията на общинските служители“ и се финансира по Оперативна програма „Добро управление“ (ОПДУ), съфинансирана от Европейския съюз чрез Европейския социален фонд. </w:t>
      </w:r>
    </w:p>
    <w:p w:rsidR="00D51262" w:rsidRPr="000C22CF" w:rsidRDefault="00D51262" w:rsidP="000C22C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2CF">
        <w:rPr>
          <w:rFonts w:ascii="Times New Roman" w:hAnsi="Times New Roman"/>
          <w:b/>
          <w:sz w:val="24"/>
          <w:szCs w:val="24"/>
        </w:rPr>
        <w:t>2.Основни цели и резултати, които се очакват</w:t>
      </w:r>
      <w:r w:rsidR="000C22CF">
        <w:rPr>
          <w:rFonts w:ascii="Times New Roman" w:hAnsi="Times New Roman"/>
          <w:b/>
          <w:sz w:val="24"/>
          <w:szCs w:val="24"/>
        </w:rPr>
        <w:t xml:space="preserve"> от дистанционното обучение</w:t>
      </w:r>
    </w:p>
    <w:p w:rsidR="00D51262" w:rsidRPr="000C22CF" w:rsidRDefault="00D51262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1B2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Основната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B1B2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цел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B1B2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 е осигуряване на професионално и експертно управление, чрез повишаване на знанията, уменията и квалификацията на представителите на общините от общинската администрация.</w:t>
      </w:r>
    </w:p>
    <w:p w:rsidR="00D51262" w:rsidRPr="000C22CF" w:rsidRDefault="00D51262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всеки един обучителен модул е общинските служители да повишат, задълбочат, актуализират и осъвременят своите знания в  конкретната сфера, за да се подобри предоставянето на качествени публични услуги в общинските администрации. </w:t>
      </w:r>
    </w:p>
    <w:p w:rsidR="00D51262" w:rsidRPr="000C22CF" w:rsidRDefault="00D51262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обучителен  модул по „Управление на отпадъците“ , има за цел, чрез предоставяне на систематизирани, актуализирани и на достъпен език знания в сферата, да доведе до  повишаване на  уменията и компетенциите на общинските служители, което от своя страна да доведе до предоставяне  и прилагане на по-качествени административни услуги и управленски решения за гражданите и бизнеса.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 xml:space="preserve">Обучението ще спомогне участниците при тяхната самоподготовка, като: 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осигури актуализирани</w:t>
      </w:r>
      <w:r w:rsidR="00CA0E5D" w:rsidRPr="000C22CF">
        <w:rPr>
          <w:rFonts w:ascii="Times New Roman" w:hAnsi="Times New Roman"/>
          <w:sz w:val="24"/>
          <w:szCs w:val="24"/>
        </w:rPr>
        <w:t>, осъвременени</w:t>
      </w:r>
      <w:r w:rsidRPr="000C22CF">
        <w:rPr>
          <w:rFonts w:ascii="Times New Roman" w:hAnsi="Times New Roman"/>
          <w:sz w:val="24"/>
          <w:szCs w:val="24"/>
        </w:rPr>
        <w:t xml:space="preserve"> и </w:t>
      </w:r>
      <w:r w:rsidR="00CA0E5D" w:rsidRPr="000C22CF">
        <w:rPr>
          <w:rFonts w:ascii="Times New Roman" w:hAnsi="Times New Roman"/>
          <w:sz w:val="24"/>
          <w:szCs w:val="24"/>
        </w:rPr>
        <w:t xml:space="preserve">експертно </w:t>
      </w:r>
      <w:r w:rsidRPr="000C22CF">
        <w:rPr>
          <w:rFonts w:ascii="Times New Roman" w:hAnsi="Times New Roman"/>
          <w:sz w:val="24"/>
          <w:szCs w:val="24"/>
        </w:rPr>
        <w:t xml:space="preserve">систематизирани знания, които участниците да използват пряко в  работа си; 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ще ги улесни при справянето с предизвикателствата на динамично променящата се работна среда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ще ги подпомогне в  намирането на решения на конкретни казуси от практиката;</w:t>
      </w:r>
    </w:p>
    <w:p w:rsidR="00D51262" w:rsidRPr="000C22CF" w:rsidRDefault="00D51262" w:rsidP="000C22CF">
      <w:pPr>
        <w:pStyle w:val="NormalWeb"/>
        <w:spacing w:after="0"/>
        <w:jc w:val="both"/>
        <w:rPr>
          <w:lang w:val="bg-BG" w:eastAsia="ar-SA"/>
        </w:rPr>
      </w:pPr>
      <w:r w:rsidRPr="000C22CF">
        <w:rPr>
          <w:lang w:val="bg-BG" w:eastAsia="ar-SA"/>
        </w:rPr>
        <w:lastRenderedPageBreak/>
        <w:t>Очаквани</w:t>
      </w:r>
      <w:r w:rsidR="00CA0E5D" w:rsidRPr="000C22CF">
        <w:rPr>
          <w:lang w:val="bg-BG" w:eastAsia="ar-SA"/>
        </w:rPr>
        <w:t>те</w:t>
      </w:r>
      <w:r w:rsidRPr="000C22CF">
        <w:rPr>
          <w:lang w:val="bg-BG" w:eastAsia="ar-SA"/>
        </w:rPr>
        <w:t xml:space="preserve"> резултати от</w:t>
      </w:r>
      <w:r w:rsidR="00CA0E5D" w:rsidRPr="000C22CF">
        <w:rPr>
          <w:lang w:val="bg-BG" w:eastAsia="ar-SA"/>
        </w:rPr>
        <w:t xml:space="preserve"> дистанционното обучение</w:t>
      </w:r>
      <w:r w:rsidRPr="000C22CF">
        <w:rPr>
          <w:lang w:val="bg-BG" w:eastAsia="ar-SA"/>
        </w:rPr>
        <w:t xml:space="preserve"> е то да спомогне за осигуряване на съвременно, професионално и експертно управление чрез повишаване на знанията, уменията и квалификацията на служителите в общинската администрация.</w:t>
      </w:r>
    </w:p>
    <w:p w:rsidR="00F43293" w:rsidRPr="000C22CF" w:rsidRDefault="00F43293" w:rsidP="000C22CF">
      <w:pPr>
        <w:pStyle w:val="NormalWeb"/>
        <w:spacing w:after="0"/>
        <w:ind w:left="360"/>
        <w:jc w:val="both"/>
        <w:rPr>
          <w:lang w:val="bg-BG" w:eastAsia="ar-SA"/>
        </w:rPr>
      </w:pPr>
    </w:p>
    <w:p w:rsidR="00F43293" w:rsidRPr="000C22CF" w:rsidRDefault="000C22CF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F43293"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учебните дейности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Дистанционната форма на обучение е  съвременна, актуална  и все по-прилагана форма на обучение. Участниците имат достъп до материалите и тестовете от работния си компютър, по всяко време, в удобно за тях време. Всички задължителни теми от избрания обучителен модул са активни през целия период на провеждане на дистанционните обучения. Това позволява на участниците в обучението да не се откъсват от своя режим на работа, като същевременно имат възможност да следват  свой собствен ритъм и темпо на учене и усвояване на нови знания. Достъпът до всички материали на дистанционното обучение е 24 часа в денонощието и седем дни в седмицата (24/7), като участниците имат възможност да запазят материала на своите компютри и устройства и да работят по него и офлайн.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дистанционното обучение основно значение има самоподготовката, житейският и експертен опит, както и личната мотивация на учащият.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Материалите за самоподготовка към всяка тема включват: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1. Обучителни материали;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2. Помощни учебни ресурси;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Default="00F43293" w:rsidP="000C22C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3. Тестове с контролни въпроси за самостоятелна проверка на придобитите знания.</w:t>
      </w:r>
    </w:p>
    <w:p w:rsidR="000C22CF" w:rsidRPr="000C22CF" w:rsidRDefault="000C22CF" w:rsidP="000C22C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настоящото дистанционно обучение, модул „ Управление на отпадъците“  в обучителните материали е включен,  специално разработен, подробен, детайлен и актуализиран наръчник , в който е систематизирана и обобщена актуална информация, относно всички основни компетенции и правомощия на общините в областта на управлението на </w:t>
      </w:r>
      <w:r w:rsidR="004009E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отпадъците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възможните подходи за тяхното изпълнение и добри общински практики, като е поставен акцент и върху актуализираното законодателство в разглежданата област.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така за всяка отделна тема от модула са разработени нагледни презентации, с цел систематизирано представяне на информацията. След всяка тема има разписани практически казуси, с цел прилагане на научената теория в близка до реалната среда.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(В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презентацията има направени препратки към наръчника с детайлна информация, както и към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конкретни нормативни документи)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всяка разписана тема от дистанционният модул има приложен обширен списък с ресурсни материали, използвана литература, линкове.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Платформата за дистанционно обучение дава възможност за задаване на въпроси, развиване на дискусия и получаване на отговори в дискусионен форум.</w:t>
      </w:r>
    </w:p>
    <w:p w:rsidR="00F43293" w:rsidRPr="000C22CF" w:rsidRDefault="00F43293" w:rsidP="00F432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тема завършва с  кратък тест (два броя) за проверка на научените з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нания, върху разглежданата тема, шест въпроса с по четири възможности за отговор. Възможно е на някои от въпросите да има по повече от един верен отговор.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Методически насоки или препоръки към участниците в дистанционно обучение по обучителен модул „ Управление на отпадъците“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594E">
        <w:rPr>
          <w:rFonts w:ascii="Times New Roman" w:hAnsi="Times New Roman"/>
          <w:bCs/>
          <w:sz w:val="24"/>
          <w:szCs w:val="24"/>
        </w:rPr>
        <w:t xml:space="preserve">Препоръчва се </w:t>
      </w:r>
      <w:r>
        <w:rPr>
          <w:rFonts w:ascii="Times New Roman" w:hAnsi="Times New Roman"/>
          <w:bCs/>
          <w:sz w:val="24"/>
          <w:szCs w:val="24"/>
        </w:rPr>
        <w:t>участниците първо да прочетат</w:t>
      </w:r>
      <w:r w:rsidRPr="00C4594E">
        <w:rPr>
          <w:rFonts w:ascii="Times New Roman" w:hAnsi="Times New Roman"/>
          <w:bCs/>
          <w:sz w:val="24"/>
          <w:szCs w:val="24"/>
        </w:rPr>
        <w:t xml:space="preserve"> </w:t>
      </w:r>
      <w:r w:rsidRPr="00C4594E">
        <w:rPr>
          <w:rFonts w:ascii="Times New Roman" w:hAnsi="Times New Roman"/>
          <w:b/>
          <w:bCs/>
          <w:sz w:val="24"/>
          <w:szCs w:val="24"/>
        </w:rPr>
        <w:t>Обучителния материал</w:t>
      </w:r>
      <w:r>
        <w:rPr>
          <w:rFonts w:ascii="Times New Roman" w:hAnsi="Times New Roman"/>
          <w:bCs/>
          <w:sz w:val="24"/>
          <w:szCs w:val="24"/>
        </w:rPr>
        <w:t xml:space="preserve"> по всяка една тема от модула. В обучителния материал, темите са детайлно и обширно разписани</w:t>
      </w:r>
      <w:r w:rsidR="00FC6129">
        <w:rPr>
          <w:rFonts w:ascii="Times New Roman" w:hAnsi="Times New Roman"/>
          <w:bCs/>
          <w:sz w:val="24"/>
          <w:szCs w:val="24"/>
        </w:rPr>
        <w:t>, като има препратки към нормативната уредба, както и към използвани ресурси.</w:t>
      </w:r>
      <w:r>
        <w:rPr>
          <w:rFonts w:ascii="Times New Roman" w:hAnsi="Times New Roman"/>
          <w:bCs/>
          <w:sz w:val="24"/>
          <w:szCs w:val="24"/>
        </w:rPr>
        <w:t xml:space="preserve"> Темите по обучителния модул се разглеждат последователно и логично, съгласно </w:t>
      </w:r>
      <w:r w:rsidRPr="00C4594E">
        <w:rPr>
          <w:rFonts w:ascii="Times New Roman" w:hAnsi="Times New Roman"/>
          <w:sz w:val="24"/>
          <w:szCs w:val="24"/>
        </w:rPr>
        <w:t xml:space="preserve"> прог</w:t>
      </w:r>
      <w:r>
        <w:rPr>
          <w:rFonts w:ascii="Times New Roman" w:hAnsi="Times New Roman"/>
          <w:sz w:val="24"/>
          <w:szCs w:val="24"/>
        </w:rPr>
        <w:t>рамата на обучението.</w:t>
      </w:r>
      <w:r w:rsidRPr="00C4594E">
        <w:rPr>
          <w:rFonts w:ascii="Times New Roman" w:hAnsi="Times New Roman"/>
          <w:sz w:val="24"/>
          <w:szCs w:val="24"/>
        </w:rPr>
        <w:t xml:space="preserve"> 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C4594E">
        <w:rPr>
          <w:rFonts w:ascii="Times New Roman" w:hAnsi="Times New Roman"/>
          <w:b/>
          <w:bCs/>
          <w:sz w:val="24"/>
          <w:szCs w:val="24"/>
        </w:rPr>
        <w:t>Помощните учебни ресурси</w:t>
      </w:r>
      <w:r w:rsidRPr="00C4594E">
        <w:rPr>
          <w:rFonts w:ascii="Times New Roman" w:hAnsi="Times New Roman"/>
          <w:bCs/>
          <w:sz w:val="24"/>
          <w:szCs w:val="24"/>
        </w:rPr>
        <w:t xml:space="preserve"> по всяка от задължителните темите включващ - </w:t>
      </w:r>
      <w:r w:rsidRPr="00C4594E">
        <w:rPr>
          <w:rFonts w:ascii="Times New Roman" w:hAnsi="Times New Roman"/>
          <w:sz w:val="24"/>
          <w:szCs w:val="24"/>
        </w:rPr>
        <w:t>презентации, упражнения,</w:t>
      </w:r>
      <w:r w:rsidRPr="00C4594E">
        <w:rPr>
          <w:rFonts w:ascii="Times New Roman" w:hAnsi="Times New Roman"/>
          <w:bCs/>
          <w:sz w:val="24"/>
          <w:szCs w:val="24"/>
        </w:rPr>
        <w:t xml:space="preserve"> спис</w:t>
      </w:r>
      <w:r>
        <w:rPr>
          <w:rFonts w:ascii="Times New Roman" w:hAnsi="Times New Roman"/>
          <w:bCs/>
          <w:sz w:val="24"/>
          <w:szCs w:val="24"/>
        </w:rPr>
        <w:t>ък на ресурсните материал и др., можете да придобиете обобщен</w:t>
      </w:r>
      <w:r w:rsidR="00FC6129">
        <w:rPr>
          <w:rFonts w:ascii="Times New Roman" w:hAnsi="Times New Roman"/>
          <w:bCs/>
          <w:sz w:val="24"/>
          <w:szCs w:val="24"/>
        </w:rPr>
        <w:t xml:space="preserve"> и нагледен</w:t>
      </w:r>
      <w:r>
        <w:rPr>
          <w:rFonts w:ascii="Times New Roman" w:hAnsi="Times New Roman"/>
          <w:bCs/>
          <w:sz w:val="24"/>
          <w:szCs w:val="24"/>
        </w:rPr>
        <w:t xml:space="preserve"> поглед на темата. От списъка с ресурсните материали, може да придобиете по-детайлна информация относно норматив</w:t>
      </w:r>
      <w:r w:rsidR="00755C3F">
        <w:rPr>
          <w:rFonts w:ascii="Times New Roman" w:hAnsi="Times New Roman"/>
          <w:bCs/>
          <w:sz w:val="24"/>
          <w:szCs w:val="24"/>
        </w:rPr>
        <w:t>на уредба или препратки към нея, както и по-задълбочена информация по конкретна тематика.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4594E">
        <w:rPr>
          <w:rFonts w:ascii="Times New Roman" w:hAnsi="Times New Roman"/>
          <w:bCs/>
          <w:sz w:val="24"/>
          <w:szCs w:val="24"/>
        </w:rPr>
        <w:t xml:space="preserve">След като приключите със самоподготовката, задължително направете </w:t>
      </w:r>
      <w:r w:rsidRPr="00C4594E">
        <w:rPr>
          <w:rFonts w:ascii="Times New Roman" w:hAnsi="Times New Roman"/>
          <w:b/>
          <w:bCs/>
          <w:sz w:val="24"/>
          <w:szCs w:val="24"/>
        </w:rPr>
        <w:t>кратките тестове за самостоятелна проверка</w:t>
      </w:r>
      <w:r w:rsidRPr="00C4594E">
        <w:rPr>
          <w:rFonts w:ascii="Times New Roman" w:hAnsi="Times New Roman"/>
          <w:bCs/>
          <w:sz w:val="24"/>
          <w:szCs w:val="24"/>
        </w:rPr>
        <w:t xml:space="preserve">, които ще Ви дадат представа доколко добре сте усвоили материала. </w:t>
      </w:r>
      <w:r w:rsidRPr="00C4594E">
        <w:rPr>
          <w:rFonts w:ascii="Times New Roman" w:hAnsi="Times New Roman"/>
          <w:sz w:val="24"/>
          <w:szCs w:val="24"/>
        </w:rPr>
        <w:t>Тестовете съдържат 6 въпроса с по 4 (четири</w:t>
      </w:r>
      <w:r w:rsidR="00FC6129">
        <w:rPr>
          <w:rFonts w:ascii="Times New Roman" w:hAnsi="Times New Roman"/>
          <w:sz w:val="24"/>
          <w:szCs w:val="24"/>
        </w:rPr>
        <w:t>) възможни отговора, като е възможно</w:t>
      </w:r>
      <w:r w:rsidRPr="00C4594E">
        <w:rPr>
          <w:rFonts w:ascii="Times New Roman" w:hAnsi="Times New Roman"/>
          <w:sz w:val="24"/>
          <w:szCs w:val="24"/>
        </w:rPr>
        <w:t xml:space="preserve"> за определени въпроси да имат повече от един верен отговор. </w:t>
      </w:r>
      <w:r w:rsidRPr="00C4594E">
        <w:rPr>
          <w:rFonts w:ascii="Times New Roman" w:hAnsi="Times New Roman"/>
          <w:bCs/>
          <w:sz w:val="24"/>
          <w:szCs w:val="24"/>
        </w:rPr>
        <w:t xml:space="preserve">При верни отговори на 4 от 6-те въпроса (67%) тестът се счита за успешно издържан. Отговорите на тестовете ще може да разберете веднага след неговото приключване </w:t>
      </w:r>
      <w:r w:rsidRPr="001B1B29">
        <w:rPr>
          <w:rFonts w:ascii="Times New Roman" w:hAnsi="Times New Roman"/>
          <w:bCs/>
          <w:sz w:val="24"/>
          <w:szCs w:val="24"/>
          <w:lang w:val="ru-RU"/>
        </w:rPr>
        <w:t>(</w:t>
      </w:r>
      <w:proofErr w:type="spellStart"/>
      <w:r w:rsidRPr="00C4594E">
        <w:rPr>
          <w:rFonts w:ascii="Times New Roman" w:hAnsi="Times New Roman"/>
          <w:bCs/>
          <w:sz w:val="24"/>
          <w:szCs w:val="24"/>
        </w:rPr>
        <w:t>он-лайн</w:t>
      </w:r>
      <w:proofErr w:type="spellEnd"/>
      <w:r w:rsidRPr="001B1B29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C4594E">
        <w:rPr>
          <w:rFonts w:ascii="Times New Roman" w:hAnsi="Times New Roman"/>
          <w:bCs/>
          <w:sz w:val="24"/>
          <w:szCs w:val="24"/>
        </w:rPr>
        <w:t xml:space="preserve">. </w:t>
      </w:r>
    </w:p>
    <w:p w:rsidR="00F43293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B20543" w:rsidRPr="001B1B29" w:rsidRDefault="00B20543" w:rsidP="00B20543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B1B29">
        <w:rPr>
          <w:rFonts w:ascii="Times New Roman" w:hAnsi="Times New Roman"/>
          <w:b/>
          <w:bCs/>
          <w:sz w:val="24"/>
          <w:szCs w:val="24"/>
          <w:lang w:val="ru-RU"/>
        </w:rPr>
        <w:t>4. Съдържание на дистанционното обучение</w:t>
      </w:r>
    </w:p>
    <w:p w:rsidR="000C22CF" w:rsidRPr="001B1B29" w:rsidRDefault="000C22CF" w:rsidP="00B20543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20543" w:rsidRPr="000C22CF" w:rsidRDefault="00B20543" w:rsidP="00B20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68698378"/>
      <w:r w:rsidRPr="000C22CF">
        <w:rPr>
          <w:rFonts w:ascii="Times New Roman" w:hAnsi="Times New Roman" w:cs="Times New Roman"/>
          <w:b/>
          <w:sz w:val="24"/>
          <w:szCs w:val="24"/>
        </w:rPr>
        <w:t>ТЕМА 1:Европейската зелена сделка. Пакетът за кръгова икономика и други европейски актове в сферата на управлението на отпадъци. Национални нормативни и стратегически актове за управление на отпадъците (нови моменти приети след 2018г.)</w:t>
      </w:r>
      <w:bookmarkEnd w:id="0"/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Подтема 1.Европейска зелена сделка</w:t>
      </w:r>
    </w:p>
    <w:p w:rsidR="000C22CF" w:rsidRDefault="00B20543" w:rsidP="000C22C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1.1</w:t>
      </w:r>
      <w:r w:rsid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Въведение</w:t>
      </w:r>
    </w:p>
    <w:p w:rsidR="00B20543" w:rsidRPr="000C22CF" w:rsidRDefault="00B20543" w:rsidP="000C22C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1.2Хронология на зелената сделка от началото до сега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1.3Финансиране на зеления преход: Планът за инвестиции и Механизмът за справедлив преход на Европейския зелен пакт;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1.4Създадени европейски документи, обезпечаващи политиката на зелената сделка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.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Подтема 2.Пакет за кръгова икономика и други европейски актове в сферата на управлението на отпадъците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2.1Национален контекст на кръговата икономика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2.2Кръговата икономика в контекста на производството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2.3Кръговата икономика в контекста на потреблението</w:t>
      </w:r>
    </w:p>
    <w:p w:rsidR="00B20543" w:rsidRPr="000C22CF" w:rsidRDefault="00B20543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2.4Кръговата икономика в контекста на управлението на отпадъците</w:t>
      </w:r>
    </w:p>
    <w:p w:rsidR="00B20543" w:rsidRPr="000C22CF" w:rsidRDefault="00B20543" w:rsidP="000C22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2.5Участници в процеса по кръгова икономика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.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Подтема 3.Национални нормативни и стратегически актове за управление на отпадъците (новите моменти приети след 2018 г.).</w:t>
      </w:r>
    </w:p>
    <w:p w:rsidR="00F608B9" w:rsidRPr="00F608B9" w:rsidRDefault="00F608B9" w:rsidP="00F608B9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3.1Закон за управление на отпадъците</w:t>
      </w:r>
    </w:p>
    <w:p w:rsidR="00F608B9" w:rsidRPr="00F608B9" w:rsidRDefault="00F608B9" w:rsidP="00F608B9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3.2Изменения в подзаконова нормативна уредба</w:t>
      </w:r>
    </w:p>
    <w:p w:rsidR="00F608B9" w:rsidRPr="00F608B9" w:rsidRDefault="00F608B9" w:rsidP="00F608B9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3.3Национален план за управление на отпадъците (НПУО) 2021 – 2028 г.</w:t>
      </w:r>
    </w:p>
    <w:p w:rsidR="00F608B9" w:rsidRPr="00F608B9" w:rsidRDefault="00F608B9" w:rsidP="00F608B9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3.4Общински програми за управление на отпадъците и тяхната актуализация – задължение съгласно Национален план за управление на отпадъците (НПУО) 2021-2028</w:t>
      </w:r>
    </w:p>
    <w:p w:rsidR="00F608B9" w:rsidRPr="00F608B9" w:rsidRDefault="00F608B9" w:rsidP="00F608B9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3.5Стратегия и план за действие за преход към Кръгова икономика на Република България за периода 2021 – 2027 г. (проект!)</w:t>
      </w:r>
    </w:p>
    <w:p w:rsidR="00B20543" w:rsidRPr="000C22CF" w:rsidRDefault="00F608B9" w:rsidP="00F60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B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3.6Заинтересовани органи и лица от изменението на ЗУО и подзаконовата нормативна уредба.</w:t>
      </w:r>
    </w:p>
    <w:p w:rsidR="00B20543" w:rsidRPr="000C22CF" w:rsidRDefault="00B20543" w:rsidP="000C2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ТЕМА 2: Изисквания, организация и начини на финансиране за разделно събиране и съхраняване на битови отпадъци, при спазването йерархията за управление на отпадъците. Регионални асоциации.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>Подтема 1.Управление на отпадъци от опаковки и отпадъчни материали от хартия и картон, метал, пластмаса и стъкло</w:t>
      </w:r>
      <w:r w:rsidRPr="00756E94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>Подтема 2.Управление на битови биоразградими отпадъци</w:t>
      </w:r>
      <w:r w:rsidRPr="00756E94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>Подтема 3.Управление на масово разпространени отпадъци (МРО)</w:t>
      </w:r>
      <w:r w:rsidRPr="00756E94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>Подтема 4.Управление на опасни битови отпадъци</w:t>
      </w:r>
      <w:r w:rsidRPr="00756E94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756E94" w:rsidRDefault="00B20543" w:rsidP="00756E94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6E94">
        <w:rPr>
          <w:rFonts w:ascii="Times New Roman" w:hAnsi="Times New Roman" w:cs="Times New Roman"/>
          <w:bCs/>
          <w:sz w:val="24"/>
          <w:szCs w:val="24"/>
          <w:lang w:eastAsia="ar-SA"/>
        </w:rPr>
        <w:t>Подтема 5.Площадки за безвъзмездно предаване на разделно събрани отпадъци от домакинствата</w:t>
      </w:r>
      <w:r w:rsidRPr="00756E94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D87D72" w:rsidRDefault="00EC1BDA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6.Центрове за повторна употреба, поправка и подготовка за повторна употреба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20543" w:rsidRPr="00D87D72" w:rsidRDefault="00EC1BDA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7.Информационни кампании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en-US" w:eastAsia="ar-SA"/>
        </w:rPr>
        <w:t>;</w:t>
      </w:r>
    </w:p>
    <w:p w:rsidR="00B20543" w:rsidRDefault="00EC1BDA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8.Начини на финансиране за изпълнение на дейностите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608B9" w:rsidRPr="00F608B9" w:rsidRDefault="00F608B9" w:rsidP="00F608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08B9">
        <w:rPr>
          <w:rFonts w:ascii="Times New Roman" w:hAnsi="Times New Roman" w:cs="Times New Roman"/>
          <w:bCs/>
          <w:sz w:val="24"/>
          <w:szCs w:val="24"/>
          <w:lang w:eastAsia="ar-SA"/>
        </w:rPr>
        <w:t>Подтема 9. Програми за финансиране извън бюджетните средства на общините</w:t>
      </w:r>
    </w:p>
    <w:p w:rsidR="00B20543" w:rsidRPr="00D87D72" w:rsidRDefault="00EC1BDA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F608B9"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.Анализ на дейността на регионалните сдружения по управление на отпадъците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D87D72" w:rsidRDefault="00EC1BDA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F608B9">
        <w:rPr>
          <w:rFonts w:ascii="Times New Roman" w:hAnsi="Times New Roman" w:cs="Times New Roman"/>
          <w:bCs/>
          <w:sz w:val="24"/>
          <w:szCs w:val="24"/>
          <w:lang w:eastAsia="ar-SA"/>
        </w:rPr>
        <w:t>11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.Финансиране на дейностите на регионалните сдружения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B20543" w:rsidRPr="00D87D72" w:rsidRDefault="00F608B9" w:rsidP="00D87D72">
      <w:pPr>
        <w:pStyle w:val="ListParagraph"/>
        <w:numPr>
          <w:ilvl w:val="0"/>
          <w:numId w:val="5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Подтема 12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.Взаимодействие със заинтересовани страни за организация на конкретни дейности</w:t>
      </w:r>
      <w:r w:rsidR="00B20543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7230A" w:rsidRPr="000C22CF" w:rsidRDefault="0097230A" w:rsidP="0097230A">
      <w:pPr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Toc68698380"/>
      <w:r w:rsidRPr="000C22CF">
        <w:rPr>
          <w:rFonts w:ascii="Times New Roman" w:hAnsi="Times New Roman" w:cs="Times New Roman"/>
          <w:b/>
          <w:sz w:val="24"/>
          <w:szCs w:val="24"/>
        </w:rPr>
        <w:t>ТЕМА 3: Сметосъбиране и сметоизвозване – форми за осигуряване на услугата. Междуобщинско сътрудничество по осигуряване на услугата.</w:t>
      </w:r>
      <w:bookmarkEnd w:id="1"/>
    </w:p>
    <w:p w:rsidR="0097230A" w:rsidRPr="00D87D72" w:rsidRDefault="0097230A" w:rsidP="00D87D72">
      <w:pPr>
        <w:pStyle w:val="ListParagraph"/>
        <w:numPr>
          <w:ilvl w:val="0"/>
          <w:numId w:val="6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1.Основни схеми за управление на отпадъците  основани върху принципите на отпадъците „Замърсителят плаща” и „Отговорност на производителя”</w:t>
      </w: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6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Подтема 2.Зад</w:t>
      </w:r>
      <w:r w:rsidRPr="00D87D72">
        <w:rPr>
          <w:rFonts w:ascii="Times New Roman" w:hAnsi="Times New Roman" w:cs="Times New Roman"/>
          <w:sz w:val="24"/>
          <w:szCs w:val="24"/>
          <w:lang w:eastAsia="ar-SA"/>
        </w:rPr>
        <w:t>ължения на органите на местното самоуправление и местната администрация в организиране управлението на битовите и строителните отпадъци, образувани на територията на общината.</w:t>
      </w:r>
    </w:p>
    <w:p w:rsidR="0097230A" w:rsidRPr="000C22CF" w:rsidRDefault="0097230A" w:rsidP="0097230A">
      <w:pPr>
        <w:numPr>
          <w:ilvl w:val="0"/>
          <w:numId w:val="2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sz w:val="24"/>
          <w:szCs w:val="24"/>
          <w:lang w:eastAsia="ar-SA"/>
        </w:rPr>
        <w:t>Наредба по чл. 22 от ЗУО</w:t>
      </w:r>
    </w:p>
    <w:p w:rsidR="0097230A" w:rsidRPr="00D87D72" w:rsidRDefault="0097230A" w:rsidP="00D87D72">
      <w:pPr>
        <w:pStyle w:val="ListParagraph"/>
        <w:numPr>
          <w:ilvl w:val="0"/>
          <w:numId w:val="7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3.Възможни източници за финансиране на дейностите по сметосъбиране и сметоизвозване</w:t>
      </w: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7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4.Форми на осигуряване на услугата по сметосъбиране и сметоизвозване.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4.1Перспективи на отделните форми на възлагане на услугата по сметосъбиране и сметоизвозване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4.2Примерен правилник за „Общинското предприятие“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4.3Основни Дейности за възлагане по Договор на услугата по сметосъбиране и сметоизвозване от страна на общините на външен изпълнител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.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7230A" w:rsidRPr="00D87D72" w:rsidRDefault="0097230A" w:rsidP="00D87D72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5.Възможности за подобряване на предоставяните услуги по сметосъбиране и сметоизвозване в корелация с измененията в Закона за управление на отпадъците</w:t>
      </w: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6.Ангажиментите на общините по събиране на битовите биоразградими отпадъци</w:t>
      </w: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D87D72">
        <w:rPr>
          <w:rFonts w:ascii="Times New Roman" w:hAnsi="Times New Roman" w:cs="Times New Roman"/>
          <w:sz w:val="24"/>
          <w:szCs w:val="24"/>
          <w:lang w:eastAsia="ar-SA"/>
        </w:rPr>
        <w:t>Подтема 7.Междуобщинско сътрудничество (МОС)</w:t>
      </w:r>
      <w:r w:rsidRPr="00D87D72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:rsidR="0097230A" w:rsidRPr="000C22CF" w:rsidRDefault="0097230A" w:rsidP="00972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/>
          <w:sz w:val="24"/>
          <w:szCs w:val="24"/>
          <w:lang w:eastAsia="ar-SA"/>
        </w:rPr>
        <w:t>ТЕМА 4: Общински ангажименти свързани със строителните, биоразградимите и други специфични потоци отпадъци. Взаимодействие с организациите по оползотворяване на масово разпространени отпадъци</w:t>
      </w:r>
    </w:p>
    <w:p w:rsidR="0097230A" w:rsidRPr="00D87D72" w:rsidRDefault="0097230A" w:rsidP="00D87D72">
      <w:pPr>
        <w:pStyle w:val="ListParagraph"/>
        <w:numPr>
          <w:ilvl w:val="0"/>
          <w:numId w:val="9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Подтема1.Общински ангажименти свързани с управлението на Строителните отпадъци съгласно ЗУО, изменение и допълнение от 05.03.2021 г</w:t>
      </w: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.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1.1Ангажименти на общината съгласно Наредба за управление на строителните отпадъци и за влагане на рециклирани строителни материали, приета с ПМС № 267 от 05.12.2017 г.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1.2Организация на дейностите за изпълнение на ангажиментите на общините относно управлението на  строителните отпадъци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9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Подтема 2.Общински ангажименти свързани с управлението на Биоразградимите  отпадъци съгласно ЗУО, (изм. И доп. От 05.03.2021 г</w:t>
      </w:r>
      <w:r w:rsidRPr="00D87D72">
        <w:rPr>
          <w:rFonts w:ascii="Times New Roman" w:hAnsi="Times New Roman" w:cs="Times New Roman"/>
          <w:b/>
          <w:sz w:val="24"/>
          <w:szCs w:val="24"/>
          <w:lang w:val="en-US" w:eastAsia="ar-SA"/>
        </w:rPr>
        <w:t>.</w:t>
      </w: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)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2.1Ангажименти на общината съгласно Наредбата за разделно събиране на биоотпадъци и третирането на биоразградимите отпадъци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2.2Организация на дейностите за изпълнение на ангажиментите на общините относно управлението на </w:t>
      </w:r>
      <w:proofErr w:type="spellStart"/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биорзградимите</w:t>
      </w:r>
      <w:proofErr w:type="spellEnd"/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отпадъци.</w:t>
      </w:r>
    </w:p>
    <w:p w:rsidR="0097230A" w:rsidRPr="00D87D72" w:rsidRDefault="0097230A" w:rsidP="00D87D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Подтема 3.Общински ангажименти свързани с разделното събиране на опасните битови отпадъци от домакинствата.</w:t>
      </w:r>
    </w:p>
    <w:p w:rsidR="0097230A" w:rsidRPr="00D87D72" w:rsidRDefault="0097230A" w:rsidP="00D87D72">
      <w:pPr>
        <w:pStyle w:val="ListParagraph"/>
        <w:numPr>
          <w:ilvl w:val="0"/>
          <w:numId w:val="9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Подтема 4.Общински ангажименти свързани с текстилните отпадъци събрани от домакинствата</w:t>
      </w: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.</w:t>
      </w:r>
    </w:p>
    <w:p w:rsidR="0097230A" w:rsidRPr="00D87D72" w:rsidRDefault="0097230A" w:rsidP="00D87D72">
      <w:pPr>
        <w:pStyle w:val="ListParagraph"/>
        <w:numPr>
          <w:ilvl w:val="0"/>
          <w:numId w:val="9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Подтема 5.Взаимодействие с Организациите по оползотворяване на масово разпространените отпадъци</w:t>
      </w:r>
      <w:r w:rsidRPr="00D87D72">
        <w:rPr>
          <w:rFonts w:ascii="Times New Roman" w:hAnsi="Times New Roman" w:cs="Times New Roman"/>
          <w:b/>
          <w:sz w:val="24"/>
          <w:szCs w:val="24"/>
          <w:lang w:val="ru-RU" w:eastAsia="ar-SA"/>
        </w:rPr>
        <w:t>.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5.1Законодателна рамка свързана управлението на Масово разпространените съгласно Закона за управление на отпадъците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7230A" w:rsidRPr="000C22CF" w:rsidRDefault="0097230A" w:rsidP="0097230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5.2Наредби описващи управлението на масово разпространените отпадъци и взаимодействие на общините  с организациите по оползотворяване.</w:t>
      </w:r>
    </w:p>
    <w:p w:rsidR="0097230A" w:rsidRPr="00D87D72" w:rsidRDefault="0097230A" w:rsidP="00D87D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Подтема 6.Взаимодействие между общините и организациите по оползотворяване на масово разпространени отпадъци</w:t>
      </w:r>
      <w:r w:rsidRPr="00D87D72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942468" w:rsidRPr="000C22CF" w:rsidRDefault="00942468" w:rsidP="0094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68698382"/>
    </w:p>
    <w:p w:rsidR="00942468" w:rsidRPr="000C22CF" w:rsidRDefault="00942468" w:rsidP="00942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ТЕМА 5: Подобряване на изпълнението на целите по чл.31, ал.1, т1 и т2 от ЗУО ( „ За повторна употреба, рециклиране и оползотворяване на отпадъчни материали“ и „ за ограничаване на количеството депонирани биоразградими битови отпадъци“)</w:t>
      </w:r>
      <w:bookmarkEnd w:id="2"/>
    </w:p>
    <w:p w:rsidR="00942468" w:rsidRPr="00D87D72" w:rsidRDefault="00942468" w:rsidP="00AA1DA4">
      <w:pPr>
        <w:pStyle w:val="ListParagraph"/>
        <w:numPr>
          <w:ilvl w:val="0"/>
          <w:numId w:val="10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Подтема 1.</w:t>
      </w:r>
      <w:r w:rsidR="00AA1DA4" w:rsidRPr="00AA1DA4">
        <w:t xml:space="preserve"> </w:t>
      </w:r>
      <w:r w:rsidR="00AA1DA4" w:rsidRPr="00AA1DA4">
        <w:rPr>
          <w:rFonts w:ascii="Times New Roman" w:hAnsi="Times New Roman" w:cs="Times New Roman"/>
          <w:b/>
          <w:sz w:val="24"/>
          <w:szCs w:val="24"/>
          <w:lang w:eastAsia="ar-SA"/>
        </w:rPr>
        <w:t>Какво се промени - поглед към Закон за изменение и допълнение на Закона за управление на отпадъците</w:t>
      </w:r>
      <w:r w:rsidRPr="00AA1DA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942468" w:rsidRPr="000C22CF" w:rsidRDefault="00942468" w:rsidP="00942468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1.1Изчисляване на целите по чл. 31. ал. 1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42468" w:rsidRPr="000C22CF" w:rsidRDefault="00942468" w:rsidP="00942468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1.2Изчислителен метод на целите по чл. 31, ал. 1, т. 1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42468" w:rsidRPr="000C22CF" w:rsidRDefault="00942468" w:rsidP="00942468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1.3Изчислителен метод на целите по чл. 31, ал. 1, т. 2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;</w:t>
      </w:r>
    </w:p>
    <w:p w:rsidR="00942468" w:rsidRPr="000C22CF" w:rsidRDefault="00942468" w:rsidP="00942468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C22C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1.4Регламент за оповестяване изпълнението на целите по чл. 31, ал. 1</w:t>
      </w:r>
      <w:r w:rsidRPr="000C22CF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.</w:t>
      </w:r>
    </w:p>
    <w:p w:rsidR="00AA1DA4" w:rsidRDefault="00942468" w:rsidP="00AA1DA4">
      <w:pPr>
        <w:pStyle w:val="ListParagraph"/>
        <w:numPr>
          <w:ilvl w:val="0"/>
          <w:numId w:val="10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A1DA4">
        <w:rPr>
          <w:rFonts w:ascii="Times New Roman" w:hAnsi="Times New Roman" w:cs="Times New Roman"/>
          <w:b/>
          <w:sz w:val="24"/>
          <w:szCs w:val="24"/>
          <w:lang w:eastAsia="ar-SA"/>
        </w:rPr>
        <w:t>Подтема 2.</w:t>
      </w:r>
      <w:r w:rsidR="00AA1DA4" w:rsidRPr="00AA1DA4">
        <w:t xml:space="preserve"> </w:t>
      </w:r>
      <w:r w:rsidR="00AA1DA4" w:rsidRPr="00AA1DA4">
        <w:rPr>
          <w:rFonts w:ascii="Times New Roman" w:hAnsi="Times New Roman" w:cs="Times New Roman"/>
          <w:b/>
          <w:sz w:val="24"/>
          <w:szCs w:val="24"/>
          <w:lang w:eastAsia="ar-SA"/>
        </w:rPr>
        <w:t>Подобряване на изпълнението на целите - актуална ситуация и перспектива в страната и на регионално ниво. Потенциал и възможности за развитие.</w:t>
      </w:r>
    </w:p>
    <w:p w:rsidR="00AA1DA4" w:rsidRPr="00AA1DA4" w:rsidRDefault="00AA1DA4" w:rsidP="00AA1DA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A1DA4">
        <w:rPr>
          <w:rFonts w:ascii="Times New Roman" w:hAnsi="Times New Roman" w:cs="Times New Roman"/>
          <w:i/>
          <w:sz w:val="24"/>
          <w:szCs w:val="24"/>
          <w:lang w:eastAsia="ar-SA"/>
        </w:rPr>
        <w:t>2.1Технически мерки;</w:t>
      </w:r>
    </w:p>
    <w:p w:rsidR="00AA1DA4" w:rsidRPr="00AA1DA4" w:rsidRDefault="00AA1DA4" w:rsidP="00AA1DA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A1DA4">
        <w:rPr>
          <w:rFonts w:ascii="Times New Roman" w:hAnsi="Times New Roman" w:cs="Times New Roman"/>
          <w:i/>
          <w:sz w:val="24"/>
          <w:szCs w:val="24"/>
          <w:lang w:eastAsia="ar-SA"/>
        </w:rPr>
        <w:t>2.2Икономически мерки;</w:t>
      </w:r>
    </w:p>
    <w:p w:rsidR="00AA1DA4" w:rsidRPr="00AA1DA4" w:rsidRDefault="00AA1DA4" w:rsidP="00AA1DA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A1DA4">
        <w:rPr>
          <w:rFonts w:ascii="Times New Roman" w:hAnsi="Times New Roman" w:cs="Times New Roman"/>
          <w:i/>
          <w:sz w:val="24"/>
          <w:szCs w:val="24"/>
          <w:lang w:eastAsia="ar-SA"/>
        </w:rPr>
        <w:t>2.3Социални мерки;</w:t>
      </w:r>
    </w:p>
    <w:p w:rsidR="00AA1DA4" w:rsidRPr="00AA1DA4" w:rsidRDefault="00AA1DA4" w:rsidP="00AA1DA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A1DA4">
        <w:rPr>
          <w:rFonts w:ascii="Times New Roman" w:hAnsi="Times New Roman" w:cs="Times New Roman"/>
          <w:i/>
          <w:sz w:val="24"/>
          <w:szCs w:val="24"/>
          <w:lang w:eastAsia="ar-SA"/>
        </w:rPr>
        <w:t>2.4Административни мерки.</w:t>
      </w:r>
    </w:p>
    <w:p w:rsidR="00942468" w:rsidRPr="00D87D72" w:rsidRDefault="00AA1DA4" w:rsidP="00D87D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Подтема 3</w:t>
      </w:r>
      <w:bookmarkStart w:id="3" w:name="_GoBack"/>
      <w:bookmarkEnd w:id="3"/>
      <w:r w:rsidR="00942468" w:rsidRPr="00D87D72">
        <w:rPr>
          <w:rFonts w:ascii="Times New Roman" w:hAnsi="Times New Roman" w:cs="Times New Roman"/>
          <w:b/>
          <w:sz w:val="24"/>
          <w:szCs w:val="24"/>
          <w:lang w:eastAsia="ar-SA"/>
        </w:rPr>
        <w:t>.Добри общински практики</w:t>
      </w:r>
      <w:r w:rsidR="00942468" w:rsidRPr="00D87D72">
        <w:rPr>
          <w:rFonts w:ascii="Times New Roman" w:hAnsi="Times New Roman" w:cs="Times New Roman"/>
          <w:b/>
          <w:sz w:val="24"/>
          <w:szCs w:val="24"/>
          <w:lang w:val="en-US" w:eastAsia="ar-SA"/>
        </w:rPr>
        <w:t>.</w:t>
      </w:r>
    </w:p>
    <w:p w:rsidR="005661D6" w:rsidRPr="000C22CF" w:rsidRDefault="005661D6" w:rsidP="00566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68698383"/>
    </w:p>
    <w:p w:rsidR="005661D6" w:rsidRPr="000C22CF" w:rsidRDefault="005661D6" w:rsidP="00566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ТЕМА 6: Приложими модели за определяне на такса битови отпадъци на база количество. Европейски добри практики.</w:t>
      </w:r>
      <w:bookmarkEnd w:id="4"/>
    </w:p>
    <w:p w:rsidR="005661D6" w:rsidRPr="00D87D72" w:rsidRDefault="005661D6" w:rsidP="00D87D72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1.Нормативна уредба и приложими модели за определяне на такса битови отпадъци на база количество</w:t>
      </w:r>
      <w:r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5661D6" w:rsidRPr="00D87D72" w:rsidRDefault="005661D6" w:rsidP="00D87D72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2.Съществуващи практики до момента</w:t>
      </w:r>
      <w:r w:rsidRPr="001B1B29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5661D6" w:rsidRPr="00D87D72" w:rsidRDefault="005661D6" w:rsidP="00D87D72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3.Очаквани промени в насоките за определяне на такса битови отпадъци;</w:t>
      </w:r>
    </w:p>
    <w:p w:rsidR="005661D6" w:rsidRPr="00D87D72" w:rsidRDefault="005661D6" w:rsidP="00D87D72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4.Европейски добри практики</w:t>
      </w:r>
      <w:r w:rsidRPr="00D87D72">
        <w:rPr>
          <w:rFonts w:ascii="Times New Roman" w:hAnsi="Times New Roman" w:cs="Times New Roman"/>
          <w:bCs/>
          <w:sz w:val="24"/>
          <w:szCs w:val="24"/>
          <w:lang w:val="en-US" w:eastAsia="ar-SA"/>
        </w:rPr>
        <w:t>.</w:t>
      </w:r>
    </w:p>
    <w:p w:rsidR="00E83FFA" w:rsidRPr="000C22CF" w:rsidRDefault="00E83FFA" w:rsidP="00E83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68698384"/>
    </w:p>
    <w:p w:rsidR="00E83FFA" w:rsidRPr="000C22CF" w:rsidRDefault="00E83FFA" w:rsidP="00E83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ТЕМА 7: Подобряване на общинския контрол и налагането на санкции</w:t>
      </w:r>
      <w:bookmarkEnd w:id="5"/>
    </w:p>
    <w:p w:rsidR="00E83FFA" w:rsidRPr="00D87D72" w:rsidRDefault="00E83FFA" w:rsidP="00D87D72">
      <w:pPr>
        <w:pStyle w:val="ListParagraph"/>
        <w:numPr>
          <w:ilvl w:val="0"/>
          <w:numId w:val="12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1.Общински контрол по управление на отпадъците</w:t>
      </w:r>
      <w:r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E83FFA" w:rsidRPr="00D87D72" w:rsidRDefault="00E83FFA" w:rsidP="00D87D72">
      <w:pPr>
        <w:pStyle w:val="ListParagraph"/>
        <w:numPr>
          <w:ilvl w:val="0"/>
          <w:numId w:val="12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2.Налагане на санкции от общините</w:t>
      </w:r>
      <w:r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E83FFA" w:rsidRPr="00D87D72" w:rsidRDefault="00E83FFA" w:rsidP="00D87D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Подтема 3.Административно-наказателна отговорност на общините</w:t>
      </w:r>
      <w:r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</w:p>
    <w:p w:rsidR="00E83FFA" w:rsidRPr="000C22CF" w:rsidRDefault="00E83FFA" w:rsidP="00E83F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E83FFA" w:rsidRPr="000C22CF" w:rsidRDefault="00E83FFA" w:rsidP="00E83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68698385"/>
      <w:r w:rsidRPr="000C22CF">
        <w:rPr>
          <w:rFonts w:ascii="Times New Roman" w:hAnsi="Times New Roman" w:cs="Times New Roman"/>
          <w:b/>
          <w:sz w:val="24"/>
          <w:szCs w:val="24"/>
        </w:rPr>
        <w:t>ТЕМА 8: Общински отговорности по закриването на депата</w:t>
      </w:r>
      <w:bookmarkEnd w:id="6"/>
    </w:p>
    <w:p w:rsidR="00E83FFA" w:rsidRPr="00D87D72" w:rsidRDefault="006611D4" w:rsidP="00D87D72">
      <w:pPr>
        <w:pStyle w:val="ListParagraph"/>
        <w:numPr>
          <w:ilvl w:val="0"/>
          <w:numId w:val="13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1.Нормативни документи регламентиращи закриването на депа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E83FFA" w:rsidRPr="00D87D72" w:rsidRDefault="006611D4" w:rsidP="00D87D72">
      <w:pPr>
        <w:pStyle w:val="ListParagraph"/>
        <w:numPr>
          <w:ilvl w:val="0"/>
          <w:numId w:val="13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2.Актуална обстановка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val="en-US" w:eastAsia="ar-SA"/>
        </w:rPr>
        <w:t>;</w:t>
      </w:r>
    </w:p>
    <w:p w:rsidR="00E83FFA" w:rsidRPr="00D87D72" w:rsidRDefault="006611D4" w:rsidP="00D87D72">
      <w:pPr>
        <w:pStyle w:val="ListParagraph"/>
        <w:numPr>
          <w:ilvl w:val="0"/>
          <w:numId w:val="13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3.Общински отговорности по закриване на депа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val="ru-RU" w:eastAsia="ar-SA"/>
        </w:rPr>
        <w:t>;</w:t>
      </w:r>
    </w:p>
    <w:p w:rsidR="00E83FFA" w:rsidRPr="00D87D72" w:rsidRDefault="006611D4" w:rsidP="00D87D72">
      <w:pPr>
        <w:pStyle w:val="ListParagraph"/>
        <w:numPr>
          <w:ilvl w:val="0"/>
          <w:numId w:val="13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eastAsia="ar-SA"/>
        </w:rPr>
        <w:t>4.Технически изисквания</w:t>
      </w:r>
      <w:r w:rsidR="00E83FFA" w:rsidRPr="00D87D72">
        <w:rPr>
          <w:rFonts w:ascii="Times New Roman" w:hAnsi="Times New Roman" w:cs="Times New Roman"/>
          <w:bCs/>
          <w:sz w:val="24"/>
          <w:szCs w:val="24"/>
          <w:lang w:val="en-US" w:eastAsia="ar-SA"/>
        </w:rPr>
        <w:t>;</w:t>
      </w:r>
    </w:p>
    <w:p w:rsidR="00E83FFA" w:rsidRDefault="006611D4" w:rsidP="00D87D72">
      <w:pPr>
        <w:pStyle w:val="ListParagraph"/>
        <w:numPr>
          <w:ilvl w:val="0"/>
          <w:numId w:val="13"/>
        </w:numPr>
        <w:suppressAutoHyphens/>
        <w:spacing w:before="100" w:after="0" w:line="276" w:lineRule="auto"/>
        <w:jc w:val="both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0C22C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Подтема </w:t>
      </w:r>
      <w:r w:rsidR="00E83FFA" w:rsidRPr="000C22CF">
        <w:rPr>
          <w:rFonts w:ascii="Times New Roman" w:hAnsi="Times New Roman" w:cs="Times New Roman"/>
          <w:bCs/>
          <w:sz w:val="24"/>
          <w:szCs w:val="24"/>
          <w:lang w:eastAsia="ar-SA"/>
        </w:rPr>
        <w:t>5.Представяне на основните инструменти за финансиране</w:t>
      </w:r>
      <w:r w:rsidR="00E83FFA" w:rsidRPr="000C22CF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E83FFA" w:rsidRPr="000C22CF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 дейностите по закриване и рекултивация на депата</w:t>
      </w:r>
    </w:p>
    <w:p w:rsidR="00756E94" w:rsidRDefault="00756E94" w:rsidP="00E83FFA">
      <w:pPr>
        <w:pStyle w:val="ListParagraph"/>
        <w:suppressAutoHyphens/>
        <w:spacing w:before="100" w:after="0" w:line="276" w:lineRule="auto"/>
        <w:ind w:left="0"/>
        <w:jc w:val="both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56E94" w:rsidRPr="00C4594E" w:rsidRDefault="00756E94" w:rsidP="00756E94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1B2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C4594E">
        <w:rPr>
          <w:rFonts w:ascii="Times New Roman" w:hAnsi="Times New Roman"/>
          <w:b/>
          <w:bCs/>
          <w:sz w:val="24"/>
          <w:szCs w:val="24"/>
        </w:rPr>
        <w:t>. Програма и продължителност на обучението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4594E">
        <w:rPr>
          <w:rFonts w:ascii="Times New Roman" w:hAnsi="Times New Roman"/>
          <w:bCs/>
          <w:sz w:val="24"/>
          <w:szCs w:val="24"/>
          <w:lang w:eastAsia="ar-SA"/>
        </w:rPr>
        <w:t xml:space="preserve">Времето, за което един участник следва да премине дистанционното обучение е максимум 4 седмици. 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594E">
        <w:rPr>
          <w:rFonts w:ascii="Times New Roman" w:hAnsi="Times New Roman"/>
          <w:sz w:val="24"/>
          <w:szCs w:val="24"/>
        </w:rPr>
        <w:t>На база</w:t>
      </w:r>
      <w:r w:rsidR="00A0757D">
        <w:rPr>
          <w:rFonts w:ascii="Times New Roman" w:hAnsi="Times New Roman"/>
          <w:sz w:val="24"/>
          <w:szCs w:val="24"/>
        </w:rPr>
        <w:t xml:space="preserve"> съдържанието,</w:t>
      </w:r>
      <w:r w:rsidR="001B1B29">
        <w:rPr>
          <w:rFonts w:ascii="Times New Roman" w:hAnsi="Times New Roman"/>
          <w:sz w:val="24"/>
          <w:szCs w:val="24"/>
        </w:rPr>
        <w:t xml:space="preserve"> </w:t>
      </w:r>
      <w:r w:rsidRPr="00C4594E">
        <w:rPr>
          <w:rFonts w:ascii="Times New Roman" w:hAnsi="Times New Roman"/>
          <w:sz w:val="24"/>
          <w:szCs w:val="24"/>
        </w:rPr>
        <w:t xml:space="preserve">сложността и обема информация по отделните теми, Ви препоръчваме да спазвате следния </w:t>
      </w:r>
      <w:r w:rsidRPr="00C4594E">
        <w:rPr>
          <w:rFonts w:ascii="Times New Roman" w:hAnsi="Times New Roman"/>
          <w:b/>
          <w:sz w:val="24"/>
          <w:szCs w:val="24"/>
        </w:rPr>
        <w:t>график за работа:</w:t>
      </w:r>
    </w:p>
    <w:p w:rsidR="00756E94" w:rsidRPr="001B1B29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1B29">
        <w:rPr>
          <w:rFonts w:ascii="Times New Roman" w:hAnsi="Times New Roman"/>
          <w:sz w:val="24"/>
          <w:szCs w:val="24"/>
        </w:rPr>
        <w:t>1 седмица – теми 1 и 2;</w:t>
      </w:r>
    </w:p>
    <w:p w:rsidR="00756E94" w:rsidRPr="001B1B29" w:rsidRDefault="00A0757D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1B29">
        <w:rPr>
          <w:rFonts w:ascii="Times New Roman" w:hAnsi="Times New Roman"/>
          <w:sz w:val="24"/>
          <w:szCs w:val="24"/>
        </w:rPr>
        <w:t>2 седмица – теми 3, 4 ;</w:t>
      </w:r>
    </w:p>
    <w:p w:rsidR="00756E94" w:rsidRPr="001B1B29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1B29">
        <w:rPr>
          <w:rFonts w:ascii="Times New Roman" w:hAnsi="Times New Roman"/>
          <w:sz w:val="24"/>
          <w:szCs w:val="24"/>
        </w:rPr>
        <w:t xml:space="preserve">3 седмица – теми </w:t>
      </w:r>
      <w:r w:rsidR="00A0757D" w:rsidRPr="001B1B29">
        <w:rPr>
          <w:rFonts w:ascii="Times New Roman" w:hAnsi="Times New Roman"/>
          <w:sz w:val="24"/>
          <w:szCs w:val="24"/>
        </w:rPr>
        <w:t>5, 6</w:t>
      </w:r>
      <w:r w:rsidRPr="001B1B29">
        <w:rPr>
          <w:rFonts w:ascii="Times New Roman" w:hAnsi="Times New Roman"/>
          <w:sz w:val="24"/>
          <w:szCs w:val="24"/>
        </w:rPr>
        <w:t>;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1B29">
        <w:rPr>
          <w:rFonts w:ascii="Times New Roman" w:hAnsi="Times New Roman"/>
          <w:sz w:val="24"/>
          <w:szCs w:val="24"/>
        </w:rPr>
        <w:t>4 седмица – теми</w:t>
      </w:r>
      <w:r w:rsidR="00A0757D" w:rsidRPr="001B1B29">
        <w:rPr>
          <w:rFonts w:ascii="Times New Roman" w:hAnsi="Times New Roman"/>
          <w:sz w:val="24"/>
          <w:szCs w:val="24"/>
        </w:rPr>
        <w:t xml:space="preserve"> 7 и </w:t>
      </w:r>
      <w:r w:rsidRPr="001B1B29">
        <w:rPr>
          <w:rFonts w:ascii="Times New Roman" w:hAnsi="Times New Roman"/>
          <w:sz w:val="24"/>
          <w:szCs w:val="24"/>
        </w:rPr>
        <w:t xml:space="preserve"> 8</w:t>
      </w:r>
    </w:p>
    <w:p w:rsidR="00756E94" w:rsidRPr="00FE3B64" w:rsidRDefault="00A0757D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1B1B29">
        <w:rPr>
          <w:rFonts w:ascii="Times New Roman" w:eastAsia="Calibri" w:hAnsi="Times New Roman"/>
          <w:sz w:val="24"/>
          <w:szCs w:val="24"/>
        </w:rPr>
        <w:t>При следване на равномерно темпо, и</w:t>
      </w:r>
      <w:r w:rsidR="00756E94" w:rsidRPr="001B1B29">
        <w:rPr>
          <w:rFonts w:ascii="Times New Roman" w:eastAsia="Calibri" w:hAnsi="Times New Roman"/>
          <w:sz w:val="24"/>
          <w:szCs w:val="24"/>
        </w:rPr>
        <w:t>зучаването на материала ще Ви отнеме не повече от средно 1,5 часа / ден.</w:t>
      </w:r>
      <w:r w:rsidR="00756E94" w:rsidRPr="00FE3B64">
        <w:rPr>
          <w:rFonts w:ascii="Times New Roman" w:eastAsia="Calibri" w:hAnsi="Times New Roman"/>
          <w:sz w:val="24"/>
          <w:szCs w:val="24"/>
        </w:rPr>
        <w:t xml:space="preserve"> </w:t>
      </w:r>
    </w:p>
    <w:p w:rsidR="00756E94" w:rsidRPr="001B1B29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1B1B29">
        <w:rPr>
          <w:rFonts w:ascii="Times New Roman" w:eastAsia="Calibri" w:hAnsi="Times New Roman"/>
          <w:sz w:val="24"/>
          <w:szCs w:val="24"/>
        </w:rPr>
        <w:t xml:space="preserve">При необходимост, при неясни въпроси и нужда от допълнителни разяснения обучаваните могат да взаимодействат с експерти на НСОРБ. </w:t>
      </w:r>
    </w:p>
    <w:p w:rsidR="00756E94" w:rsidRPr="001B1B29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1B1B29">
        <w:rPr>
          <w:rFonts w:ascii="Times New Roman" w:eastAsia="Calibri" w:hAnsi="Times New Roman"/>
          <w:sz w:val="24"/>
          <w:szCs w:val="24"/>
        </w:rPr>
        <w:t xml:space="preserve">Може да изпращате емайли с Ваши въпроси. Отговори от страна експерт на НСОРБ ще получите на същия ден. </w:t>
      </w:r>
    </w:p>
    <w:p w:rsidR="00756E94" w:rsidRPr="001B1B29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1B1B29">
        <w:rPr>
          <w:rFonts w:ascii="Times New Roman" w:eastAsia="Calibri" w:hAnsi="Times New Roman"/>
          <w:sz w:val="24"/>
          <w:szCs w:val="24"/>
        </w:rPr>
        <w:t xml:space="preserve">Също така за спешно възникнали въпроси ще може да направите и връзка по телефона с определения експерт по съответния дистанционен модул или с изпращане на съобщение чрез настоящата интернет платформа. </w:t>
      </w:r>
    </w:p>
    <w:p w:rsidR="00756E94" w:rsidRPr="001B1B29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1B1B29">
        <w:rPr>
          <w:rFonts w:ascii="Times New Roman" w:eastAsia="Calibri" w:hAnsi="Times New Roman"/>
          <w:sz w:val="24"/>
          <w:szCs w:val="24"/>
        </w:rPr>
        <w:t>В платформата за дистанционно обучение ще може да представите и обсъждате конкретен казус от своята община, да задавате въпроси, да споделите примери от своята практика, да обмените идеи и опит с други Ваши колеги от общините. Този дискусионният форум ще се модерира от компетентен експерт на НСОРБ.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1B29">
        <w:rPr>
          <w:rFonts w:ascii="Times New Roman" w:hAnsi="Times New Roman"/>
          <w:sz w:val="24"/>
          <w:szCs w:val="24"/>
        </w:rPr>
        <w:t>В рамките на раздел „Форум“ на обучителната платформа, участниците също ще могат задават въпроси и да обсъждат казуси по определени теми, както и да споделят примери от своята практика.</w:t>
      </w:r>
      <w:r w:rsidRPr="00C4594E">
        <w:rPr>
          <w:rFonts w:ascii="Times New Roman" w:hAnsi="Times New Roman"/>
          <w:sz w:val="24"/>
          <w:szCs w:val="24"/>
        </w:rPr>
        <w:t xml:space="preserve"> </w:t>
      </w:r>
    </w:p>
    <w:p w:rsidR="00756E94" w:rsidRDefault="00756E94" w:rsidP="00756E94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4594E">
        <w:rPr>
          <w:rFonts w:ascii="Times New Roman" w:hAnsi="Times New Roman"/>
          <w:b/>
          <w:bCs/>
          <w:sz w:val="24"/>
          <w:szCs w:val="24"/>
        </w:rPr>
        <w:t>6.Критерии за успешно завършване на курса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4594E">
        <w:rPr>
          <w:rFonts w:ascii="Times New Roman" w:hAnsi="Times New Roman"/>
          <w:sz w:val="24"/>
          <w:szCs w:val="24"/>
        </w:rPr>
        <w:t xml:space="preserve">След обучението ще ви бъде проведен тест за външно оценяване, организиран от НСОРБ. Тестът включва 20 въпроса </w:t>
      </w:r>
      <w:r w:rsidRPr="00C4594E">
        <w:rPr>
          <w:rFonts w:ascii="Times New Roman" w:hAnsi="Times New Roman"/>
          <w:sz w:val="24"/>
          <w:szCs w:val="24"/>
          <w:shd w:val="clear" w:color="auto" w:fill="FFFFFF"/>
        </w:rPr>
        <w:t>които обхващат всички задължителни теми от обучителния модул</w:t>
      </w:r>
      <w:r w:rsidRPr="001B1B29">
        <w:rPr>
          <w:rFonts w:ascii="Times New Roman" w:hAnsi="Times New Roman"/>
          <w:sz w:val="24"/>
          <w:szCs w:val="24"/>
          <w:shd w:val="clear" w:color="auto" w:fill="FFFFFF"/>
        </w:rPr>
        <w:t>. Въпросите са от затворен тип и всеки има само един верен отговор</w:t>
      </w:r>
      <w:r w:rsidRPr="00C4594E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C4594E">
        <w:rPr>
          <w:rFonts w:ascii="Times New Roman" w:hAnsi="Times New Roman"/>
          <w:sz w:val="24"/>
          <w:szCs w:val="24"/>
        </w:rPr>
        <w:t xml:space="preserve"> Резултатите се отчитат в точки като максималният им брой е 100 точки. Отделните въпроси са с различна степен на сложност и </w:t>
      </w:r>
      <w:r w:rsidRPr="001B1B29">
        <w:rPr>
          <w:rFonts w:ascii="Times New Roman" w:hAnsi="Times New Roman"/>
          <w:sz w:val="24"/>
          <w:szCs w:val="24"/>
        </w:rPr>
        <w:t>всеки носи различен брой точки.</w:t>
      </w:r>
      <w:r w:rsidRPr="00C4594E">
        <w:rPr>
          <w:rFonts w:ascii="Times New Roman" w:hAnsi="Times New Roman"/>
          <w:sz w:val="24"/>
          <w:szCs w:val="24"/>
        </w:rPr>
        <w:t xml:space="preserve"> Критерий за успешно преминат тест е получаването на минимум </w:t>
      </w:r>
      <w:r w:rsidRPr="001B1B29">
        <w:rPr>
          <w:rFonts w:ascii="Times New Roman" w:hAnsi="Times New Roman"/>
          <w:sz w:val="24"/>
          <w:szCs w:val="24"/>
          <w:lang w:val="ru-RU"/>
        </w:rPr>
        <w:t>80</w:t>
      </w:r>
      <w:r w:rsidRPr="00C4594E">
        <w:rPr>
          <w:rFonts w:ascii="Times New Roman" w:hAnsi="Times New Roman"/>
          <w:sz w:val="24"/>
          <w:szCs w:val="24"/>
        </w:rPr>
        <w:t xml:space="preserve"> точки.</w:t>
      </w:r>
    </w:p>
    <w:p w:rsidR="0097230A" w:rsidRPr="001B1B29" w:rsidRDefault="00756E94" w:rsidP="001B1B2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4594E">
        <w:rPr>
          <w:rFonts w:ascii="Times New Roman" w:hAnsi="Times New Roman"/>
          <w:b/>
          <w:bCs/>
          <w:sz w:val="24"/>
          <w:szCs w:val="24"/>
          <w:lang w:eastAsia="ar-SA"/>
        </w:rPr>
        <w:t>Успешно завършилите дистанционното обучение и издържали изпи</w:t>
      </w:r>
      <w:r w:rsidR="00A0757D">
        <w:rPr>
          <w:rFonts w:ascii="Times New Roman" w:hAnsi="Times New Roman"/>
          <w:b/>
          <w:bCs/>
          <w:sz w:val="24"/>
          <w:szCs w:val="24"/>
          <w:lang w:eastAsia="ar-SA"/>
        </w:rPr>
        <w:t>тния тест ще получат Сертификат.</w:t>
      </w:r>
    </w:p>
    <w:p w:rsidR="0097230A" w:rsidRPr="000C22CF" w:rsidRDefault="0097230A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B20543" w:rsidRPr="000C22CF" w:rsidRDefault="00B20543" w:rsidP="00B20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</w:p>
    <w:p w:rsidR="00B20543" w:rsidRPr="000C22CF" w:rsidRDefault="00B20543" w:rsidP="00B20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93" w:rsidRPr="000C22CF" w:rsidRDefault="00F43293" w:rsidP="00D51262">
      <w:pPr>
        <w:pStyle w:val="NormalWeb"/>
        <w:spacing w:after="0"/>
        <w:ind w:left="360"/>
        <w:jc w:val="both"/>
        <w:rPr>
          <w:lang w:val="bg-BG" w:eastAsia="ar-SA"/>
        </w:rPr>
      </w:pPr>
    </w:p>
    <w:p w:rsidR="00B20543" w:rsidRPr="000C22CF" w:rsidRDefault="00B20543" w:rsidP="00D51262">
      <w:pPr>
        <w:pStyle w:val="NormalWeb"/>
        <w:spacing w:after="0"/>
        <w:ind w:left="360"/>
        <w:jc w:val="both"/>
        <w:rPr>
          <w:lang w:val="bg-BG" w:eastAsia="ar-SA"/>
        </w:rPr>
      </w:pPr>
    </w:p>
    <w:p w:rsidR="00D51262" w:rsidRPr="000C22CF" w:rsidRDefault="00D51262" w:rsidP="00D512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1262" w:rsidRDefault="00D51262" w:rsidP="00D51262"/>
    <w:sectPr w:rsidR="00D5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9D3"/>
    <w:multiLevelType w:val="hybridMultilevel"/>
    <w:tmpl w:val="8ED866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3D6"/>
    <w:multiLevelType w:val="hybridMultilevel"/>
    <w:tmpl w:val="A6AE1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B2B"/>
    <w:multiLevelType w:val="hybridMultilevel"/>
    <w:tmpl w:val="27621C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455C"/>
    <w:multiLevelType w:val="hybridMultilevel"/>
    <w:tmpl w:val="E82C73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4C27"/>
    <w:multiLevelType w:val="hybridMultilevel"/>
    <w:tmpl w:val="37EE37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1A9B"/>
    <w:multiLevelType w:val="hybridMultilevel"/>
    <w:tmpl w:val="0046ED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1B18"/>
    <w:multiLevelType w:val="hybridMultilevel"/>
    <w:tmpl w:val="FEFA55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1444A"/>
    <w:multiLevelType w:val="hybridMultilevel"/>
    <w:tmpl w:val="158878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141D6"/>
    <w:multiLevelType w:val="hybridMultilevel"/>
    <w:tmpl w:val="FA72AD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48FE"/>
    <w:multiLevelType w:val="hybridMultilevel"/>
    <w:tmpl w:val="B5B210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23CEF"/>
    <w:multiLevelType w:val="hybridMultilevel"/>
    <w:tmpl w:val="32263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626C"/>
    <w:multiLevelType w:val="hybridMultilevel"/>
    <w:tmpl w:val="51547D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2"/>
    <w:rsid w:val="000C22CF"/>
    <w:rsid w:val="001B1B29"/>
    <w:rsid w:val="004009EB"/>
    <w:rsid w:val="005661D6"/>
    <w:rsid w:val="006611D4"/>
    <w:rsid w:val="00755C3F"/>
    <w:rsid w:val="00756E94"/>
    <w:rsid w:val="00942468"/>
    <w:rsid w:val="0097230A"/>
    <w:rsid w:val="00A0757D"/>
    <w:rsid w:val="00A13E69"/>
    <w:rsid w:val="00AA1DA4"/>
    <w:rsid w:val="00B20543"/>
    <w:rsid w:val="00CA0E5D"/>
    <w:rsid w:val="00D51262"/>
    <w:rsid w:val="00D87D72"/>
    <w:rsid w:val="00E83FFA"/>
    <w:rsid w:val="00EC1BDA"/>
    <w:rsid w:val="00F43293"/>
    <w:rsid w:val="00F608B9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08EA2"/>
  <w15:chartTrackingRefBased/>
  <w15:docId w15:val="{7B3D709B-AF7B-4665-8D65-6FE206E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Accent 1,ПАРАГРАФ,Lettre d'introduction,List Paragraph1,1st level - Bullet List Paragraph,Table of contents numbered,Bullet Points,Liste Paragraf,Llista Nivell1,Lista de nivel 1,Paragraphe de liste PBLH,En tête 1"/>
    <w:basedOn w:val="Normal"/>
    <w:link w:val="ListParagraphChar"/>
    <w:uiPriority w:val="34"/>
    <w:qFormat/>
    <w:rsid w:val="00D51262"/>
    <w:pPr>
      <w:ind w:left="720"/>
      <w:contextualSpacing/>
    </w:pPr>
  </w:style>
  <w:style w:type="paragraph" w:styleId="NormalWeb">
    <w:name w:val="Normal (Web)"/>
    <w:basedOn w:val="Normal"/>
    <w:uiPriority w:val="99"/>
    <w:rsid w:val="00D5126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F43293"/>
    <w:pPr>
      <w:spacing w:after="0" w:line="240" w:lineRule="auto"/>
    </w:pPr>
  </w:style>
  <w:style w:type="character" w:customStyle="1" w:styleId="ListParagraphChar">
    <w:name w:val="List Paragraph Char"/>
    <w:aliases w:val="Colorful List Accent 1 Char,ПАРАГРАФ Char,Lettre d'introduction Char,List Paragraph1 Char,1st level - Bullet List Paragraph Char,Table of contents numbered Char,Bullet Points Char,Liste Paragraf Char,Llista Nivell1 Char"/>
    <w:link w:val="ListParagraph"/>
    <w:uiPriority w:val="34"/>
    <w:locked/>
    <w:rsid w:val="00F43293"/>
  </w:style>
  <w:style w:type="character" w:styleId="IntenseEmphasis">
    <w:name w:val="Intense Emphasis"/>
    <w:basedOn w:val="DefaultParagraphFont"/>
    <w:uiPriority w:val="21"/>
    <w:qFormat/>
    <w:rsid w:val="00E83F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15</cp:revision>
  <dcterms:created xsi:type="dcterms:W3CDTF">2021-07-26T13:50:00Z</dcterms:created>
  <dcterms:modified xsi:type="dcterms:W3CDTF">2022-12-19T11:19:00Z</dcterms:modified>
</cp:coreProperties>
</file>