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81A" w:rsidRPr="00FF7BAF" w:rsidRDefault="0062581A" w:rsidP="00D20C2C">
      <w:pPr>
        <w:suppressAutoHyphens/>
        <w:spacing w:before="0" w:after="0" w:line="240" w:lineRule="auto"/>
        <w:contextualSpacing/>
        <w:jc w:val="center"/>
        <w:rPr>
          <w:rFonts w:ascii="Times New Roman" w:hAnsi="Times New Roman"/>
          <w:b/>
          <w:bCs/>
          <w:sz w:val="22"/>
          <w:szCs w:val="22"/>
          <w:lang w:eastAsia="ar-SA"/>
        </w:rPr>
      </w:pPr>
    </w:p>
    <w:p w:rsidR="00491731" w:rsidRPr="00FF7BAF" w:rsidRDefault="00491731" w:rsidP="00D20C2C">
      <w:pPr>
        <w:pStyle w:val="21"/>
        <w:shd w:val="clear" w:color="auto" w:fill="auto"/>
        <w:spacing w:before="0" w:after="0" w:line="240" w:lineRule="auto"/>
        <w:ind w:right="348"/>
        <w:jc w:val="center"/>
        <w:rPr>
          <w:rFonts w:ascii="Times New Roman" w:hAnsi="Times New Roman" w:cs="Times New Roman"/>
          <w:b/>
          <w:caps/>
          <w:color w:val="385623"/>
        </w:rPr>
      </w:pPr>
    </w:p>
    <w:p w:rsidR="00491731" w:rsidRPr="00FF7BAF" w:rsidRDefault="00491731" w:rsidP="00D20C2C">
      <w:pPr>
        <w:pStyle w:val="21"/>
        <w:shd w:val="clear" w:color="auto" w:fill="auto"/>
        <w:spacing w:before="0" w:after="0" w:line="240" w:lineRule="auto"/>
        <w:ind w:right="348"/>
        <w:jc w:val="center"/>
        <w:rPr>
          <w:rFonts w:ascii="Times New Roman" w:hAnsi="Times New Roman" w:cs="Times New Roman"/>
          <w:b/>
          <w:caps/>
          <w:color w:val="385623"/>
        </w:rPr>
      </w:pPr>
    </w:p>
    <w:p w:rsidR="00491731" w:rsidRPr="00FF7BAF" w:rsidRDefault="00491731" w:rsidP="00D20C2C">
      <w:pPr>
        <w:pStyle w:val="21"/>
        <w:shd w:val="clear" w:color="auto" w:fill="auto"/>
        <w:spacing w:before="0" w:after="0" w:line="240" w:lineRule="auto"/>
        <w:ind w:right="348"/>
        <w:jc w:val="center"/>
        <w:rPr>
          <w:rFonts w:ascii="Times New Roman" w:hAnsi="Times New Roman" w:cs="Times New Roman"/>
          <w:b/>
          <w:caps/>
          <w:color w:val="385623"/>
        </w:rPr>
      </w:pPr>
    </w:p>
    <w:p w:rsidR="00491731" w:rsidRPr="00FF7BAF" w:rsidRDefault="00491731" w:rsidP="00D20C2C">
      <w:pPr>
        <w:pStyle w:val="21"/>
        <w:shd w:val="clear" w:color="auto" w:fill="auto"/>
        <w:spacing w:before="0" w:after="0" w:line="240" w:lineRule="auto"/>
        <w:ind w:right="348"/>
        <w:jc w:val="center"/>
        <w:rPr>
          <w:rFonts w:ascii="Times New Roman" w:hAnsi="Times New Roman" w:cs="Times New Roman"/>
          <w:b/>
          <w:caps/>
          <w:color w:val="385623"/>
        </w:rPr>
      </w:pPr>
    </w:p>
    <w:p w:rsidR="00491731" w:rsidRPr="00FF7BAF" w:rsidRDefault="000D0BC3" w:rsidP="00F67423">
      <w:pPr>
        <w:shd w:val="clear" w:color="auto" w:fill="DBE5F1" w:themeFill="accent1" w:themeFillTint="33"/>
        <w:spacing w:before="0" w:after="0" w:line="240" w:lineRule="auto"/>
        <w:jc w:val="center"/>
        <w:rPr>
          <w:rFonts w:ascii="Times New Roman" w:eastAsiaTheme="minorHAnsi" w:hAnsi="Times New Roman"/>
          <w:b/>
          <w:caps/>
          <w:color w:val="000000" w:themeColor="text1"/>
          <w:sz w:val="22"/>
          <w:szCs w:val="22"/>
          <w:lang w:eastAsia="en-US"/>
        </w:rPr>
      </w:pPr>
      <w:r w:rsidRPr="00FF7BAF">
        <w:rPr>
          <w:rFonts w:ascii="Times New Roman" w:eastAsiaTheme="minorHAnsi" w:hAnsi="Times New Roman"/>
          <w:b/>
          <w:color w:val="000000" w:themeColor="text1"/>
          <w:sz w:val="22"/>
          <w:szCs w:val="22"/>
          <w:lang w:eastAsia="en-US"/>
        </w:rPr>
        <w:t>МОДУЛ „ЕФЕКТИВНО УПРАВЛЕНИЕ НА ОБЩИНСКОТО ОБРАЗОВАНИЕ“</w:t>
      </w:r>
    </w:p>
    <w:p w:rsidR="00F67423" w:rsidRPr="00FF7BAF" w:rsidRDefault="00F67423" w:rsidP="00F67423">
      <w:pPr>
        <w:shd w:val="clear" w:color="auto" w:fill="DBE5F1" w:themeFill="accent1" w:themeFillTint="33"/>
        <w:spacing w:before="0" w:after="0"/>
        <w:jc w:val="center"/>
        <w:rPr>
          <w:rFonts w:ascii="Times New Roman" w:eastAsia="MS ??" w:hAnsi="Times New Roman"/>
          <w:b/>
          <w:bCs/>
          <w:color w:val="000000" w:themeColor="text1"/>
          <w:sz w:val="22"/>
          <w:szCs w:val="22"/>
        </w:rPr>
      </w:pPr>
    </w:p>
    <w:p w:rsidR="00491731" w:rsidRPr="00FF7BAF" w:rsidRDefault="00773A2D" w:rsidP="00773A2D">
      <w:pPr>
        <w:shd w:val="clear" w:color="auto" w:fill="DBE5F1" w:themeFill="accent1" w:themeFillTint="33"/>
        <w:jc w:val="center"/>
        <w:rPr>
          <w:rFonts w:ascii="Times New Roman" w:eastAsia="MS ??" w:hAnsi="Times New Roman"/>
          <w:b/>
          <w:sz w:val="22"/>
          <w:szCs w:val="22"/>
        </w:rPr>
      </w:pPr>
      <w:r w:rsidRPr="00FF7BAF">
        <w:rPr>
          <w:rFonts w:ascii="Times New Roman" w:eastAsia="MS ??" w:hAnsi="Times New Roman"/>
          <w:b/>
          <w:sz w:val="22"/>
          <w:szCs w:val="22"/>
        </w:rPr>
        <w:t>ТЕМА 6  ЕФЕКТИВНО ФИНАНСОВО УПРАВЛЕНИЕ НА СИСТЕМАТА НА ОБРАЗОВАНИЕТО – ДЕЛЕГИРАНИ БЮДЖЕТИ И ЦЕЛЕВИ ТРАНСФЕРИ, ИЗИСКВАНИЯ КЪМ ФИНАНСОВОТО УПРАВЛЕНИЕ, ПРОБЛЕМИ И НАСОКИ ЗА ПРЕОДОЛЯВАНЕТО ИМ</w:t>
      </w:r>
    </w:p>
    <w:p w:rsidR="00491731" w:rsidRPr="00FF7BAF" w:rsidRDefault="0049173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A01A11" w:rsidRPr="00FF7BAF" w:rsidRDefault="00A01A11" w:rsidP="00D20C2C">
      <w:pPr>
        <w:spacing w:before="0" w:after="0"/>
        <w:rPr>
          <w:rFonts w:ascii="Times New Roman" w:eastAsia="MS ??" w:hAnsi="Times New Roman"/>
          <w:b/>
          <w:bCs/>
          <w:sz w:val="22"/>
          <w:szCs w:val="22"/>
        </w:rPr>
      </w:pPr>
    </w:p>
    <w:p w:rsidR="000D0BC3" w:rsidRPr="00FF7BAF" w:rsidRDefault="000D0BC3" w:rsidP="00D20C2C">
      <w:pPr>
        <w:spacing w:before="0" w:after="0"/>
        <w:jc w:val="center"/>
        <w:rPr>
          <w:rFonts w:ascii="Times New Roman" w:eastAsia="MS ??" w:hAnsi="Times New Roman"/>
          <w:b/>
          <w:bCs/>
          <w:sz w:val="22"/>
          <w:szCs w:val="22"/>
        </w:rPr>
      </w:pPr>
    </w:p>
    <w:p w:rsidR="000D0BC3" w:rsidRPr="00FF7BAF" w:rsidRDefault="000D0BC3" w:rsidP="00D20C2C">
      <w:pPr>
        <w:spacing w:before="0" w:after="0"/>
        <w:jc w:val="center"/>
        <w:rPr>
          <w:rFonts w:ascii="Times New Roman" w:eastAsia="MS ??" w:hAnsi="Times New Roman"/>
          <w:b/>
          <w:bCs/>
          <w:sz w:val="22"/>
          <w:szCs w:val="22"/>
        </w:rPr>
      </w:pPr>
    </w:p>
    <w:p w:rsidR="000D0BC3" w:rsidRPr="00FF7BAF" w:rsidRDefault="000D0BC3" w:rsidP="00D20C2C">
      <w:pPr>
        <w:spacing w:before="0" w:after="0"/>
        <w:jc w:val="center"/>
        <w:rPr>
          <w:rFonts w:ascii="Times New Roman" w:eastAsia="MS ??" w:hAnsi="Times New Roman"/>
          <w:b/>
          <w:bCs/>
          <w:sz w:val="22"/>
          <w:szCs w:val="22"/>
        </w:rPr>
      </w:pPr>
    </w:p>
    <w:p w:rsidR="000D0BC3" w:rsidRPr="00FF7BAF" w:rsidRDefault="000D0BC3" w:rsidP="00D20C2C">
      <w:pPr>
        <w:spacing w:before="0" w:after="0"/>
        <w:jc w:val="center"/>
        <w:rPr>
          <w:rFonts w:ascii="Times New Roman" w:eastAsia="MS ??" w:hAnsi="Times New Roman"/>
          <w:b/>
          <w:bCs/>
          <w:sz w:val="22"/>
          <w:szCs w:val="22"/>
        </w:rPr>
      </w:pPr>
    </w:p>
    <w:p w:rsidR="000D0BC3" w:rsidRPr="00FF7BAF" w:rsidRDefault="000D0BC3" w:rsidP="00D20C2C">
      <w:pPr>
        <w:spacing w:before="0" w:after="0"/>
        <w:jc w:val="center"/>
        <w:rPr>
          <w:rFonts w:ascii="Times New Roman" w:eastAsia="MS ??" w:hAnsi="Times New Roman"/>
          <w:b/>
          <w:bCs/>
          <w:sz w:val="22"/>
          <w:szCs w:val="22"/>
        </w:rPr>
      </w:pPr>
    </w:p>
    <w:p w:rsidR="000D0BC3" w:rsidRPr="00FF7BAF" w:rsidRDefault="000D0BC3" w:rsidP="00D20C2C">
      <w:pPr>
        <w:spacing w:before="0" w:after="0"/>
        <w:jc w:val="center"/>
        <w:rPr>
          <w:rFonts w:ascii="Times New Roman" w:eastAsia="MS ??" w:hAnsi="Times New Roman"/>
          <w:b/>
          <w:bCs/>
          <w:sz w:val="22"/>
          <w:szCs w:val="22"/>
        </w:rPr>
      </w:pPr>
    </w:p>
    <w:p w:rsidR="000D0BC3" w:rsidRPr="00FF7BAF" w:rsidRDefault="000D0BC3" w:rsidP="00D20C2C">
      <w:pPr>
        <w:spacing w:before="0" w:after="0"/>
        <w:jc w:val="center"/>
        <w:rPr>
          <w:rFonts w:ascii="Times New Roman" w:eastAsia="MS ??" w:hAnsi="Times New Roman"/>
          <w:b/>
          <w:bCs/>
          <w:sz w:val="22"/>
          <w:szCs w:val="22"/>
        </w:rPr>
      </w:pPr>
    </w:p>
    <w:p w:rsidR="000D0BC3" w:rsidRPr="00FF7BAF" w:rsidRDefault="000D0BC3" w:rsidP="00D20C2C">
      <w:pPr>
        <w:spacing w:before="0" w:after="0"/>
        <w:jc w:val="center"/>
        <w:rPr>
          <w:rFonts w:ascii="Times New Roman" w:eastAsia="MS ??" w:hAnsi="Times New Roman"/>
          <w:b/>
          <w:bCs/>
          <w:sz w:val="22"/>
          <w:szCs w:val="22"/>
        </w:rPr>
      </w:pPr>
    </w:p>
    <w:p w:rsidR="000D0BC3" w:rsidRPr="00FF7BAF" w:rsidRDefault="000D0BC3" w:rsidP="00D20C2C">
      <w:pPr>
        <w:spacing w:before="0" w:after="0"/>
        <w:jc w:val="center"/>
        <w:rPr>
          <w:rFonts w:ascii="Times New Roman" w:eastAsia="MS ??" w:hAnsi="Times New Roman"/>
          <w:b/>
          <w:bCs/>
          <w:sz w:val="22"/>
          <w:szCs w:val="22"/>
        </w:rPr>
      </w:pPr>
    </w:p>
    <w:p w:rsidR="000D0BC3" w:rsidRPr="00FF7BAF" w:rsidRDefault="000D0BC3" w:rsidP="00D20C2C">
      <w:pPr>
        <w:spacing w:before="0" w:after="0"/>
        <w:jc w:val="center"/>
        <w:rPr>
          <w:rFonts w:ascii="Times New Roman" w:eastAsia="MS ??" w:hAnsi="Times New Roman"/>
          <w:b/>
          <w:bCs/>
          <w:sz w:val="22"/>
          <w:szCs w:val="22"/>
        </w:rPr>
      </w:pPr>
    </w:p>
    <w:p w:rsidR="00A01A11" w:rsidRPr="00FF7BAF" w:rsidRDefault="00A01A11" w:rsidP="00D20C2C">
      <w:pPr>
        <w:spacing w:before="0" w:after="0"/>
        <w:jc w:val="center"/>
        <w:rPr>
          <w:rFonts w:ascii="Times New Roman" w:eastAsia="MS ??" w:hAnsi="Times New Roman"/>
          <w:b/>
          <w:bCs/>
          <w:sz w:val="22"/>
          <w:szCs w:val="22"/>
        </w:rPr>
      </w:pPr>
      <w:r w:rsidRPr="00FF7BAF">
        <w:rPr>
          <w:rFonts w:ascii="Times New Roman" w:eastAsia="MS ??" w:hAnsi="Times New Roman"/>
          <w:b/>
          <w:bCs/>
          <w:sz w:val="22"/>
          <w:szCs w:val="22"/>
        </w:rPr>
        <w:t>София</w:t>
      </w:r>
    </w:p>
    <w:p w:rsidR="00A01A11" w:rsidRPr="00FF7BAF" w:rsidRDefault="00A01A11" w:rsidP="00D20C2C">
      <w:pPr>
        <w:spacing w:before="0" w:after="0"/>
        <w:jc w:val="center"/>
        <w:rPr>
          <w:rFonts w:ascii="Times New Roman" w:eastAsia="MS ??" w:hAnsi="Times New Roman"/>
          <w:b/>
          <w:bCs/>
          <w:sz w:val="22"/>
          <w:szCs w:val="22"/>
        </w:rPr>
      </w:pPr>
    </w:p>
    <w:p w:rsidR="00A01A11" w:rsidRPr="00FF7BAF" w:rsidRDefault="00A01A11" w:rsidP="00D20C2C">
      <w:pPr>
        <w:spacing w:before="0" w:after="0"/>
        <w:jc w:val="center"/>
        <w:rPr>
          <w:rFonts w:ascii="Times New Roman" w:eastAsia="MS ??" w:hAnsi="Times New Roman"/>
          <w:b/>
          <w:bCs/>
          <w:sz w:val="22"/>
          <w:szCs w:val="22"/>
        </w:rPr>
      </w:pPr>
      <w:r w:rsidRPr="00FF7BAF">
        <w:rPr>
          <w:rFonts w:ascii="Times New Roman" w:eastAsia="MS ??" w:hAnsi="Times New Roman"/>
          <w:b/>
          <w:bCs/>
          <w:sz w:val="22"/>
          <w:szCs w:val="22"/>
        </w:rPr>
        <w:t>2021 г.</w:t>
      </w:r>
    </w:p>
    <w:p w:rsidR="000D0BC3" w:rsidRPr="00FF7BAF" w:rsidRDefault="000D0BC3">
      <w:pPr>
        <w:spacing w:before="0" w:after="0" w:line="240" w:lineRule="auto"/>
        <w:jc w:val="both"/>
        <w:rPr>
          <w:rFonts w:ascii="Times New Roman" w:eastAsia="MS ??" w:hAnsi="Times New Roman"/>
          <w:b/>
          <w:bCs/>
          <w:sz w:val="22"/>
          <w:szCs w:val="22"/>
        </w:rPr>
      </w:pPr>
      <w:bookmarkStart w:id="0" w:name="_GoBack"/>
      <w:r w:rsidRPr="00FF7BAF">
        <w:rPr>
          <w:rFonts w:ascii="Times New Roman" w:eastAsia="MS ??" w:hAnsi="Times New Roman"/>
          <w:b/>
          <w:bCs/>
          <w:sz w:val="22"/>
          <w:szCs w:val="22"/>
        </w:rPr>
        <w:br w:type="page"/>
      </w:r>
    </w:p>
    <w:p w:rsidR="00A01A11" w:rsidRPr="00FF7BAF" w:rsidRDefault="00A01A11" w:rsidP="00D20C2C">
      <w:pPr>
        <w:spacing w:before="0" w:after="0" w:line="240" w:lineRule="auto"/>
        <w:jc w:val="both"/>
        <w:rPr>
          <w:rFonts w:ascii="Times New Roman" w:eastAsia="MS ??" w:hAnsi="Times New Roman"/>
          <w:b/>
          <w:bCs/>
          <w:sz w:val="22"/>
          <w:szCs w:val="22"/>
        </w:rPr>
      </w:pPr>
    </w:p>
    <w:sdt>
      <w:sdtPr>
        <w:rPr>
          <w:rFonts w:ascii="Times New Roman" w:eastAsia="Times New Roman" w:hAnsi="Times New Roman" w:cs="Times New Roman"/>
          <w:color w:val="auto"/>
          <w:sz w:val="22"/>
          <w:szCs w:val="22"/>
          <w:lang w:val="bg-BG" w:eastAsia="bg-BG"/>
        </w:rPr>
        <w:id w:val="-1235931839"/>
        <w:docPartObj>
          <w:docPartGallery w:val="Table of Contents"/>
          <w:docPartUnique/>
        </w:docPartObj>
      </w:sdtPr>
      <w:sdtEndPr>
        <w:rPr>
          <w:b/>
          <w:bCs/>
          <w:noProof/>
        </w:rPr>
      </w:sdtEndPr>
      <w:sdtContent>
        <w:p w:rsidR="00E518B3" w:rsidRPr="00571E15" w:rsidRDefault="00E518B3">
          <w:pPr>
            <w:pStyle w:val="TOCHeading"/>
            <w:rPr>
              <w:rFonts w:ascii="Times New Roman" w:hAnsi="Times New Roman" w:cs="Times New Roman"/>
              <w:b/>
              <w:color w:val="000000" w:themeColor="text1"/>
              <w:sz w:val="22"/>
              <w:szCs w:val="22"/>
              <w:lang w:val="bg-BG"/>
            </w:rPr>
          </w:pPr>
          <w:r w:rsidRPr="00571E15">
            <w:rPr>
              <w:rFonts w:ascii="Times New Roman" w:hAnsi="Times New Roman" w:cs="Times New Roman"/>
              <w:b/>
              <w:color w:val="000000" w:themeColor="text1"/>
              <w:sz w:val="22"/>
              <w:szCs w:val="22"/>
              <w:lang w:val="bg-BG"/>
            </w:rPr>
            <w:t>Съдържание</w:t>
          </w:r>
        </w:p>
        <w:p w:rsidR="00571E15" w:rsidRPr="00571E15" w:rsidRDefault="00E518B3">
          <w:pPr>
            <w:pStyle w:val="TOC1"/>
            <w:tabs>
              <w:tab w:val="left" w:pos="400"/>
              <w:tab w:val="right" w:leader="dot" w:pos="9487"/>
            </w:tabs>
            <w:rPr>
              <w:rFonts w:ascii="Times New Roman" w:eastAsiaTheme="minorEastAsia" w:hAnsi="Times New Roman"/>
              <w:noProof/>
              <w:sz w:val="22"/>
              <w:szCs w:val="22"/>
              <w:lang w:val="en-US" w:eastAsia="en-US"/>
            </w:rPr>
          </w:pPr>
          <w:r w:rsidRPr="00571E15">
            <w:rPr>
              <w:rFonts w:ascii="Times New Roman" w:hAnsi="Times New Roman"/>
              <w:bCs/>
              <w:noProof/>
              <w:color w:val="000000" w:themeColor="text1"/>
              <w:sz w:val="22"/>
              <w:szCs w:val="22"/>
            </w:rPr>
            <w:fldChar w:fldCharType="begin"/>
          </w:r>
          <w:r w:rsidRPr="00571E15">
            <w:rPr>
              <w:rFonts w:ascii="Times New Roman" w:hAnsi="Times New Roman"/>
              <w:bCs/>
              <w:noProof/>
              <w:color w:val="000000" w:themeColor="text1"/>
              <w:sz w:val="22"/>
              <w:szCs w:val="22"/>
            </w:rPr>
            <w:instrText xml:space="preserve"> TOC \o "1-3" \h \z \u </w:instrText>
          </w:r>
          <w:r w:rsidRPr="00571E15">
            <w:rPr>
              <w:rFonts w:ascii="Times New Roman" w:hAnsi="Times New Roman"/>
              <w:bCs/>
              <w:noProof/>
              <w:color w:val="000000" w:themeColor="text1"/>
              <w:sz w:val="22"/>
              <w:szCs w:val="22"/>
            </w:rPr>
            <w:fldChar w:fldCharType="separate"/>
          </w:r>
          <w:hyperlink w:anchor="_Toc79417748" w:history="1">
            <w:r w:rsidR="00571E15" w:rsidRPr="00571E15">
              <w:rPr>
                <w:rStyle w:val="Hyperlink"/>
                <w:rFonts w:ascii="Times New Roman" w:eastAsia="Calibri" w:hAnsi="Times New Roman"/>
                <w:noProof/>
                <w:sz w:val="22"/>
                <w:szCs w:val="22"/>
                <w:lang w:eastAsia="en-US"/>
              </w:rPr>
              <w:t>I.</w:t>
            </w:r>
            <w:r w:rsidR="00571E15" w:rsidRPr="00571E15">
              <w:rPr>
                <w:rFonts w:ascii="Times New Roman" w:eastAsiaTheme="minorEastAsia" w:hAnsi="Times New Roman"/>
                <w:noProof/>
                <w:sz w:val="22"/>
                <w:szCs w:val="22"/>
                <w:lang w:val="en-US" w:eastAsia="en-US"/>
              </w:rPr>
              <w:tab/>
            </w:r>
            <w:r w:rsidR="00571E15" w:rsidRPr="00571E15">
              <w:rPr>
                <w:rStyle w:val="Hyperlink"/>
                <w:rFonts w:ascii="Times New Roman" w:eastAsia="Calibri" w:hAnsi="Times New Roman"/>
                <w:noProof/>
                <w:sz w:val="22"/>
                <w:szCs w:val="22"/>
                <w:lang w:eastAsia="en-US"/>
              </w:rPr>
              <w:t>ВЪВЕДЕНИЕ</w:t>
            </w:r>
            <w:r w:rsidR="00571E15" w:rsidRPr="00571E15">
              <w:rPr>
                <w:rFonts w:ascii="Times New Roman" w:hAnsi="Times New Roman"/>
                <w:noProof/>
                <w:webHidden/>
                <w:sz w:val="22"/>
                <w:szCs w:val="22"/>
              </w:rPr>
              <w:tab/>
            </w:r>
            <w:r w:rsidR="00571E15" w:rsidRPr="00571E15">
              <w:rPr>
                <w:rFonts w:ascii="Times New Roman" w:hAnsi="Times New Roman"/>
                <w:noProof/>
                <w:webHidden/>
                <w:sz w:val="22"/>
                <w:szCs w:val="22"/>
              </w:rPr>
              <w:fldChar w:fldCharType="begin"/>
            </w:r>
            <w:r w:rsidR="00571E15" w:rsidRPr="00571E15">
              <w:rPr>
                <w:rFonts w:ascii="Times New Roman" w:hAnsi="Times New Roman"/>
                <w:noProof/>
                <w:webHidden/>
                <w:sz w:val="22"/>
                <w:szCs w:val="22"/>
              </w:rPr>
              <w:instrText xml:space="preserve"> PAGEREF _Toc79417748 \h </w:instrText>
            </w:r>
            <w:r w:rsidR="00571E15" w:rsidRPr="00571E15">
              <w:rPr>
                <w:rFonts w:ascii="Times New Roman" w:hAnsi="Times New Roman"/>
                <w:noProof/>
                <w:webHidden/>
                <w:sz w:val="22"/>
                <w:szCs w:val="22"/>
              </w:rPr>
            </w:r>
            <w:r w:rsidR="00571E15" w:rsidRPr="00571E15">
              <w:rPr>
                <w:rFonts w:ascii="Times New Roman" w:hAnsi="Times New Roman"/>
                <w:noProof/>
                <w:webHidden/>
                <w:sz w:val="22"/>
                <w:szCs w:val="22"/>
              </w:rPr>
              <w:fldChar w:fldCharType="separate"/>
            </w:r>
            <w:r w:rsidR="00571E15" w:rsidRPr="00571E15">
              <w:rPr>
                <w:rFonts w:ascii="Times New Roman" w:hAnsi="Times New Roman"/>
                <w:noProof/>
                <w:webHidden/>
                <w:sz w:val="22"/>
                <w:szCs w:val="22"/>
              </w:rPr>
              <w:t>3</w:t>
            </w:r>
            <w:r w:rsidR="00571E15" w:rsidRPr="00571E15">
              <w:rPr>
                <w:rFonts w:ascii="Times New Roman" w:hAnsi="Times New Roman"/>
                <w:noProof/>
                <w:webHidden/>
                <w:sz w:val="22"/>
                <w:szCs w:val="22"/>
              </w:rPr>
              <w:fldChar w:fldCharType="end"/>
            </w:r>
          </w:hyperlink>
        </w:p>
        <w:p w:rsidR="00571E15" w:rsidRPr="00571E15" w:rsidRDefault="00571E15">
          <w:pPr>
            <w:pStyle w:val="TOC1"/>
            <w:tabs>
              <w:tab w:val="left" w:pos="400"/>
              <w:tab w:val="right" w:leader="dot" w:pos="9487"/>
            </w:tabs>
            <w:rPr>
              <w:rFonts w:ascii="Times New Roman" w:eastAsiaTheme="minorEastAsia" w:hAnsi="Times New Roman"/>
              <w:noProof/>
              <w:sz w:val="22"/>
              <w:szCs w:val="22"/>
              <w:lang w:val="en-US" w:eastAsia="en-US"/>
            </w:rPr>
          </w:pPr>
          <w:hyperlink w:anchor="_Toc79417749" w:history="1">
            <w:r w:rsidRPr="00571E15">
              <w:rPr>
                <w:rStyle w:val="Hyperlink"/>
                <w:rFonts w:ascii="Times New Roman" w:eastAsia="Calibri" w:hAnsi="Times New Roman"/>
                <w:noProof/>
                <w:sz w:val="22"/>
                <w:szCs w:val="22"/>
                <w:lang w:eastAsia="en-US"/>
              </w:rPr>
              <w:t>II.</w:t>
            </w:r>
            <w:r w:rsidRPr="00571E15">
              <w:rPr>
                <w:rFonts w:ascii="Times New Roman" w:eastAsiaTheme="minorEastAsia" w:hAnsi="Times New Roman"/>
                <w:noProof/>
                <w:sz w:val="22"/>
                <w:szCs w:val="22"/>
                <w:lang w:val="en-US" w:eastAsia="en-US"/>
              </w:rPr>
              <w:tab/>
            </w:r>
            <w:r w:rsidRPr="00571E15">
              <w:rPr>
                <w:rStyle w:val="Hyperlink"/>
                <w:rFonts w:ascii="Times New Roman" w:eastAsia="Calibri" w:hAnsi="Times New Roman"/>
                <w:noProof/>
                <w:sz w:val="22"/>
                <w:szCs w:val="22"/>
                <w:lang w:eastAsia="en-US"/>
              </w:rPr>
              <w:t>АКТУАЛНА НОРМАТИВНА БАЗА</w:t>
            </w:r>
            <w:r w:rsidRPr="00571E15">
              <w:rPr>
                <w:rFonts w:ascii="Times New Roman" w:hAnsi="Times New Roman"/>
                <w:noProof/>
                <w:webHidden/>
                <w:sz w:val="22"/>
                <w:szCs w:val="22"/>
              </w:rPr>
              <w:tab/>
            </w:r>
            <w:r w:rsidRPr="00571E15">
              <w:rPr>
                <w:rFonts w:ascii="Times New Roman" w:hAnsi="Times New Roman"/>
                <w:noProof/>
                <w:webHidden/>
                <w:sz w:val="22"/>
                <w:szCs w:val="22"/>
              </w:rPr>
              <w:fldChar w:fldCharType="begin"/>
            </w:r>
            <w:r w:rsidRPr="00571E15">
              <w:rPr>
                <w:rFonts w:ascii="Times New Roman" w:hAnsi="Times New Roman"/>
                <w:noProof/>
                <w:webHidden/>
                <w:sz w:val="22"/>
                <w:szCs w:val="22"/>
              </w:rPr>
              <w:instrText xml:space="preserve"> PAGEREF _Toc79417749 \h </w:instrText>
            </w:r>
            <w:r w:rsidRPr="00571E15">
              <w:rPr>
                <w:rFonts w:ascii="Times New Roman" w:hAnsi="Times New Roman"/>
                <w:noProof/>
                <w:webHidden/>
                <w:sz w:val="22"/>
                <w:szCs w:val="22"/>
              </w:rPr>
            </w:r>
            <w:r w:rsidRPr="00571E15">
              <w:rPr>
                <w:rFonts w:ascii="Times New Roman" w:hAnsi="Times New Roman"/>
                <w:noProof/>
                <w:webHidden/>
                <w:sz w:val="22"/>
                <w:szCs w:val="22"/>
              </w:rPr>
              <w:fldChar w:fldCharType="separate"/>
            </w:r>
            <w:r w:rsidRPr="00571E15">
              <w:rPr>
                <w:rFonts w:ascii="Times New Roman" w:hAnsi="Times New Roman"/>
                <w:noProof/>
                <w:webHidden/>
                <w:sz w:val="22"/>
                <w:szCs w:val="22"/>
              </w:rPr>
              <w:t>3</w:t>
            </w:r>
            <w:r w:rsidRPr="00571E15">
              <w:rPr>
                <w:rFonts w:ascii="Times New Roman" w:hAnsi="Times New Roman"/>
                <w:noProof/>
                <w:webHidden/>
                <w:sz w:val="22"/>
                <w:szCs w:val="22"/>
              </w:rPr>
              <w:fldChar w:fldCharType="end"/>
            </w:r>
          </w:hyperlink>
        </w:p>
        <w:p w:rsidR="00571E15" w:rsidRPr="00571E15" w:rsidRDefault="00571E15">
          <w:pPr>
            <w:pStyle w:val="TOC1"/>
            <w:tabs>
              <w:tab w:val="left" w:pos="660"/>
              <w:tab w:val="right" w:leader="dot" w:pos="9487"/>
            </w:tabs>
            <w:rPr>
              <w:rFonts w:ascii="Times New Roman" w:eastAsiaTheme="minorEastAsia" w:hAnsi="Times New Roman"/>
              <w:noProof/>
              <w:sz w:val="22"/>
              <w:szCs w:val="22"/>
              <w:lang w:val="en-US" w:eastAsia="en-US"/>
            </w:rPr>
          </w:pPr>
          <w:hyperlink w:anchor="_Toc79417750" w:history="1">
            <w:r w:rsidRPr="00571E15">
              <w:rPr>
                <w:rStyle w:val="Hyperlink"/>
                <w:rFonts w:ascii="Times New Roman" w:eastAsia="Calibri" w:hAnsi="Times New Roman"/>
                <w:noProof/>
                <w:sz w:val="22"/>
                <w:szCs w:val="22"/>
                <w:lang w:eastAsia="en-US"/>
              </w:rPr>
              <w:t>III.</w:t>
            </w:r>
            <w:r w:rsidRPr="00571E15">
              <w:rPr>
                <w:rFonts w:ascii="Times New Roman" w:eastAsiaTheme="minorEastAsia" w:hAnsi="Times New Roman"/>
                <w:noProof/>
                <w:sz w:val="22"/>
                <w:szCs w:val="22"/>
                <w:lang w:val="en-US" w:eastAsia="en-US"/>
              </w:rPr>
              <w:tab/>
            </w:r>
            <w:r w:rsidRPr="00571E15">
              <w:rPr>
                <w:rStyle w:val="Hyperlink"/>
                <w:rFonts w:ascii="Times New Roman" w:eastAsia="Calibri" w:hAnsi="Times New Roman"/>
                <w:noProof/>
                <w:sz w:val="22"/>
                <w:szCs w:val="22"/>
                <w:lang w:eastAsia="en-US"/>
              </w:rPr>
              <w:t>СИСТЕМА НА ФИНАНСИРАНЕТО НА ОБРАЗОВАНИЕТО В БЪЛГАРИЯ</w:t>
            </w:r>
            <w:r w:rsidRPr="00571E15">
              <w:rPr>
                <w:rFonts w:ascii="Times New Roman" w:hAnsi="Times New Roman"/>
                <w:noProof/>
                <w:webHidden/>
                <w:sz w:val="22"/>
                <w:szCs w:val="22"/>
              </w:rPr>
              <w:tab/>
            </w:r>
            <w:r w:rsidRPr="00571E15">
              <w:rPr>
                <w:rFonts w:ascii="Times New Roman" w:hAnsi="Times New Roman"/>
                <w:noProof/>
                <w:webHidden/>
                <w:sz w:val="22"/>
                <w:szCs w:val="22"/>
              </w:rPr>
              <w:fldChar w:fldCharType="begin"/>
            </w:r>
            <w:r w:rsidRPr="00571E15">
              <w:rPr>
                <w:rFonts w:ascii="Times New Roman" w:hAnsi="Times New Roman"/>
                <w:noProof/>
                <w:webHidden/>
                <w:sz w:val="22"/>
                <w:szCs w:val="22"/>
              </w:rPr>
              <w:instrText xml:space="preserve"> PAGEREF _Toc79417750 \h </w:instrText>
            </w:r>
            <w:r w:rsidRPr="00571E15">
              <w:rPr>
                <w:rFonts w:ascii="Times New Roman" w:hAnsi="Times New Roman"/>
                <w:noProof/>
                <w:webHidden/>
                <w:sz w:val="22"/>
                <w:szCs w:val="22"/>
              </w:rPr>
            </w:r>
            <w:r w:rsidRPr="00571E15">
              <w:rPr>
                <w:rFonts w:ascii="Times New Roman" w:hAnsi="Times New Roman"/>
                <w:noProof/>
                <w:webHidden/>
                <w:sz w:val="22"/>
                <w:szCs w:val="22"/>
              </w:rPr>
              <w:fldChar w:fldCharType="separate"/>
            </w:r>
            <w:r w:rsidRPr="00571E15">
              <w:rPr>
                <w:rFonts w:ascii="Times New Roman" w:hAnsi="Times New Roman"/>
                <w:noProof/>
                <w:webHidden/>
                <w:sz w:val="22"/>
                <w:szCs w:val="22"/>
              </w:rPr>
              <w:t>4</w:t>
            </w:r>
            <w:r w:rsidRPr="00571E15">
              <w:rPr>
                <w:rFonts w:ascii="Times New Roman" w:hAnsi="Times New Roman"/>
                <w:noProof/>
                <w:webHidden/>
                <w:sz w:val="22"/>
                <w:szCs w:val="22"/>
              </w:rPr>
              <w:fldChar w:fldCharType="end"/>
            </w:r>
          </w:hyperlink>
        </w:p>
        <w:p w:rsidR="00571E15" w:rsidRPr="00571E15" w:rsidRDefault="00571E15">
          <w:pPr>
            <w:pStyle w:val="TOC1"/>
            <w:tabs>
              <w:tab w:val="left" w:pos="660"/>
              <w:tab w:val="right" w:leader="dot" w:pos="9487"/>
            </w:tabs>
            <w:rPr>
              <w:rFonts w:ascii="Times New Roman" w:eastAsiaTheme="minorEastAsia" w:hAnsi="Times New Roman"/>
              <w:noProof/>
              <w:sz w:val="22"/>
              <w:szCs w:val="22"/>
              <w:lang w:val="en-US" w:eastAsia="en-US"/>
            </w:rPr>
          </w:pPr>
          <w:hyperlink w:anchor="_Toc79417751" w:history="1">
            <w:r w:rsidRPr="00571E15">
              <w:rPr>
                <w:rStyle w:val="Hyperlink"/>
                <w:rFonts w:ascii="Times New Roman" w:eastAsia="Calibri" w:hAnsi="Times New Roman"/>
                <w:noProof/>
                <w:sz w:val="22"/>
                <w:szCs w:val="22"/>
                <w:lang w:eastAsia="en-US"/>
              </w:rPr>
              <w:t>IV.</w:t>
            </w:r>
            <w:r w:rsidRPr="00571E15">
              <w:rPr>
                <w:rFonts w:ascii="Times New Roman" w:eastAsiaTheme="minorEastAsia" w:hAnsi="Times New Roman"/>
                <w:noProof/>
                <w:sz w:val="22"/>
                <w:szCs w:val="22"/>
                <w:lang w:val="en-US" w:eastAsia="en-US"/>
              </w:rPr>
              <w:tab/>
            </w:r>
            <w:r w:rsidRPr="00571E15">
              <w:rPr>
                <w:rStyle w:val="Hyperlink"/>
                <w:rFonts w:ascii="Times New Roman" w:eastAsia="Calibri" w:hAnsi="Times New Roman"/>
                <w:noProof/>
                <w:sz w:val="22"/>
                <w:szCs w:val="22"/>
                <w:lang w:eastAsia="en-US"/>
              </w:rPr>
              <w:t>РАЗПРЕДЕЛИТЕЛНИ МЕХАНИЗМИ НА НАЦИОНАЛНО И МЕСТНО НИВО</w:t>
            </w:r>
            <w:r w:rsidRPr="00571E15">
              <w:rPr>
                <w:rFonts w:ascii="Times New Roman" w:hAnsi="Times New Roman"/>
                <w:noProof/>
                <w:webHidden/>
                <w:sz w:val="22"/>
                <w:szCs w:val="22"/>
              </w:rPr>
              <w:tab/>
            </w:r>
            <w:r w:rsidRPr="00571E15">
              <w:rPr>
                <w:rFonts w:ascii="Times New Roman" w:hAnsi="Times New Roman"/>
                <w:noProof/>
                <w:webHidden/>
                <w:sz w:val="22"/>
                <w:szCs w:val="22"/>
              </w:rPr>
              <w:fldChar w:fldCharType="begin"/>
            </w:r>
            <w:r w:rsidRPr="00571E15">
              <w:rPr>
                <w:rFonts w:ascii="Times New Roman" w:hAnsi="Times New Roman"/>
                <w:noProof/>
                <w:webHidden/>
                <w:sz w:val="22"/>
                <w:szCs w:val="22"/>
              </w:rPr>
              <w:instrText xml:space="preserve"> PAGEREF _Toc79417751 \h </w:instrText>
            </w:r>
            <w:r w:rsidRPr="00571E15">
              <w:rPr>
                <w:rFonts w:ascii="Times New Roman" w:hAnsi="Times New Roman"/>
                <w:noProof/>
                <w:webHidden/>
                <w:sz w:val="22"/>
                <w:szCs w:val="22"/>
              </w:rPr>
            </w:r>
            <w:r w:rsidRPr="00571E15">
              <w:rPr>
                <w:rFonts w:ascii="Times New Roman" w:hAnsi="Times New Roman"/>
                <w:noProof/>
                <w:webHidden/>
                <w:sz w:val="22"/>
                <w:szCs w:val="22"/>
              </w:rPr>
              <w:fldChar w:fldCharType="separate"/>
            </w:r>
            <w:r w:rsidRPr="00571E15">
              <w:rPr>
                <w:rFonts w:ascii="Times New Roman" w:hAnsi="Times New Roman"/>
                <w:noProof/>
                <w:webHidden/>
                <w:sz w:val="22"/>
                <w:szCs w:val="22"/>
              </w:rPr>
              <w:t>5</w:t>
            </w:r>
            <w:r w:rsidRPr="00571E15">
              <w:rPr>
                <w:rFonts w:ascii="Times New Roman" w:hAnsi="Times New Roman"/>
                <w:noProof/>
                <w:webHidden/>
                <w:sz w:val="22"/>
                <w:szCs w:val="22"/>
              </w:rPr>
              <w:fldChar w:fldCharType="end"/>
            </w:r>
          </w:hyperlink>
        </w:p>
        <w:p w:rsidR="00571E15" w:rsidRPr="00571E15" w:rsidRDefault="00571E15">
          <w:pPr>
            <w:pStyle w:val="TOC1"/>
            <w:tabs>
              <w:tab w:val="left" w:pos="400"/>
              <w:tab w:val="right" w:leader="dot" w:pos="9487"/>
            </w:tabs>
            <w:rPr>
              <w:rFonts w:ascii="Times New Roman" w:eastAsiaTheme="minorEastAsia" w:hAnsi="Times New Roman"/>
              <w:noProof/>
              <w:sz w:val="22"/>
              <w:szCs w:val="22"/>
              <w:lang w:val="en-US" w:eastAsia="en-US"/>
            </w:rPr>
          </w:pPr>
          <w:hyperlink w:anchor="_Toc79417752" w:history="1">
            <w:r w:rsidRPr="00571E15">
              <w:rPr>
                <w:rStyle w:val="Hyperlink"/>
                <w:rFonts w:ascii="Times New Roman" w:eastAsia="Calibri" w:hAnsi="Times New Roman"/>
                <w:noProof/>
                <w:sz w:val="22"/>
                <w:szCs w:val="22"/>
                <w:lang w:eastAsia="en-US"/>
              </w:rPr>
              <w:t>V.</w:t>
            </w:r>
            <w:r w:rsidRPr="00571E15">
              <w:rPr>
                <w:rFonts w:ascii="Times New Roman" w:eastAsiaTheme="minorEastAsia" w:hAnsi="Times New Roman"/>
                <w:noProof/>
                <w:sz w:val="22"/>
                <w:szCs w:val="22"/>
                <w:lang w:val="en-US" w:eastAsia="en-US"/>
              </w:rPr>
              <w:tab/>
            </w:r>
            <w:r w:rsidRPr="00571E15">
              <w:rPr>
                <w:rStyle w:val="Hyperlink"/>
                <w:rFonts w:ascii="Times New Roman" w:eastAsia="Calibri" w:hAnsi="Times New Roman"/>
                <w:noProof/>
                <w:sz w:val="22"/>
                <w:szCs w:val="22"/>
                <w:lang w:eastAsia="en-US"/>
              </w:rPr>
              <w:t>СЪЩНОСТ И КОМПОНЕНТИ НА ДЕЛЕГИРАНИЯ БЮДЖЕТ. СТРАНИ В БЮДЖЕТНИЯ ПРОЦЕС</w:t>
            </w:r>
            <w:r w:rsidRPr="00571E15">
              <w:rPr>
                <w:rFonts w:ascii="Times New Roman" w:hAnsi="Times New Roman"/>
                <w:noProof/>
                <w:webHidden/>
                <w:sz w:val="22"/>
                <w:szCs w:val="22"/>
              </w:rPr>
              <w:tab/>
            </w:r>
            <w:r w:rsidRPr="00571E15">
              <w:rPr>
                <w:rFonts w:ascii="Times New Roman" w:hAnsi="Times New Roman"/>
                <w:noProof/>
                <w:webHidden/>
                <w:sz w:val="22"/>
                <w:szCs w:val="22"/>
              </w:rPr>
              <w:fldChar w:fldCharType="begin"/>
            </w:r>
            <w:r w:rsidRPr="00571E15">
              <w:rPr>
                <w:rFonts w:ascii="Times New Roman" w:hAnsi="Times New Roman"/>
                <w:noProof/>
                <w:webHidden/>
                <w:sz w:val="22"/>
                <w:szCs w:val="22"/>
              </w:rPr>
              <w:instrText xml:space="preserve"> PAGEREF _Toc79417752 \h </w:instrText>
            </w:r>
            <w:r w:rsidRPr="00571E15">
              <w:rPr>
                <w:rFonts w:ascii="Times New Roman" w:hAnsi="Times New Roman"/>
                <w:noProof/>
                <w:webHidden/>
                <w:sz w:val="22"/>
                <w:szCs w:val="22"/>
              </w:rPr>
            </w:r>
            <w:r w:rsidRPr="00571E15">
              <w:rPr>
                <w:rFonts w:ascii="Times New Roman" w:hAnsi="Times New Roman"/>
                <w:noProof/>
                <w:webHidden/>
                <w:sz w:val="22"/>
                <w:szCs w:val="22"/>
              </w:rPr>
              <w:fldChar w:fldCharType="separate"/>
            </w:r>
            <w:r w:rsidRPr="00571E15">
              <w:rPr>
                <w:rFonts w:ascii="Times New Roman" w:hAnsi="Times New Roman"/>
                <w:noProof/>
                <w:webHidden/>
                <w:sz w:val="22"/>
                <w:szCs w:val="22"/>
              </w:rPr>
              <w:t>10</w:t>
            </w:r>
            <w:r w:rsidRPr="00571E15">
              <w:rPr>
                <w:rFonts w:ascii="Times New Roman" w:hAnsi="Times New Roman"/>
                <w:noProof/>
                <w:webHidden/>
                <w:sz w:val="22"/>
                <w:szCs w:val="22"/>
              </w:rPr>
              <w:fldChar w:fldCharType="end"/>
            </w:r>
          </w:hyperlink>
        </w:p>
        <w:p w:rsidR="00571E15" w:rsidRPr="00571E15" w:rsidRDefault="00571E15">
          <w:pPr>
            <w:pStyle w:val="TOC1"/>
            <w:tabs>
              <w:tab w:val="left" w:pos="660"/>
              <w:tab w:val="right" w:leader="dot" w:pos="9487"/>
            </w:tabs>
            <w:rPr>
              <w:rFonts w:ascii="Times New Roman" w:eastAsiaTheme="minorEastAsia" w:hAnsi="Times New Roman"/>
              <w:noProof/>
              <w:sz w:val="22"/>
              <w:szCs w:val="22"/>
              <w:lang w:val="en-US" w:eastAsia="en-US"/>
            </w:rPr>
          </w:pPr>
          <w:hyperlink w:anchor="_Toc79417753" w:history="1">
            <w:r w:rsidRPr="00571E15">
              <w:rPr>
                <w:rStyle w:val="Hyperlink"/>
                <w:rFonts w:ascii="Times New Roman" w:eastAsia="Calibri" w:hAnsi="Times New Roman"/>
                <w:noProof/>
                <w:sz w:val="22"/>
                <w:szCs w:val="22"/>
                <w:lang w:eastAsia="en-US"/>
              </w:rPr>
              <w:t>VI.</w:t>
            </w:r>
            <w:r w:rsidRPr="00571E15">
              <w:rPr>
                <w:rFonts w:ascii="Times New Roman" w:eastAsiaTheme="minorEastAsia" w:hAnsi="Times New Roman"/>
                <w:noProof/>
                <w:sz w:val="22"/>
                <w:szCs w:val="22"/>
                <w:lang w:val="en-US" w:eastAsia="en-US"/>
              </w:rPr>
              <w:tab/>
            </w:r>
            <w:r w:rsidRPr="00571E15">
              <w:rPr>
                <w:rStyle w:val="Hyperlink"/>
                <w:rFonts w:ascii="Times New Roman" w:eastAsia="Calibri" w:hAnsi="Times New Roman"/>
                <w:noProof/>
                <w:sz w:val="22"/>
                <w:szCs w:val="22"/>
                <w:lang w:eastAsia="en-US"/>
              </w:rPr>
              <w:t>ДОПЪЛНИТЕЛНИ ЦЕЛЕВИ СРЕДСТВА</w:t>
            </w:r>
            <w:r w:rsidRPr="00571E15">
              <w:rPr>
                <w:rFonts w:ascii="Times New Roman" w:hAnsi="Times New Roman"/>
                <w:noProof/>
                <w:webHidden/>
                <w:sz w:val="22"/>
                <w:szCs w:val="22"/>
              </w:rPr>
              <w:tab/>
            </w:r>
            <w:r w:rsidRPr="00571E15">
              <w:rPr>
                <w:rFonts w:ascii="Times New Roman" w:hAnsi="Times New Roman"/>
                <w:noProof/>
                <w:webHidden/>
                <w:sz w:val="22"/>
                <w:szCs w:val="22"/>
              </w:rPr>
              <w:fldChar w:fldCharType="begin"/>
            </w:r>
            <w:r w:rsidRPr="00571E15">
              <w:rPr>
                <w:rFonts w:ascii="Times New Roman" w:hAnsi="Times New Roman"/>
                <w:noProof/>
                <w:webHidden/>
                <w:sz w:val="22"/>
                <w:szCs w:val="22"/>
              </w:rPr>
              <w:instrText xml:space="preserve"> PAGEREF _Toc79417753 \h </w:instrText>
            </w:r>
            <w:r w:rsidRPr="00571E15">
              <w:rPr>
                <w:rFonts w:ascii="Times New Roman" w:hAnsi="Times New Roman"/>
                <w:noProof/>
                <w:webHidden/>
                <w:sz w:val="22"/>
                <w:szCs w:val="22"/>
              </w:rPr>
            </w:r>
            <w:r w:rsidRPr="00571E15">
              <w:rPr>
                <w:rFonts w:ascii="Times New Roman" w:hAnsi="Times New Roman"/>
                <w:noProof/>
                <w:webHidden/>
                <w:sz w:val="22"/>
                <w:szCs w:val="22"/>
              </w:rPr>
              <w:fldChar w:fldCharType="separate"/>
            </w:r>
            <w:r w:rsidRPr="00571E15">
              <w:rPr>
                <w:rFonts w:ascii="Times New Roman" w:hAnsi="Times New Roman"/>
                <w:noProof/>
                <w:webHidden/>
                <w:sz w:val="22"/>
                <w:szCs w:val="22"/>
              </w:rPr>
              <w:t>11</w:t>
            </w:r>
            <w:r w:rsidRPr="00571E15">
              <w:rPr>
                <w:rFonts w:ascii="Times New Roman" w:hAnsi="Times New Roman"/>
                <w:noProof/>
                <w:webHidden/>
                <w:sz w:val="22"/>
                <w:szCs w:val="22"/>
              </w:rPr>
              <w:fldChar w:fldCharType="end"/>
            </w:r>
          </w:hyperlink>
        </w:p>
        <w:p w:rsidR="00571E15" w:rsidRPr="00571E15" w:rsidRDefault="00571E15">
          <w:pPr>
            <w:pStyle w:val="TOC1"/>
            <w:tabs>
              <w:tab w:val="left" w:pos="660"/>
              <w:tab w:val="right" w:leader="dot" w:pos="9487"/>
            </w:tabs>
            <w:rPr>
              <w:rFonts w:ascii="Times New Roman" w:eastAsiaTheme="minorEastAsia" w:hAnsi="Times New Roman"/>
              <w:noProof/>
              <w:sz w:val="22"/>
              <w:szCs w:val="22"/>
              <w:lang w:val="en-US" w:eastAsia="en-US"/>
            </w:rPr>
          </w:pPr>
          <w:hyperlink w:anchor="_Toc79417754" w:history="1">
            <w:r w:rsidRPr="00571E15">
              <w:rPr>
                <w:rStyle w:val="Hyperlink"/>
                <w:rFonts w:ascii="Times New Roman" w:eastAsia="Calibri" w:hAnsi="Times New Roman"/>
                <w:noProof/>
                <w:sz w:val="22"/>
                <w:szCs w:val="22"/>
                <w:lang w:eastAsia="en-US"/>
              </w:rPr>
              <w:t>VII.</w:t>
            </w:r>
            <w:r w:rsidRPr="00571E15">
              <w:rPr>
                <w:rFonts w:ascii="Times New Roman" w:eastAsiaTheme="minorEastAsia" w:hAnsi="Times New Roman"/>
                <w:noProof/>
                <w:sz w:val="22"/>
                <w:szCs w:val="22"/>
                <w:lang w:val="en-US" w:eastAsia="en-US"/>
              </w:rPr>
              <w:tab/>
            </w:r>
            <w:r w:rsidRPr="00571E15">
              <w:rPr>
                <w:rStyle w:val="Hyperlink"/>
                <w:rFonts w:ascii="Times New Roman" w:eastAsia="Calibri" w:hAnsi="Times New Roman"/>
                <w:noProof/>
                <w:sz w:val="22"/>
                <w:szCs w:val="22"/>
                <w:lang w:eastAsia="en-US"/>
              </w:rPr>
              <w:t>СТРАНИ В БЮДЖЕТНИЯ ПРОЦЕС. РОЛЯ НА ПРБ И ВРБ ПРИ УПРАВЛЕНИЕТО  НА ДЕЛЕГИРАН  БЮДЖЕТ</w:t>
            </w:r>
            <w:r w:rsidRPr="00571E15">
              <w:rPr>
                <w:rFonts w:ascii="Times New Roman" w:hAnsi="Times New Roman"/>
                <w:noProof/>
                <w:webHidden/>
                <w:sz w:val="22"/>
                <w:szCs w:val="22"/>
              </w:rPr>
              <w:tab/>
            </w:r>
            <w:r w:rsidRPr="00571E15">
              <w:rPr>
                <w:rFonts w:ascii="Times New Roman" w:hAnsi="Times New Roman"/>
                <w:noProof/>
                <w:webHidden/>
                <w:sz w:val="22"/>
                <w:szCs w:val="22"/>
              </w:rPr>
              <w:fldChar w:fldCharType="begin"/>
            </w:r>
            <w:r w:rsidRPr="00571E15">
              <w:rPr>
                <w:rFonts w:ascii="Times New Roman" w:hAnsi="Times New Roman"/>
                <w:noProof/>
                <w:webHidden/>
                <w:sz w:val="22"/>
                <w:szCs w:val="22"/>
              </w:rPr>
              <w:instrText xml:space="preserve"> PAGEREF _Toc79417754 \h </w:instrText>
            </w:r>
            <w:r w:rsidRPr="00571E15">
              <w:rPr>
                <w:rFonts w:ascii="Times New Roman" w:hAnsi="Times New Roman"/>
                <w:noProof/>
                <w:webHidden/>
                <w:sz w:val="22"/>
                <w:szCs w:val="22"/>
              </w:rPr>
            </w:r>
            <w:r w:rsidRPr="00571E15">
              <w:rPr>
                <w:rFonts w:ascii="Times New Roman" w:hAnsi="Times New Roman"/>
                <w:noProof/>
                <w:webHidden/>
                <w:sz w:val="22"/>
                <w:szCs w:val="22"/>
              </w:rPr>
              <w:fldChar w:fldCharType="separate"/>
            </w:r>
            <w:r w:rsidRPr="00571E15">
              <w:rPr>
                <w:rFonts w:ascii="Times New Roman" w:hAnsi="Times New Roman"/>
                <w:noProof/>
                <w:webHidden/>
                <w:sz w:val="22"/>
                <w:szCs w:val="22"/>
              </w:rPr>
              <w:t>12</w:t>
            </w:r>
            <w:r w:rsidRPr="00571E15">
              <w:rPr>
                <w:rFonts w:ascii="Times New Roman" w:hAnsi="Times New Roman"/>
                <w:noProof/>
                <w:webHidden/>
                <w:sz w:val="22"/>
                <w:szCs w:val="22"/>
              </w:rPr>
              <w:fldChar w:fldCharType="end"/>
            </w:r>
          </w:hyperlink>
        </w:p>
        <w:p w:rsidR="00571E15" w:rsidRPr="00571E15" w:rsidRDefault="00571E15">
          <w:pPr>
            <w:pStyle w:val="TOC1"/>
            <w:tabs>
              <w:tab w:val="left" w:pos="660"/>
              <w:tab w:val="right" w:leader="dot" w:pos="9487"/>
            </w:tabs>
            <w:rPr>
              <w:rFonts w:ascii="Times New Roman" w:eastAsiaTheme="minorEastAsia" w:hAnsi="Times New Roman"/>
              <w:noProof/>
              <w:sz w:val="22"/>
              <w:szCs w:val="22"/>
              <w:lang w:val="en-US" w:eastAsia="en-US"/>
            </w:rPr>
          </w:pPr>
          <w:hyperlink w:anchor="_Toc79417755" w:history="1">
            <w:r w:rsidRPr="00571E15">
              <w:rPr>
                <w:rStyle w:val="Hyperlink"/>
                <w:rFonts w:ascii="Times New Roman" w:eastAsia="Calibri" w:hAnsi="Times New Roman"/>
                <w:noProof/>
                <w:sz w:val="22"/>
                <w:szCs w:val="22"/>
                <w:lang w:eastAsia="en-US"/>
              </w:rPr>
              <w:t>VIII.</w:t>
            </w:r>
            <w:r w:rsidRPr="00571E15">
              <w:rPr>
                <w:rFonts w:ascii="Times New Roman" w:eastAsiaTheme="minorEastAsia" w:hAnsi="Times New Roman"/>
                <w:noProof/>
                <w:sz w:val="22"/>
                <w:szCs w:val="22"/>
                <w:lang w:val="en-US" w:eastAsia="en-US"/>
              </w:rPr>
              <w:tab/>
            </w:r>
            <w:r w:rsidRPr="00571E15">
              <w:rPr>
                <w:rStyle w:val="Hyperlink"/>
                <w:rFonts w:ascii="Times New Roman" w:eastAsia="Calibri" w:hAnsi="Times New Roman"/>
                <w:noProof/>
                <w:sz w:val="22"/>
                <w:szCs w:val="22"/>
                <w:lang w:eastAsia="en-US"/>
              </w:rPr>
              <w:t>ОРГАНИЗАЦИЯ НА ОТЧЕТНОСТТА И КОНТРОЛА ПРИ ФИНАНСОВОТО УПРАВЛЕНИЕ</w:t>
            </w:r>
            <w:r w:rsidRPr="00571E15">
              <w:rPr>
                <w:rFonts w:ascii="Times New Roman" w:hAnsi="Times New Roman"/>
                <w:noProof/>
                <w:webHidden/>
                <w:sz w:val="22"/>
                <w:szCs w:val="22"/>
              </w:rPr>
              <w:tab/>
            </w:r>
            <w:r w:rsidRPr="00571E15">
              <w:rPr>
                <w:rFonts w:ascii="Times New Roman" w:hAnsi="Times New Roman"/>
                <w:noProof/>
                <w:webHidden/>
                <w:sz w:val="22"/>
                <w:szCs w:val="22"/>
              </w:rPr>
              <w:fldChar w:fldCharType="begin"/>
            </w:r>
            <w:r w:rsidRPr="00571E15">
              <w:rPr>
                <w:rFonts w:ascii="Times New Roman" w:hAnsi="Times New Roman"/>
                <w:noProof/>
                <w:webHidden/>
                <w:sz w:val="22"/>
                <w:szCs w:val="22"/>
              </w:rPr>
              <w:instrText xml:space="preserve"> PAGEREF _Toc79417755 \h </w:instrText>
            </w:r>
            <w:r w:rsidRPr="00571E15">
              <w:rPr>
                <w:rFonts w:ascii="Times New Roman" w:hAnsi="Times New Roman"/>
                <w:noProof/>
                <w:webHidden/>
                <w:sz w:val="22"/>
                <w:szCs w:val="22"/>
              </w:rPr>
            </w:r>
            <w:r w:rsidRPr="00571E15">
              <w:rPr>
                <w:rFonts w:ascii="Times New Roman" w:hAnsi="Times New Roman"/>
                <w:noProof/>
                <w:webHidden/>
                <w:sz w:val="22"/>
                <w:szCs w:val="22"/>
              </w:rPr>
              <w:fldChar w:fldCharType="separate"/>
            </w:r>
            <w:r w:rsidRPr="00571E15">
              <w:rPr>
                <w:rFonts w:ascii="Times New Roman" w:hAnsi="Times New Roman"/>
                <w:noProof/>
                <w:webHidden/>
                <w:sz w:val="22"/>
                <w:szCs w:val="22"/>
              </w:rPr>
              <w:t>13</w:t>
            </w:r>
            <w:r w:rsidRPr="00571E15">
              <w:rPr>
                <w:rFonts w:ascii="Times New Roman" w:hAnsi="Times New Roman"/>
                <w:noProof/>
                <w:webHidden/>
                <w:sz w:val="22"/>
                <w:szCs w:val="22"/>
              </w:rPr>
              <w:fldChar w:fldCharType="end"/>
            </w:r>
          </w:hyperlink>
        </w:p>
        <w:p w:rsidR="00571E15" w:rsidRPr="00571E15" w:rsidRDefault="00571E15">
          <w:pPr>
            <w:pStyle w:val="TOC1"/>
            <w:tabs>
              <w:tab w:val="left" w:pos="660"/>
              <w:tab w:val="right" w:leader="dot" w:pos="9487"/>
            </w:tabs>
            <w:rPr>
              <w:rFonts w:ascii="Times New Roman" w:eastAsiaTheme="minorEastAsia" w:hAnsi="Times New Roman"/>
              <w:noProof/>
              <w:sz w:val="22"/>
              <w:szCs w:val="22"/>
              <w:lang w:val="en-US" w:eastAsia="en-US"/>
            </w:rPr>
          </w:pPr>
          <w:hyperlink w:anchor="_Toc79417756" w:history="1">
            <w:r w:rsidRPr="00571E15">
              <w:rPr>
                <w:rStyle w:val="Hyperlink"/>
                <w:rFonts w:ascii="Times New Roman" w:eastAsia="Calibri" w:hAnsi="Times New Roman"/>
                <w:noProof/>
                <w:sz w:val="22"/>
                <w:szCs w:val="22"/>
                <w:lang w:eastAsia="en-US"/>
              </w:rPr>
              <w:t>IX.</w:t>
            </w:r>
            <w:r w:rsidRPr="00571E15">
              <w:rPr>
                <w:rFonts w:ascii="Times New Roman" w:eastAsiaTheme="minorEastAsia" w:hAnsi="Times New Roman"/>
                <w:noProof/>
                <w:sz w:val="22"/>
                <w:szCs w:val="22"/>
                <w:lang w:val="en-US" w:eastAsia="en-US"/>
              </w:rPr>
              <w:tab/>
            </w:r>
            <w:r w:rsidRPr="00571E15">
              <w:rPr>
                <w:rStyle w:val="Hyperlink"/>
                <w:rFonts w:ascii="Times New Roman" w:eastAsia="Calibri" w:hAnsi="Times New Roman"/>
                <w:noProof/>
                <w:sz w:val="22"/>
                <w:szCs w:val="22"/>
                <w:lang w:eastAsia="en-US"/>
              </w:rPr>
              <w:t>ЕФЕКТИВНОСТ И ФИНАНСОВО УПРАВЛЕНИЕ, ПРОБЛЕМИ И НАСОКИ ЗА ПРЕОДОЛЯВАНЕТО ИМ</w:t>
            </w:r>
            <w:r w:rsidRPr="00571E15">
              <w:rPr>
                <w:rFonts w:ascii="Times New Roman" w:hAnsi="Times New Roman"/>
                <w:noProof/>
                <w:webHidden/>
                <w:sz w:val="22"/>
                <w:szCs w:val="22"/>
              </w:rPr>
              <w:tab/>
            </w:r>
            <w:r w:rsidRPr="00571E15">
              <w:rPr>
                <w:rFonts w:ascii="Times New Roman" w:hAnsi="Times New Roman"/>
                <w:noProof/>
                <w:webHidden/>
                <w:sz w:val="22"/>
                <w:szCs w:val="22"/>
              </w:rPr>
              <w:fldChar w:fldCharType="begin"/>
            </w:r>
            <w:r w:rsidRPr="00571E15">
              <w:rPr>
                <w:rFonts w:ascii="Times New Roman" w:hAnsi="Times New Roman"/>
                <w:noProof/>
                <w:webHidden/>
                <w:sz w:val="22"/>
                <w:szCs w:val="22"/>
              </w:rPr>
              <w:instrText xml:space="preserve"> PAGEREF _Toc79417756 \h </w:instrText>
            </w:r>
            <w:r w:rsidRPr="00571E15">
              <w:rPr>
                <w:rFonts w:ascii="Times New Roman" w:hAnsi="Times New Roman"/>
                <w:noProof/>
                <w:webHidden/>
                <w:sz w:val="22"/>
                <w:szCs w:val="22"/>
              </w:rPr>
            </w:r>
            <w:r w:rsidRPr="00571E15">
              <w:rPr>
                <w:rFonts w:ascii="Times New Roman" w:hAnsi="Times New Roman"/>
                <w:noProof/>
                <w:webHidden/>
                <w:sz w:val="22"/>
                <w:szCs w:val="22"/>
              </w:rPr>
              <w:fldChar w:fldCharType="separate"/>
            </w:r>
            <w:r w:rsidRPr="00571E15">
              <w:rPr>
                <w:rFonts w:ascii="Times New Roman" w:hAnsi="Times New Roman"/>
                <w:noProof/>
                <w:webHidden/>
                <w:sz w:val="22"/>
                <w:szCs w:val="22"/>
              </w:rPr>
              <w:t>14</w:t>
            </w:r>
            <w:r w:rsidRPr="00571E15">
              <w:rPr>
                <w:rFonts w:ascii="Times New Roman" w:hAnsi="Times New Roman"/>
                <w:noProof/>
                <w:webHidden/>
                <w:sz w:val="22"/>
                <w:szCs w:val="22"/>
              </w:rPr>
              <w:fldChar w:fldCharType="end"/>
            </w:r>
          </w:hyperlink>
        </w:p>
        <w:p w:rsidR="00571E15" w:rsidRPr="00571E15" w:rsidRDefault="00571E15">
          <w:pPr>
            <w:pStyle w:val="TOC1"/>
            <w:tabs>
              <w:tab w:val="left" w:pos="400"/>
              <w:tab w:val="right" w:leader="dot" w:pos="9487"/>
            </w:tabs>
            <w:rPr>
              <w:rFonts w:ascii="Times New Roman" w:eastAsiaTheme="minorEastAsia" w:hAnsi="Times New Roman"/>
              <w:noProof/>
              <w:sz w:val="22"/>
              <w:szCs w:val="22"/>
              <w:lang w:val="en-US" w:eastAsia="en-US"/>
            </w:rPr>
          </w:pPr>
          <w:hyperlink w:anchor="_Toc79417757" w:history="1">
            <w:r w:rsidRPr="00571E15">
              <w:rPr>
                <w:rStyle w:val="Hyperlink"/>
                <w:rFonts w:ascii="Times New Roman" w:eastAsia="Calibri" w:hAnsi="Times New Roman"/>
                <w:noProof/>
                <w:sz w:val="22"/>
                <w:szCs w:val="22"/>
                <w:lang w:eastAsia="en-US"/>
              </w:rPr>
              <w:t>X.</w:t>
            </w:r>
            <w:r w:rsidRPr="00571E15">
              <w:rPr>
                <w:rFonts w:ascii="Times New Roman" w:eastAsiaTheme="minorEastAsia" w:hAnsi="Times New Roman"/>
                <w:noProof/>
                <w:sz w:val="22"/>
                <w:szCs w:val="22"/>
                <w:lang w:val="en-US" w:eastAsia="en-US"/>
              </w:rPr>
              <w:tab/>
            </w:r>
            <w:r w:rsidRPr="00571E15">
              <w:rPr>
                <w:rStyle w:val="Hyperlink"/>
                <w:rFonts w:ascii="Times New Roman" w:eastAsia="Calibri" w:hAnsi="Times New Roman"/>
                <w:noProof/>
                <w:sz w:val="22"/>
                <w:szCs w:val="22"/>
                <w:lang w:eastAsia="en-US"/>
              </w:rPr>
              <w:t>ПРЕДИЗВИКАТЕЛСТВА</w:t>
            </w:r>
            <w:r w:rsidRPr="00571E15">
              <w:rPr>
                <w:rFonts w:ascii="Times New Roman" w:hAnsi="Times New Roman"/>
                <w:noProof/>
                <w:webHidden/>
                <w:sz w:val="22"/>
                <w:szCs w:val="22"/>
              </w:rPr>
              <w:tab/>
            </w:r>
            <w:r w:rsidRPr="00571E15">
              <w:rPr>
                <w:rFonts w:ascii="Times New Roman" w:hAnsi="Times New Roman"/>
                <w:noProof/>
                <w:webHidden/>
                <w:sz w:val="22"/>
                <w:szCs w:val="22"/>
              </w:rPr>
              <w:fldChar w:fldCharType="begin"/>
            </w:r>
            <w:r w:rsidRPr="00571E15">
              <w:rPr>
                <w:rFonts w:ascii="Times New Roman" w:hAnsi="Times New Roman"/>
                <w:noProof/>
                <w:webHidden/>
                <w:sz w:val="22"/>
                <w:szCs w:val="22"/>
              </w:rPr>
              <w:instrText xml:space="preserve"> PAGEREF _Toc79417757 \h </w:instrText>
            </w:r>
            <w:r w:rsidRPr="00571E15">
              <w:rPr>
                <w:rFonts w:ascii="Times New Roman" w:hAnsi="Times New Roman"/>
                <w:noProof/>
                <w:webHidden/>
                <w:sz w:val="22"/>
                <w:szCs w:val="22"/>
              </w:rPr>
            </w:r>
            <w:r w:rsidRPr="00571E15">
              <w:rPr>
                <w:rFonts w:ascii="Times New Roman" w:hAnsi="Times New Roman"/>
                <w:noProof/>
                <w:webHidden/>
                <w:sz w:val="22"/>
                <w:szCs w:val="22"/>
              </w:rPr>
              <w:fldChar w:fldCharType="separate"/>
            </w:r>
            <w:r w:rsidRPr="00571E15">
              <w:rPr>
                <w:rFonts w:ascii="Times New Roman" w:hAnsi="Times New Roman"/>
                <w:noProof/>
                <w:webHidden/>
                <w:sz w:val="22"/>
                <w:szCs w:val="22"/>
              </w:rPr>
              <w:t>17</w:t>
            </w:r>
            <w:r w:rsidRPr="00571E15">
              <w:rPr>
                <w:rFonts w:ascii="Times New Roman" w:hAnsi="Times New Roman"/>
                <w:noProof/>
                <w:webHidden/>
                <w:sz w:val="22"/>
                <w:szCs w:val="22"/>
              </w:rPr>
              <w:fldChar w:fldCharType="end"/>
            </w:r>
          </w:hyperlink>
        </w:p>
        <w:p w:rsidR="00E518B3" w:rsidRPr="00FF7BAF" w:rsidRDefault="00E518B3">
          <w:pPr>
            <w:rPr>
              <w:rFonts w:ascii="Times New Roman" w:hAnsi="Times New Roman"/>
              <w:sz w:val="22"/>
              <w:szCs w:val="22"/>
            </w:rPr>
          </w:pPr>
          <w:r w:rsidRPr="00571E15">
            <w:rPr>
              <w:rFonts w:ascii="Times New Roman" w:hAnsi="Times New Roman"/>
              <w:bCs/>
              <w:noProof/>
              <w:color w:val="000000" w:themeColor="text1"/>
              <w:sz w:val="22"/>
              <w:szCs w:val="22"/>
            </w:rPr>
            <w:fldChar w:fldCharType="end"/>
          </w:r>
        </w:p>
        <w:bookmarkEnd w:id="0" w:displacedByCustomXml="next"/>
      </w:sdtContent>
    </w:sdt>
    <w:p w:rsidR="00E518B3" w:rsidRPr="00FF7BAF" w:rsidRDefault="00E518B3">
      <w:pPr>
        <w:spacing w:before="0" w:after="0" w:line="240" w:lineRule="auto"/>
        <w:jc w:val="both"/>
        <w:rPr>
          <w:rFonts w:ascii="Times New Roman" w:eastAsia="MS ??" w:hAnsi="Times New Roman"/>
          <w:b/>
          <w:bCs/>
          <w:sz w:val="22"/>
          <w:szCs w:val="22"/>
        </w:rPr>
      </w:pPr>
      <w:r w:rsidRPr="00FF7BAF">
        <w:rPr>
          <w:rFonts w:ascii="Times New Roman" w:eastAsia="MS ??" w:hAnsi="Times New Roman"/>
          <w:b/>
          <w:bCs/>
          <w:sz w:val="22"/>
          <w:szCs w:val="22"/>
        </w:rPr>
        <w:br w:type="page"/>
      </w:r>
    </w:p>
    <w:p w:rsidR="00A01A11" w:rsidRPr="00FF7BAF" w:rsidRDefault="00A01A11" w:rsidP="00D20C2C">
      <w:pPr>
        <w:spacing w:before="0" w:after="0" w:line="240" w:lineRule="auto"/>
        <w:jc w:val="both"/>
        <w:rPr>
          <w:rFonts w:ascii="Times New Roman" w:eastAsia="MS ??" w:hAnsi="Times New Roman"/>
          <w:b/>
          <w:bCs/>
          <w:sz w:val="22"/>
          <w:szCs w:val="22"/>
        </w:rPr>
      </w:pPr>
    </w:p>
    <w:p w:rsidR="00FF7BAF" w:rsidRPr="00FF7BAF" w:rsidRDefault="00FF7BAF" w:rsidP="00FF7BAF">
      <w:pPr>
        <w:pStyle w:val="Heading1"/>
        <w:rPr>
          <w:rFonts w:eastAsia="Calibri"/>
          <w:lang w:eastAsia="en-US"/>
        </w:rPr>
      </w:pPr>
      <w:bookmarkStart w:id="1" w:name="_Toc79417748"/>
      <w:r w:rsidRPr="00FF7BAF">
        <w:rPr>
          <w:rFonts w:eastAsia="Calibri"/>
          <w:lang w:eastAsia="en-US"/>
        </w:rPr>
        <w:t>ВЪВЕДЕНИЕ</w:t>
      </w:r>
      <w:bookmarkEnd w:id="1"/>
    </w:p>
    <w:p w:rsidR="00FF7BAF" w:rsidRPr="00FF7BAF" w:rsidRDefault="00FF7BAF" w:rsidP="00FF7BAF">
      <w:pPr>
        <w:spacing w:before="0" w:after="0" w:line="259" w:lineRule="auto"/>
        <w:ind w:left="1065"/>
        <w:contextualSpacing/>
        <w:jc w:val="both"/>
        <w:rPr>
          <w:rFonts w:ascii="Times New Roman" w:eastAsia="Calibri" w:hAnsi="Times New Roman"/>
          <w:b/>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b/>
          <w:sz w:val="22"/>
          <w:szCs w:val="22"/>
          <w:lang w:eastAsia="en-US"/>
        </w:rPr>
        <w:t xml:space="preserve">Децентрализация и принципи във финансирането на образованието.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Провежданата от доста години в България финансова децентрализацията  е средство за балансиране на услуги и ресурси, на права и отговорности на всяко равнище на управление в държавата. Публичните услуги се  предоставят от това равнище на териториално  управление, което може да ги произведе с най-малко средства, с най-добро качество и е най-близо до потребителите. Децентрализацията се реализира чрез преразпределение на услуги, ресурси и правомощия от по-високите към по-ниските нива на управление.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На всяко равнище на публично управление трябва да има баланс между услугите, които се предлагат, ресурсите за тяхното финансиране и правомощията за предоставянето им. Наличието на такъв баланс е условие за ефективно функциониране. Реформата към децентрализация, която все още не е завършена,  има точно тази цел.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Политиките на децентрализация в образователната система включват също така изготвянето и оптимизирането на законовата рамка за децентрализация на управлението, отчитайки двустепенната структура на административния апарат – първо, делегиране на права, отговорности и прехвърляне на ресурси към местните власти на управление, които от своя страна да преотстъпят тези права, отговорности за управление и да прехвърлят и преразпределят ресурси на образователните институции, за които отговарят при спазване на принципите за предвидимост, прозрачност, субсидиарност, законосъобразност и ефективност.</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pStyle w:val="Heading1"/>
        <w:rPr>
          <w:rFonts w:eastAsia="Calibri"/>
          <w:lang w:eastAsia="en-US"/>
        </w:rPr>
      </w:pPr>
      <w:bookmarkStart w:id="2" w:name="_Toc79417749"/>
      <w:r w:rsidRPr="00FF7BAF">
        <w:rPr>
          <w:rFonts w:eastAsia="Calibri"/>
          <w:lang w:eastAsia="en-US"/>
        </w:rPr>
        <w:t>АКТУАЛНА НОРМАТИВНА БАЗА</w:t>
      </w:r>
      <w:bookmarkEnd w:id="2"/>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Основни нормативни документи за финансиране на образованието:</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Закон за предучилищно и училищно образование - Глава XVI „Финансиране и имущество“</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ЗПОО – глава VIII „Финансиране на професионалното образование, обучение и ориентиране”;</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Наредба за финансиране на институциите в системата на предучилищното и училищното образование (НФИСПУО)</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Наредба № 4 за нормиране и заплащане на труда  от 20.04.2017 г.</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Заповед на МОН № РД09-137/ 15.01.2021 г. за утвърждаване на Правила за определяне на РЗ на директорите</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Актуална нормативна база за финансиране на образованието през 2021 г.</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Закон за държавния бюджет на Република България за 2021 год. (</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 ДВ. бр.104/ 8.12.2020г.);</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Постановление № 408/23.12.2020 г. за изпълнението на държавния бюджет на Република България за 2021 г. (</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 xml:space="preserve">. ДВ. бр.1/05.01.2021 г.); </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Решение  на Министерски съвет (РМС)   № 790/30.10.2020 г. за приемане на стандарти за делегираните от държавата дейности с натурални и стойностни показатели през 2021 година</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ФО № 1/18.01.2021 г. - Указания на МФ за съставянето и изпълнението на общинските бюджети</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Отраслов КТД № Д01-197/17.08.2020 г. (в сила от 26.11.2020 г.)</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Анекс към КТД № Д01-342/07.12.2020 г.</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lastRenderedPageBreak/>
        <w:t xml:space="preserve">Други документи, свързани с финансирането </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Закон за публичните финанси (ЗПФ) – (</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 xml:space="preserve">. ДВ. бр.15 от 15 Февруари 2013г., в сила от 1.01.2014 г.)   </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Закон за финансово управление и контрол в публичния сектор (ЗФУКПС) /</w:t>
      </w:r>
      <w:proofErr w:type="spellStart"/>
      <w:r w:rsidRPr="00FF7BAF">
        <w:rPr>
          <w:rFonts w:ascii="Times New Roman" w:eastAsia="Calibri" w:hAnsi="Times New Roman"/>
          <w:sz w:val="22"/>
          <w:szCs w:val="22"/>
          <w:lang w:eastAsia="en-US"/>
        </w:rPr>
        <w:t>Обн.ДВ</w:t>
      </w:r>
      <w:proofErr w:type="spellEnd"/>
      <w:r w:rsidRPr="00FF7BAF">
        <w:rPr>
          <w:rFonts w:ascii="Times New Roman" w:eastAsia="Calibri" w:hAnsi="Times New Roman"/>
          <w:sz w:val="22"/>
          <w:szCs w:val="22"/>
          <w:lang w:eastAsia="en-US"/>
        </w:rPr>
        <w:t>. бр. 21 от 10 март 2006 г.)</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Наредба № 1 от 16 януари 2017 г. за условията и реда за възстановяване на транспортните разходи или  на разходите за наем на педагогическите специалисти в институциите в системата на предучилищното и училищното образование (</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 ДВ, бр. 10 от 27.01.2017 г., в сила от 01.01.2017 г.)</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Наредба № 14 от 16.11.2016 г. за представителното облекло на лицата от институциите в системата на предучилищното и училищното образование (</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.-ДВ, бр.95, 29.11.2016 г., в сила от 01.01.2017 г.)</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Наредба за безплатното работно и униформено облекло, приета с ПМС 10/20.01.2011 г. (</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.-ДВ, бр. 9 от 28.01.2011г.)</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Тарифа за таксите, които се събират в системата на предучилищното и училищното образование (</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 - ДВ, бр. 75 от 15.09.2017 г., в сила от 15.09.2017 г.)</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ab/>
        <w:t>Постановление № 328 от  21 декември 2017 г. на МС условията и реда за получаване на стипендии от учениците след завършено основно образование (</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 xml:space="preserve">.-ДВ, бр.103 от 28.12.2017г.) </w:t>
      </w:r>
    </w:p>
    <w:p w:rsidR="00FF7BAF" w:rsidRPr="00FF7BAF" w:rsidRDefault="00FF7BAF" w:rsidP="001E0A33">
      <w:pPr>
        <w:pStyle w:val="ListParagraph"/>
        <w:numPr>
          <w:ilvl w:val="0"/>
          <w:numId w:val="1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ab/>
        <w:t>НАРЕДБА за условията и реда за предоставяне и изплащане на средства от държавния бюджет за компенсиране на разходите, извършени от родителите за отглеждането и обучението на децата, които не са приети в държавни или общински детски градини или училища поради липса на свободни места(</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 xml:space="preserve">. ДВ. бр.20 от 9 март 2021 г.)  </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pStyle w:val="Heading1"/>
        <w:rPr>
          <w:rFonts w:eastAsia="Calibri"/>
          <w:lang w:eastAsia="en-US"/>
        </w:rPr>
      </w:pPr>
      <w:bookmarkStart w:id="3" w:name="_Toc79417750"/>
      <w:r w:rsidRPr="00FF7BAF">
        <w:rPr>
          <w:rFonts w:eastAsia="Calibri"/>
          <w:lang w:eastAsia="en-US"/>
        </w:rPr>
        <w:t>СИСТЕМА НА ФИНАНСИРАНЕТО НА ОБРАЗОВАНИЕТО В БЪЛГАРИЯ</w:t>
      </w:r>
      <w:bookmarkEnd w:id="3"/>
    </w:p>
    <w:p w:rsidR="00FF7BAF" w:rsidRPr="00FF7BAF" w:rsidRDefault="00FF7BAF" w:rsidP="00FF7BAF">
      <w:pPr>
        <w:spacing w:before="0" w:after="0"/>
        <w:jc w:val="both"/>
        <w:rPr>
          <w:rFonts w:ascii="Times New Roman" w:eastAsia="Calibri" w:hAnsi="Times New Roman"/>
          <w:b/>
          <w:sz w:val="22"/>
          <w:szCs w:val="22"/>
          <w:lang w:eastAsia="en-US"/>
        </w:rPr>
      </w:pPr>
    </w:p>
    <w:p w:rsidR="00FF7BAF" w:rsidRPr="00FF7BAF" w:rsidRDefault="00FF7BAF" w:rsidP="00FF7BAF">
      <w:pPr>
        <w:spacing w:before="0" w:after="0"/>
        <w:jc w:val="both"/>
        <w:rPr>
          <w:rFonts w:ascii="Times New Roman" w:eastAsia="Calibri" w:hAnsi="Times New Roman"/>
          <w:b/>
          <w:sz w:val="22"/>
          <w:szCs w:val="22"/>
          <w:lang w:eastAsia="en-US"/>
        </w:rPr>
      </w:pPr>
      <w:r w:rsidRPr="00FF7BAF">
        <w:rPr>
          <w:rFonts w:ascii="Times New Roman" w:eastAsia="Calibri" w:hAnsi="Times New Roman"/>
          <w:b/>
          <w:noProof/>
          <w:sz w:val="22"/>
          <w:szCs w:val="22"/>
          <w:lang w:val="en-US" w:eastAsia="en-US"/>
        </w:rPr>
        <w:drawing>
          <wp:inline distT="0" distB="0" distL="0" distR="0" wp14:anchorId="137B8525" wp14:editId="04AF9B89">
            <wp:extent cx="5857578" cy="283845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4197" cy="2856195"/>
                    </a:xfrm>
                    <a:prstGeom prst="rect">
                      <a:avLst/>
                    </a:prstGeom>
                    <a:noFill/>
                  </pic:spPr>
                </pic:pic>
              </a:graphicData>
            </a:graphic>
          </wp:inline>
        </w:drawing>
      </w:r>
    </w:p>
    <w:p w:rsidR="00FF7BAF" w:rsidRPr="00FF7BAF" w:rsidRDefault="00FF7BAF" w:rsidP="00FF7BAF">
      <w:pPr>
        <w:spacing w:before="0" w:after="0"/>
        <w:jc w:val="both"/>
        <w:rPr>
          <w:rFonts w:ascii="Times New Roman" w:eastAsia="Calibri" w:hAnsi="Times New Roman"/>
          <w:b/>
          <w:sz w:val="22"/>
          <w:szCs w:val="22"/>
          <w:lang w:eastAsia="en-US"/>
        </w:rPr>
      </w:pPr>
      <w:r w:rsidRPr="00FF7BAF">
        <w:rPr>
          <w:rFonts w:ascii="Times New Roman" w:eastAsia="Calibri" w:hAnsi="Times New Roman"/>
          <w:b/>
          <w:sz w:val="22"/>
          <w:szCs w:val="22"/>
          <w:lang w:eastAsia="en-US"/>
        </w:rPr>
        <w:tab/>
      </w:r>
    </w:p>
    <w:p w:rsidR="00FF7BAF" w:rsidRPr="00FF7BAF" w:rsidRDefault="00FF7BAF" w:rsidP="00FF7BAF">
      <w:pPr>
        <w:pStyle w:val="Heading1"/>
        <w:rPr>
          <w:rFonts w:eastAsia="Calibri"/>
          <w:lang w:eastAsia="en-US"/>
        </w:rPr>
      </w:pPr>
      <w:bookmarkStart w:id="4" w:name="_Toc79417751"/>
      <w:r w:rsidRPr="00FF7BAF">
        <w:rPr>
          <w:rFonts w:eastAsia="Calibri"/>
          <w:lang w:eastAsia="en-US"/>
        </w:rPr>
        <w:lastRenderedPageBreak/>
        <w:t>РАЗПРЕДЕЛИТЕЛНИ МЕХАНИЗМИ НА НАЦИОНАЛНО И МЕСТНО НИВО</w:t>
      </w:r>
      <w:bookmarkEnd w:id="4"/>
    </w:p>
    <w:p w:rsidR="00FF7BAF" w:rsidRPr="00FF7BAF" w:rsidRDefault="00FF7BAF" w:rsidP="00FF7BAF">
      <w:pPr>
        <w:pStyle w:val="ListParagraph"/>
        <w:spacing w:before="0" w:after="0"/>
        <w:jc w:val="both"/>
        <w:rPr>
          <w:rFonts w:ascii="Times New Roman" w:eastAsia="Calibri" w:hAnsi="Times New Roman"/>
          <w:b/>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Pr>
          <w:rFonts w:ascii="Times New Roman" w:eastAsia="Calibri" w:hAnsi="Times New Roman"/>
          <w:b/>
          <w:sz w:val="22"/>
          <w:szCs w:val="22"/>
          <w:lang w:eastAsia="en-US"/>
        </w:rPr>
        <w:t>4</w:t>
      </w:r>
      <w:r w:rsidRPr="00FF7BAF">
        <w:rPr>
          <w:rFonts w:ascii="Times New Roman" w:eastAsia="Calibri" w:hAnsi="Times New Roman"/>
          <w:b/>
          <w:sz w:val="22"/>
          <w:szCs w:val="22"/>
          <w:lang w:eastAsia="en-US"/>
        </w:rPr>
        <w:t>.1. Разпределителните механизми на национално ниво</w:t>
      </w:r>
      <w:r w:rsidRPr="00FF7BAF">
        <w:rPr>
          <w:rFonts w:ascii="Times New Roman" w:eastAsia="Calibri" w:hAnsi="Times New Roman"/>
          <w:sz w:val="22"/>
          <w:szCs w:val="22"/>
          <w:lang w:eastAsia="en-US"/>
        </w:rPr>
        <w:t xml:space="preserve"> се осъществяват чрез приеманите ежегодно с Решения на МС (РМС) стандарти за делегираните от държавата дейности, нормативи и допълващи стандарти, както и чрез приемане на ПМС (</w:t>
      </w:r>
      <w:r w:rsidRPr="00FF7BAF">
        <w:rPr>
          <w:rFonts w:ascii="Times New Roman" w:eastAsia="Calibri" w:hAnsi="Times New Roman"/>
          <w:i/>
          <w:sz w:val="22"/>
          <w:szCs w:val="22"/>
          <w:lang w:eastAsia="en-US"/>
        </w:rPr>
        <w:t>за някои от целевите средства</w:t>
      </w:r>
      <w:r w:rsidRPr="00FF7BAF">
        <w:rPr>
          <w:rFonts w:ascii="Times New Roman" w:eastAsia="Calibri" w:hAnsi="Times New Roman"/>
          <w:sz w:val="22"/>
          <w:szCs w:val="22"/>
          <w:lang w:eastAsia="en-US"/>
        </w:rPr>
        <w:t>) и съответните писма на МФ (</w:t>
      </w:r>
      <w:r w:rsidRPr="00FF7BAF">
        <w:rPr>
          <w:rFonts w:ascii="Times New Roman" w:eastAsia="Calibri" w:hAnsi="Times New Roman"/>
          <w:i/>
          <w:sz w:val="22"/>
          <w:szCs w:val="22"/>
          <w:lang w:eastAsia="en-US"/>
        </w:rPr>
        <w:t>ФО №…/.. за съответната бюджетна година</w:t>
      </w:r>
      <w:r w:rsidRPr="00FF7BAF">
        <w:rPr>
          <w:rFonts w:ascii="Times New Roman" w:eastAsia="Calibri" w:hAnsi="Times New Roman"/>
          <w:sz w:val="22"/>
          <w:szCs w:val="22"/>
          <w:lang w:eastAsia="en-US"/>
        </w:rPr>
        <w:t>), с които се разпределят средства по Национални програми, за транспорт на учители, за определяне на паричните средства за физическо възпитание и спорт, за лаптопи, за стипендии на даровити деца и др. целеви средства от държавния бюджет.</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 От началото на 2018 г. стартира прилагането на по-усъвършенстван модел на финансиране на образованието, който се различава от начина на финансиране през предходните повече от 10 години, когато делегираните бюджети се определяха основно на принципа „парите следват детето/ученика“. Новата система на финансиране на институциите в системата на предучилищното и училищното образование въвежда допълнителни елементи за определяне и разпределение на средствата от държавния бюджет за издръжка на дейностите по възпитание и обучение на децата и учениците по първостепенни разпоредители с бюджет.</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С обновения модел се цели: да се отчетат както регионалните, така и социалните диспропорции в образователната система в България и финансирането да бъде съобразено с тях; да се  постигне  по-справедливо и по-ефективно разпределение на финансовия ресурс в съответствие с потребностите на образователните институции, чрез усъвършенстване на механизма на разпределение на средствата от държавния бюджет за предучилищно и училищно образование.</w:t>
      </w:r>
    </w:p>
    <w:p w:rsidR="00FF7BAF" w:rsidRPr="00FF7BAF" w:rsidRDefault="00FF7BAF" w:rsidP="00FF7BAF">
      <w:pPr>
        <w:spacing w:before="0" w:after="0"/>
        <w:jc w:val="both"/>
        <w:rPr>
          <w:rFonts w:ascii="Times New Roman" w:eastAsia="Calibri" w:hAnsi="Times New Roman"/>
          <w:i/>
          <w:sz w:val="22"/>
          <w:szCs w:val="22"/>
          <w:lang w:eastAsia="en-US"/>
        </w:rPr>
      </w:pPr>
      <w:r w:rsidRPr="00FF7BAF">
        <w:rPr>
          <w:rFonts w:ascii="Times New Roman" w:eastAsia="Calibri" w:hAnsi="Times New Roman"/>
          <w:b/>
          <w:i/>
          <w:sz w:val="22"/>
          <w:szCs w:val="22"/>
          <w:lang w:eastAsia="en-US"/>
        </w:rPr>
        <w:t>Четири  са основните стълба на финансиране</w:t>
      </w:r>
      <w:r w:rsidRPr="00FF7BAF">
        <w:rPr>
          <w:rFonts w:ascii="Times New Roman" w:eastAsia="Calibri" w:hAnsi="Times New Roman"/>
          <w:i/>
          <w:sz w:val="22"/>
          <w:szCs w:val="22"/>
          <w:lang w:eastAsia="en-US"/>
        </w:rPr>
        <w:t xml:space="preserve">: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1. Издръжка на дейностите по възпитание и обучение на децата и учениците;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2. Подпомагане на равния достъп и подкрепа за личностно развитие;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3.Развитие на детските градини, училищата и центровете за подкрепа на личностното развитие;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4.Изпълнение на национални програми за развитие на образованието.</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Разпределението на средствата от държавния бюджет между първостепенните разпоредители с бюджет (ПРБ) става въз основа на три основни стандарта:</w:t>
      </w:r>
    </w:p>
    <w:p w:rsidR="00FF7BAF" w:rsidRPr="00FF7BAF" w:rsidRDefault="00FF7BAF" w:rsidP="001E0A33">
      <w:pPr>
        <w:pStyle w:val="ListParagraph"/>
        <w:numPr>
          <w:ilvl w:val="0"/>
          <w:numId w:val="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стандарт за деца/ученици;</w:t>
      </w:r>
    </w:p>
    <w:p w:rsidR="00FF7BAF" w:rsidRPr="00FF7BAF" w:rsidRDefault="00FF7BAF" w:rsidP="001E0A33">
      <w:pPr>
        <w:pStyle w:val="ListParagraph"/>
        <w:numPr>
          <w:ilvl w:val="0"/>
          <w:numId w:val="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стандарт за институция;</w:t>
      </w:r>
    </w:p>
    <w:p w:rsidR="00FF7BAF" w:rsidRPr="00FF7BAF" w:rsidRDefault="00FF7BAF" w:rsidP="001E0A33">
      <w:pPr>
        <w:pStyle w:val="ListParagraph"/>
        <w:numPr>
          <w:ilvl w:val="0"/>
          <w:numId w:val="4"/>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стандарт за група/паралелка.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Броят на децата и учениците, на групите и паралелките и на образователните институции се определя по данни от националната електронна информационна система на МОН - НЕИСПУО.  Размерите на стандартите се определят с ежегодно приемано Решение на Министерския съвет (РМС) за стандартите за делегираните от държавата дейности с натурални и стойностни показатели.</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Размерите на стандартите са различни в зависимост от:</w:t>
      </w:r>
    </w:p>
    <w:p w:rsidR="00FF7BAF" w:rsidRPr="00FF7BAF" w:rsidRDefault="00FF7BAF" w:rsidP="001E0A33">
      <w:pPr>
        <w:pStyle w:val="ListParagraph"/>
        <w:numPr>
          <w:ilvl w:val="0"/>
          <w:numId w:val="5"/>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съдържанието на дейностите по възпитанието и обучението на децата и учениците;</w:t>
      </w:r>
    </w:p>
    <w:p w:rsidR="00FF7BAF" w:rsidRPr="00FF7BAF" w:rsidRDefault="00FF7BAF" w:rsidP="001E0A33">
      <w:pPr>
        <w:pStyle w:val="ListParagraph"/>
        <w:numPr>
          <w:ilvl w:val="0"/>
          <w:numId w:val="5"/>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вида и спецификата на образователната институция;</w:t>
      </w:r>
    </w:p>
    <w:p w:rsidR="00FF7BAF" w:rsidRPr="00FF7BAF" w:rsidRDefault="00FF7BAF" w:rsidP="001E0A33">
      <w:pPr>
        <w:pStyle w:val="ListParagraph"/>
        <w:numPr>
          <w:ilvl w:val="0"/>
          <w:numId w:val="5"/>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формата на обучение;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Стандартът за институция има една и съща стойност за всяка една институция и зависи единствено от вида на институцията – детска градина/</w:t>
      </w:r>
      <w:proofErr w:type="spellStart"/>
      <w:r w:rsidRPr="00FF7BAF">
        <w:rPr>
          <w:rFonts w:ascii="Times New Roman" w:eastAsia="Calibri" w:hAnsi="Times New Roman"/>
          <w:sz w:val="22"/>
          <w:szCs w:val="22"/>
          <w:lang w:eastAsia="en-US"/>
        </w:rPr>
        <w:t>неспециализирано</w:t>
      </w:r>
      <w:proofErr w:type="spellEnd"/>
      <w:r w:rsidRPr="00FF7BAF">
        <w:rPr>
          <w:rFonts w:ascii="Times New Roman" w:eastAsia="Calibri" w:hAnsi="Times New Roman"/>
          <w:sz w:val="22"/>
          <w:szCs w:val="22"/>
          <w:lang w:eastAsia="en-US"/>
        </w:rPr>
        <w:t xml:space="preserve"> училище/общежитие/ професионална гимназия.</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Стандартите за група/паралелка се предоставят за всяка паралелка в училище или група в детска градина или в училище. Размерът на стандарта е диференциран в зависимост от вида на групата в </w:t>
      </w:r>
      <w:r w:rsidRPr="00FF7BAF">
        <w:rPr>
          <w:rFonts w:ascii="Times New Roman" w:eastAsia="Calibri" w:hAnsi="Times New Roman"/>
          <w:sz w:val="22"/>
          <w:szCs w:val="22"/>
          <w:lang w:eastAsia="en-US"/>
        </w:rPr>
        <w:lastRenderedPageBreak/>
        <w:t xml:space="preserve">детската градина - </w:t>
      </w:r>
      <w:proofErr w:type="spellStart"/>
      <w:r w:rsidRPr="00FF7BAF">
        <w:rPr>
          <w:rFonts w:ascii="Times New Roman" w:eastAsia="Calibri" w:hAnsi="Times New Roman"/>
          <w:sz w:val="22"/>
          <w:szCs w:val="22"/>
          <w:lang w:eastAsia="en-US"/>
        </w:rPr>
        <w:t>яслена</w:t>
      </w:r>
      <w:proofErr w:type="spellEnd"/>
      <w:r w:rsidRPr="00FF7BAF">
        <w:rPr>
          <w:rFonts w:ascii="Times New Roman" w:eastAsia="Calibri" w:hAnsi="Times New Roman"/>
          <w:sz w:val="22"/>
          <w:szCs w:val="22"/>
          <w:lang w:eastAsia="en-US"/>
        </w:rPr>
        <w:t xml:space="preserve">, целодневна, полудневна, а за паралелките от вида на училището или вида на паралелката – </w:t>
      </w:r>
      <w:proofErr w:type="spellStart"/>
      <w:r w:rsidRPr="00FF7BAF">
        <w:rPr>
          <w:rFonts w:ascii="Times New Roman" w:eastAsia="Calibri" w:hAnsi="Times New Roman"/>
          <w:sz w:val="22"/>
          <w:szCs w:val="22"/>
          <w:lang w:eastAsia="en-US"/>
        </w:rPr>
        <w:t>непрофилирана</w:t>
      </w:r>
      <w:proofErr w:type="spellEnd"/>
      <w:r w:rsidRPr="00FF7BAF">
        <w:rPr>
          <w:rFonts w:ascii="Times New Roman" w:eastAsia="Calibri" w:hAnsi="Times New Roman"/>
          <w:sz w:val="22"/>
          <w:szCs w:val="22"/>
          <w:lang w:eastAsia="en-US"/>
        </w:rPr>
        <w:t>, профилирана, професионална.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Размерът на стандарта за дете също е диференциран в зависимост от  възрастта на детето или вида на група, в която е записано, а стандартът за ученик е диференциран в зависимост от  вида на паралелката, в която се обучава.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Нов момент в модела на финансиране е, че размерът на средствата, определени по посочените по-горе стандарти се завишава с </w:t>
      </w:r>
      <w:r w:rsidRPr="00FF7BAF">
        <w:rPr>
          <w:rFonts w:ascii="Times New Roman" w:eastAsia="Calibri" w:hAnsi="Times New Roman"/>
          <w:b/>
          <w:sz w:val="22"/>
          <w:szCs w:val="22"/>
          <w:lang w:eastAsia="en-US"/>
        </w:rPr>
        <w:t>регионален коефициент</w:t>
      </w:r>
      <w:r w:rsidRPr="00FF7BAF">
        <w:rPr>
          <w:rFonts w:ascii="Times New Roman" w:eastAsia="Calibri" w:hAnsi="Times New Roman"/>
          <w:sz w:val="22"/>
          <w:szCs w:val="22"/>
          <w:lang w:eastAsia="en-US"/>
        </w:rPr>
        <w:t xml:space="preserve">. Той отразява географски и демографски характеристики на общината и региона, в който се намира образователната институция, водещи до различия в разходите, необходими за осигуряване на равен достъп до образование. С регионалния коефициент се коригира размерът на средствата по ПРБ, определени на база брой на децата и учениците, брой на групите и паралелките, брой на образователните институции, стандарт за дете и ученик, стандарт за група и паралелка и стандарт за образователна институция. С регионалния коефициент се коригира и  размерът на средствата за целодневна организация на учебния ден и за общежитие.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При регионалния коефициент общините са групирани в осем групи, съгласно Приложение № 5 към т. 5 от Решението на Министерския съвет за приемане на стандарти за делегираните от държавата дейности за съответната бюджетна година. За всяка от групите общини стойността на коефициента е различна – от коефициент 0 за първа група общини до коефициент 0,12 за осма група общини.  При групирането с допълнителна тежест се отчита и местонахождението на общината  в следните региони за целенасочено въз- действие – малка гранична община, Северозападен район и географските територии Родопи и Странджа-Сакар. Списъкът на общините, включени в „Региони за целенасочено въздействие“, може да се  намери в Приложение № 1б към чл. 3а, ал. 2 на НФИСПУО.  Стойността на регионалния коефициент за всяка от групите общини е конкретизирана в Приложение № 1а към чл. 3а, ал. 1 на НАРЕДБА за финансирането на институциите в системата на предучилищното и училищното образование (НФИСПУО), (</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 - ДВ, бр. 81 от 10.10.2017 г.). Той се определя в зависимост от три фактора:</w:t>
      </w:r>
    </w:p>
    <w:p w:rsidR="00FF7BAF" w:rsidRPr="00FF7BAF" w:rsidRDefault="00FF7BAF" w:rsidP="001E0A33">
      <w:pPr>
        <w:pStyle w:val="ListParagraph"/>
        <w:numPr>
          <w:ilvl w:val="0"/>
          <w:numId w:val="6"/>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отдалеченост на общинския център от населено място с население над 100 000 жители;</w:t>
      </w:r>
    </w:p>
    <w:p w:rsidR="00FF7BAF" w:rsidRPr="00FF7BAF" w:rsidRDefault="00FF7BAF" w:rsidP="001E0A33">
      <w:pPr>
        <w:pStyle w:val="ListParagraph"/>
        <w:numPr>
          <w:ilvl w:val="0"/>
          <w:numId w:val="6"/>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отдалеченост на общинския център от областен град</w:t>
      </w:r>
    </w:p>
    <w:p w:rsidR="00FF7BAF" w:rsidRPr="00FF7BAF" w:rsidRDefault="00FF7BAF" w:rsidP="001E0A33">
      <w:pPr>
        <w:pStyle w:val="ListParagraph"/>
        <w:numPr>
          <w:ilvl w:val="0"/>
          <w:numId w:val="6"/>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брой на населението в общинския център.</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За държавните и частните училища се прилага регионалният коефициент за общината, в която те се намират;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Ето например как се променят стандартите за 2021 г. за </w:t>
      </w:r>
      <w:proofErr w:type="spellStart"/>
      <w:r w:rsidRPr="00FF7BAF">
        <w:rPr>
          <w:rFonts w:ascii="Times New Roman" w:eastAsia="Calibri" w:hAnsi="Times New Roman"/>
          <w:sz w:val="22"/>
          <w:szCs w:val="22"/>
          <w:lang w:eastAsia="en-US"/>
        </w:rPr>
        <w:t>неспециализирано</w:t>
      </w:r>
      <w:proofErr w:type="spellEnd"/>
      <w:r w:rsidRPr="00FF7BAF">
        <w:rPr>
          <w:rFonts w:ascii="Times New Roman" w:eastAsia="Calibri" w:hAnsi="Times New Roman"/>
          <w:sz w:val="22"/>
          <w:szCs w:val="22"/>
          <w:lang w:eastAsia="en-US"/>
        </w:rPr>
        <w:t xml:space="preserve"> училище, като се приложи регионалният коефициент за съответната група общини:</w:t>
      </w:r>
    </w:p>
    <w:p w:rsidR="00FF7BAF" w:rsidRPr="00FF7BAF" w:rsidRDefault="00FF7BAF" w:rsidP="00FF7BAF">
      <w:pPr>
        <w:spacing w:before="0" w:after="0"/>
        <w:jc w:val="both"/>
        <w:rPr>
          <w:rFonts w:ascii="Times New Roman" w:eastAsia="Calibri" w:hAnsi="Times New Roman"/>
          <w:sz w:val="22"/>
          <w:szCs w:val="22"/>
          <w:lang w:eastAsia="en-US"/>
        </w:rPr>
      </w:pPr>
    </w:p>
    <w:tbl>
      <w:tblPr>
        <w:tblStyle w:val="TableGrid"/>
        <w:tblW w:w="7513" w:type="dxa"/>
        <w:tblInd w:w="704" w:type="dxa"/>
        <w:tblLook w:val="04A0" w:firstRow="1" w:lastRow="0" w:firstColumn="1" w:lastColumn="0" w:noHBand="0" w:noVBand="1"/>
      </w:tblPr>
      <w:tblGrid>
        <w:gridCol w:w="1624"/>
        <w:gridCol w:w="1416"/>
        <w:gridCol w:w="1562"/>
        <w:gridCol w:w="1523"/>
        <w:gridCol w:w="1388"/>
      </w:tblGrid>
      <w:tr w:rsidR="00FF7BAF" w:rsidRPr="00FF7BAF" w:rsidTr="00050B42">
        <w:tc>
          <w:tcPr>
            <w:tcW w:w="1701" w:type="dxa"/>
            <w:shd w:val="clear" w:color="auto" w:fill="95B3D7" w:themeFill="accent1" w:themeFillTint="99"/>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b/>
                <w:color w:val="231F20"/>
                <w:sz w:val="22"/>
                <w:szCs w:val="22"/>
              </w:rPr>
              <w:t>Група общини</w:t>
            </w:r>
          </w:p>
        </w:tc>
        <w:tc>
          <w:tcPr>
            <w:tcW w:w="1389" w:type="dxa"/>
            <w:shd w:val="clear" w:color="auto" w:fill="95B3D7" w:themeFill="accent1" w:themeFillTint="99"/>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b/>
                <w:color w:val="231F20"/>
                <w:sz w:val="22"/>
                <w:szCs w:val="22"/>
              </w:rPr>
              <w:t>Регионален коефициент</w:t>
            </w:r>
          </w:p>
        </w:tc>
        <w:tc>
          <w:tcPr>
            <w:tcW w:w="1446" w:type="dxa"/>
            <w:shd w:val="clear" w:color="auto" w:fill="95B3D7" w:themeFill="accent1" w:themeFillTint="99"/>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b/>
                <w:color w:val="231F20"/>
                <w:sz w:val="22"/>
                <w:szCs w:val="22"/>
              </w:rPr>
              <w:t xml:space="preserve">Стандарт </w:t>
            </w:r>
            <w:proofErr w:type="spellStart"/>
            <w:r w:rsidRPr="00FF7BAF">
              <w:rPr>
                <w:rFonts w:ascii="Times New Roman" w:hAnsi="Times New Roman"/>
                <w:b/>
                <w:color w:val="231F20"/>
                <w:sz w:val="22"/>
                <w:szCs w:val="22"/>
              </w:rPr>
              <w:t>за</w:t>
            </w:r>
            <w:r w:rsidRPr="00FF7BAF">
              <w:rPr>
                <w:rFonts w:ascii="Times New Roman" w:hAnsi="Times New Roman"/>
                <w:b/>
                <w:color w:val="231F20"/>
                <w:spacing w:val="-3"/>
                <w:sz w:val="22"/>
                <w:szCs w:val="22"/>
              </w:rPr>
              <w:t>институция</w:t>
            </w:r>
            <w:proofErr w:type="spellEnd"/>
          </w:p>
        </w:tc>
        <w:tc>
          <w:tcPr>
            <w:tcW w:w="1559" w:type="dxa"/>
            <w:shd w:val="clear" w:color="auto" w:fill="95B3D7" w:themeFill="accent1" w:themeFillTint="99"/>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b/>
                <w:color w:val="231F20"/>
                <w:sz w:val="22"/>
                <w:szCs w:val="22"/>
              </w:rPr>
              <w:t>Стандарт за паралелка</w:t>
            </w:r>
          </w:p>
        </w:tc>
        <w:tc>
          <w:tcPr>
            <w:tcW w:w="1418" w:type="dxa"/>
            <w:shd w:val="clear" w:color="auto" w:fill="95B3D7" w:themeFill="accent1" w:themeFillTint="99"/>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b/>
                <w:color w:val="231F20"/>
                <w:sz w:val="22"/>
                <w:szCs w:val="22"/>
              </w:rPr>
              <w:t>Стандарт за ученик</w:t>
            </w:r>
          </w:p>
        </w:tc>
      </w:tr>
      <w:tr w:rsidR="00FF7BAF" w:rsidRPr="00FF7BAF" w:rsidTr="00050B42">
        <w:tc>
          <w:tcPr>
            <w:tcW w:w="1701"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Първа</w:t>
            </w:r>
          </w:p>
        </w:tc>
        <w:tc>
          <w:tcPr>
            <w:tcW w:w="138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0</w:t>
            </w:r>
          </w:p>
        </w:tc>
        <w:tc>
          <w:tcPr>
            <w:tcW w:w="1446"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 xml:space="preserve"> 50 630,00</w:t>
            </w:r>
          </w:p>
        </w:tc>
        <w:tc>
          <w:tcPr>
            <w:tcW w:w="155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10 774,00</w:t>
            </w:r>
          </w:p>
        </w:tc>
        <w:tc>
          <w:tcPr>
            <w:tcW w:w="1418"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2 123,00</w:t>
            </w:r>
          </w:p>
        </w:tc>
      </w:tr>
      <w:tr w:rsidR="00FF7BAF" w:rsidRPr="00FF7BAF" w:rsidTr="00050B42">
        <w:tc>
          <w:tcPr>
            <w:tcW w:w="1701"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Втора</w:t>
            </w:r>
          </w:p>
        </w:tc>
        <w:tc>
          <w:tcPr>
            <w:tcW w:w="138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0,017</w:t>
            </w:r>
          </w:p>
        </w:tc>
        <w:tc>
          <w:tcPr>
            <w:tcW w:w="1446"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 xml:space="preserve"> 51 490,71</w:t>
            </w:r>
          </w:p>
        </w:tc>
        <w:tc>
          <w:tcPr>
            <w:tcW w:w="155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10 957,12</w:t>
            </w:r>
          </w:p>
        </w:tc>
        <w:tc>
          <w:tcPr>
            <w:tcW w:w="1418"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2 159,09</w:t>
            </w:r>
          </w:p>
        </w:tc>
      </w:tr>
      <w:tr w:rsidR="00FF7BAF" w:rsidRPr="00FF7BAF" w:rsidTr="00050B42">
        <w:tc>
          <w:tcPr>
            <w:tcW w:w="1701"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Трета</w:t>
            </w:r>
          </w:p>
        </w:tc>
        <w:tc>
          <w:tcPr>
            <w:tcW w:w="138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0,034</w:t>
            </w:r>
          </w:p>
        </w:tc>
        <w:tc>
          <w:tcPr>
            <w:tcW w:w="1446"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 xml:space="preserve"> 52 351,64</w:t>
            </w:r>
          </w:p>
        </w:tc>
        <w:tc>
          <w:tcPr>
            <w:tcW w:w="155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11 204,96</w:t>
            </w:r>
          </w:p>
        </w:tc>
        <w:tc>
          <w:tcPr>
            <w:tcW w:w="1418"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2 164,82</w:t>
            </w:r>
          </w:p>
        </w:tc>
      </w:tr>
      <w:tr w:rsidR="00FF7BAF" w:rsidRPr="00FF7BAF" w:rsidTr="00050B42">
        <w:tc>
          <w:tcPr>
            <w:tcW w:w="1701"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Четвърта</w:t>
            </w:r>
          </w:p>
        </w:tc>
        <w:tc>
          <w:tcPr>
            <w:tcW w:w="138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0,051</w:t>
            </w:r>
          </w:p>
        </w:tc>
        <w:tc>
          <w:tcPr>
            <w:tcW w:w="1446"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 xml:space="preserve"> 53 212,13</w:t>
            </w:r>
          </w:p>
        </w:tc>
        <w:tc>
          <w:tcPr>
            <w:tcW w:w="155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11 323,47</w:t>
            </w:r>
          </w:p>
        </w:tc>
        <w:tc>
          <w:tcPr>
            <w:tcW w:w="1418"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2 231,73</w:t>
            </w:r>
          </w:p>
        </w:tc>
      </w:tr>
      <w:tr w:rsidR="00FF7BAF" w:rsidRPr="00FF7BAF" w:rsidTr="00050B42">
        <w:tc>
          <w:tcPr>
            <w:tcW w:w="1701"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Пета</w:t>
            </w:r>
          </w:p>
        </w:tc>
        <w:tc>
          <w:tcPr>
            <w:tcW w:w="138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0,068</w:t>
            </w:r>
          </w:p>
        </w:tc>
        <w:tc>
          <w:tcPr>
            <w:tcW w:w="1446"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 xml:space="preserve"> 54 072,84</w:t>
            </w:r>
          </w:p>
        </w:tc>
        <w:tc>
          <w:tcPr>
            <w:tcW w:w="155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11 474,59</w:t>
            </w:r>
          </w:p>
        </w:tc>
        <w:tc>
          <w:tcPr>
            <w:tcW w:w="1418"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2 267,36</w:t>
            </w:r>
          </w:p>
        </w:tc>
      </w:tr>
      <w:tr w:rsidR="00FF7BAF" w:rsidRPr="00FF7BAF" w:rsidTr="00050B42">
        <w:tc>
          <w:tcPr>
            <w:tcW w:w="1701"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Шеста</w:t>
            </w:r>
          </w:p>
        </w:tc>
        <w:tc>
          <w:tcPr>
            <w:tcW w:w="138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0,085</w:t>
            </w:r>
          </w:p>
        </w:tc>
        <w:tc>
          <w:tcPr>
            <w:tcW w:w="1446"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 xml:space="preserve"> 54 933,55</w:t>
            </w:r>
          </w:p>
        </w:tc>
        <w:tc>
          <w:tcPr>
            <w:tcW w:w="155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11 657,24</w:t>
            </w:r>
          </w:p>
        </w:tc>
        <w:tc>
          <w:tcPr>
            <w:tcW w:w="1418"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2 303,46</w:t>
            </w:r>
          </w:p>
        </w:tc>
      </w:tr>
      <w:tr w:rsidR="00FF7BAF" w:rsidRPr="00FF7BAF" w:rsidTr="00050B42">
        <w:tc>
          <w:tcPr>
            <w:tcW w:w="1701"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Седма</w:t>
            </w:r>
          </w:p>
        </w:tc>
        <w:tc>
          <w:tcPr>
            <w:tcW w:w="138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0,102</w:t>
            </w:r>
          </w:p>
        </w:tc>
        <w:tc>
          <w:tcPr>
            <w:tcW w:w="1446"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 xml:space="preserve"> 55 794,26</w:t>
            </w:r>
          </w:p>
        </w:tc>
        <w:tc>
          <w:tcPr>
            <w:tcW w:w="155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11 872,95</w:t>
            </w:r>
          </w:p>
        </w:tc>
        <w:tc>
          <w:tcPr>
            <w:tcW w:w="1418"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2 339,55</w:t>
            </w:r>
          </w:p>
        </w:tc>
      </w:tr>
      <w:tr w:rsidR="00FF7BAF" w:rsidRPr="00FF7BAF" w:rsidTr="00050B42">
        <w:tc>
          <w:tcPr>
            <w:tcW w:w="1701"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Осма</w:t>
            </w:r>
          </w:p>
        </w:tc>
        <w:tc>
          <w:tcPr>
            <w:tcW w:w="138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0,12</w:t>
            </w:r>
          </w:p>
        </w:tc>
        <w:tc>
          <w:tcPr>
            <w:tcW w:w="1446"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 xml:space="preserve"> 56 705,00</w:t>
            </w:r>
          </w:p>
        </w:tc>
        <w:tc>
          <w:tcPr>
            <w:tcW w:w="1559"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12 036,88</w:t>
            </w:r>
          </w:p>
        </w:tc>
        <w:tc>
          <w:tcPr>
            <w:tcW w:w="1418" w:type="dxa"/>
          </w:tcPr>
          <w:p w:rsidR="00FF7BAF" w:rsidRPr="00FF7BAF" w:rsidRDefault="00FF7BAF" w:rsidP="00050B42">
            <w:pPr>
              <w:spacing w:before="0" w:after="0"/>
              <w:jc w:val="both"/>
              <w:rPr>
                <w:rFonts w:ascii="Times New Roman" w:eastAsia="Calibri" w:hAnsi="Times New Roman"/>
                <w:sz w:val="22"/>
                <w:szCs w:val="22"/>
                <w:lang w:eastAsia="en-US"/>
              </w:rPr>
            </w:pPr>
            <w:r w:rsidRPr="00FF7BAF">
              <w:rPr>
                <w:rFonts w:ascii="Times New Roman" w:hAnsi="Times New Roman"/>
                <w:sz w:val="22"/>
                <w:szCs w:val="22"/>
              </w:rPr>
              <w:t>2 377,76</w:t>
            </w:r>
          </w:p>
        </w:tc>
      </w:tr>
    </w:tbl>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Със средствата по стандарти се финансират изцяло дейностите за:</w:t>
      </w:r>
    </w:p>
    <w:p w:rsidR="00FF7BAF" w:rsidRPr="00FF7BAF" w:rsidRDefault="00FF7BAF" w:rsidP="001E0A33">
      <w:pPr>
        <w:pStyle w:val="ListParagraph"/>
        <w:numPr>
          <w:ilvl w:val="0"/>
          <w:numId w:val="7"/>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задължителното предучилищно образование на децата до постъпването им в I клас, осъществявано от групи в детските градини и училищата;</w:t>
      </w:r>
    </w:p>
    <w:p w:rsidR="00FF7BAF" w:rsidRPr="00FF7BAF" w:rsidRDefault="00FF7BAF" w:rsidP="001E0A33">
      <w:pPr>
        <w:pStyle w:val="ListParagraph"/>
        <w:numPr>
          <w:ilvl w:val="0"/>
          <w:numId w:val="7"/>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обучението по учебен план от I до XII клас;</w:t>
      </w:r>
    </w:p>
    <w:p w:rsidR="00FF7BAF" w:rsidRPr="00FF7BAF" w:rsidRDefault="00FF7BAF" w:rsidP="001E0A33">
      <w:pPr>
        <w:pStyle w:val="ListParagraph"/>
        <w:numPr>
          <w:ilvl w:val="0"/>
          <w:numId w:val="7"/>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разходите за персонал и за присъща издръжка с изключение на разходите за медицински персонал.</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Средствата по допълващи стандарти включват следните видове: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допълващ стандарт за материална база;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допълващ стандарт за ученик в комбинирана форма на обучение;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допълващ стандарт за поддръжка на автобусите, предоставени на образователни институции за осигуряване на транспорта на децата и учениците;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 xml:space="preserve">допълващ стандарт за ученик в дневна форма на обучение и </w:t>
      </w:r>
      <w:proofErr w:type="spellStart"/>
      <w:r w:rsidRPr="00FF7BAF">
        <w:rPr>
          <w:rFonts w:ascii="Times New Roman" w:eastAsia="Calibri" w:hAnsi="Times New Roman"/>
          <w:sz w:val="22"/>
          <w:szCs w:val="22"/>
          <w:lang w:eastAsia="en-US"/>
        </w:rPr>
        <w:t>дуална</w:t>
      </w:r>
      <w:proofErr w:type="spellEnd"/>
      <w:r w:rsidRPr="00FF7BAF">
        <w:rPr>
          <w:rFonts w:ascii="Times New Roman" w:eastAsia="Calibri" w:hAnsi="Times New Roman"/>
          <w:sz w:val="22"/>
          <w:szCs w:val="22"/>
          <w:lang w:eastAsia="en-US"/>
        </w:rPr>
        <w:t xml:space="preserve"> система на обучение в първи и втори гимназиален етап.</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допълващ стандарт за ученик с разширена подготовка по музика в основна степен (когато в гимназиален етап се осъществява обучение в паралелки с профил „Музика“)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Средствата по норматив се включват над средствата, разпределени по формула между образователните институции и включват следните видове: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 xml:space="preserve">норматив за стипендии с три отделни </w:t>
      </w:r>
      <w:proofErr w:type="spellStart"/>
      <w:r w:rsidRPr="00FF7BAF">
        <w:rPr>
          <w:rFonts w:ascii="Times New Roman" w:eastAsia="Calibri" w:hAnsi="Times New Roman"/>
          <w:sz w:val="22"/>
          <w:szCs w:val="22"/>
          <w:lang w:eastAsia="en-US"/>
        </w:rPr>
        <w:t>поднорматива</w:t>
      </w:r>
      <w:proofErr w:type="spellEnd"/>
      <w:r w:rsidRPr="00FF7BAF">
        <w:rPr>
          <w:rFonts w:ascii="Times New Roman" w:eastAsia="Calibri" w:hAnsi="Times New Roman"/>
          <w:sz w:val="22"/>
          <w:szCs w:val="22"/>
          <w:lang w:eastAsia="en-US"/>
        </w:rPr>
        <w:t>, в зависимост от това в каква паралелка се обучава ученикът в гимназиален етап;</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норматив за подпомагане храненето на децата от подготвителните групи и на учениците от I до IV клас;</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 xml:space="preserve">норматив за осигуряване на целодневна организация на учебния ден за обхванатите ученици от I до VII клас с два отделни </w:t>
      </w:r>
      <w:proofErr w:type="spellStart"/>
      <w:r w:rsidRPr="00FF7BAF">
        <w:rPr>
          <w:rFonts w:ascii="Times New Roman" w:eastAsia="Calibri" w:hAnsi="Times New Roman"/>
          <w:sz w:val="22"/>
          <w:szCs w:val="22"/>
          <w:lang w:eastAsia="en-US"/>
        </w:rPr>
        <w:t>поднорматива</w:t>
      </w:r>
      <w:proofErr w:type="spellEnd"/>
      <w:r w:rsidRPr="00FF7BAF">
        <w:rPr>
          <w:rFonts w:ascii="Times New Roman" w:eastAsia="Calibri" w:hAnsi="Times New Roman"/>
          <w:sz w:val="22"/>
          <w:szCs w:val="22"/>
          <w:lang w:eastAsia="en-US"/>
        </w:rPr>
        <w:t xml:space="preserve"> – за група и за ученик в група за целодневна организация на учебния ден;</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 xml:space="preserve">норматив за ресурсно подпомагане с два отделни </w:t>
      </w:r>
      <w:proofErr w:type="spellStart"/>
      <w:r w:rsidRPr="00FF7BAF">
        <w:rPr>
          <w:rFonts w:ascii="Times New Roman" w:eastAsia="Calibri" w:hAnsi="Times New Roman"/>
          <w:sz w:val="22"/>
          <w:szCs w:val="22"/>
          <w:lang w:eastAsia="en-US"/>
        </w:rPr>
        <w:t>поднорматива</w:t>
      </w:r>
      <w:proofErr w:type="spellEnd"/>
      <w:r w:rsidRPr="00FF7BAF">
        <w:rPr>
          <w:rFonts w:ascii="Times New Roman" w:eastAsia="Calibri" w:hAnsi="Times New Roman"/>
          <w:sz w:val="22"/>
          <w:szCs w:val="22"/>
          <w:lang w:eastAsia="en-US"/>
        </w:rPr>
        <w:t xml:space="preserve"> – за дете/ученик на ресурсно подпомагане и за създаване на условия за приобщаващо образование за дете/ ученик на ресурсно подпомагане;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норматив за оценка на индивидуалните потребности на дете/ученик със СОП в РЦПППО;</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норматив за астрономическа обсерватория и планетариум, според броя на учениците  в дневна форма на обучение в съответната община;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средства за ученическо общежитие с отделни нормативи за институция, за група в общежитие и ученик в група в общежитие;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 xml:space="preserve">средства за занимания по интереси за </w:t>
      </w:r>
      <w:proofErr w:type="spellStart"/>
      <w:r w:rsidRPr="00FF7BAF">
        <w:rPr>
          <w:rFonts w:ascii="Times New Roman" w:eastAsia="Calibri" w:hAnsi="Times New Roman"/>
          <w:sz w:val="22"/>
          <w:szCs w:val="22"/>
          <w:lang w:eastAsia="en-US"/>
        </w:rPr>
        <w:t>неспециализирани</w:t>
      </w:r>
      <w:proofErr w:type="spellEnd"/>
      <w:r w:rsidRPr="00FF7BAF">
        <w:rPr>
          <w:rFonts w:ascii="Times New Roman" w:eastAsia="Calibri" w:hAnsi="Times New Roman"/>
          <w:sz w:val="22"/>
          <w:szCs w:val="22"/>
          <w:lang w:eastAsia="en-US"/>
        </w:rPr>
        <w:t xml:space="preserve">, специализирани и специални училища с отделни нормативи за институция и за ученик в дневна форма на обучение и </w:t>
      </w:r>
      <w:proofErr w:type="spellStart"/>
      <w:r w:rsidRPr="00FF7BAF">
        <w:rPr>
          <w:rFonts w:ascii="Times New Roman" w:eastAsia="Calibri" w:hAnsi="Times New Roman"/>
          <w:sz w:val="22"/>
          <w:szCs w:val="22"/>
          <w:lang w:eastAsia="en-US"/>
        </w:rPr>
        <w:t>дуална</w:t>
      </w:r>
      <w:proofErr w:type="spellEnd"/>
      <w:r w:rsidRPr="00FF7BAF">
        <w:rPr>
          <w:rFonts w:ascii="Times New Roman" w:eastAsia="Calibri" w:hAnsi="Times New Roman"/>
          <w:sz w:val="22"/>
          <w:szCs w:val="22"/>
          <w:lang w:eastAsia="en-US"/>
        </w:rPr>
        <w:t xml:space="preserve"> система на обучение;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 xml:space="preserve">норматив за ученик, записан в </w:t>
      </w:r>
      <w:proofErr w:type="spellStart"/>
      <w:r w:rsidRPr="00FF7BAF">
        <w:rPr>
          <w:rFonts w:ascii="Times New Roman" w:eastAsia="Calibri" w:hAnsi="Times New Roman"/>
          <w:sz w:val="22"/>
          <w:szCs w:val="22"/>
          <w:lang w:eastAsia="en-US"/>
        </w:rPr>
        <w:t>неспециализирано</w:t>
      </w:r>
      <w:proofErr w:type="spellEnd"/>
      <w:r w:rsidRPr="00FF7BAF">
        <w:rPr>
          <w:rFonts w:ascii="Times New Roman" w:eastAsia="Calibri" w:hAnsi="Times New Roman"/>
          <w:sz w:val="22"/>
          <w:szCs w:val="22"/>
          <w:lang w:eastAsia="en-US"/>
        </w:rPr>
        <w:t xml:space="preserve"> училище, обучаващ се в ЦСОП;</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средства за частни детски градини и частни училища, включени в системата на държавно финансиране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В стандартите по образование </w:t>
      </w:r>
      <w:r w:rsidRPr="00FF7BAF">
        <w:rPr>
          <w:rFonts w:ascii="Times New Roman" w:eastAsia="Calibri" w:hAnsi="Times New Roman"/>
          <w:b/>
          <w:i/>
          <w:sz w:val="22"/>
          <w:szCs w:val="22"/>
          <w:lang w:eastAsia="en-US"/>
        </w:rPr>
        <w:t>не се включват</w:t>
      </w:r>
      <w:r w:rsidRPr="00FF7BAF">
        <w:rPr>
          <w:rFonts w:ascii="Times New Roman" w:eastAsia="Calibri" w:hAnsi="Times New Roman"/>
          <w:sz w:val="22"/>
          <w:szCs w:val="22"/>
          <w:lang w:eastAsia="en-US"/>
        </w:rPr>
        <w:t xml:space="preserve"> средствата за стипендии на учениците, за познавателни книжки и учебници за децата от подготвителните групи и за учениците до VІІ клас, за закрила на децата с изявени дарби, за безплатния превоз на децата в задължителна предучилищна възраст и учениците, за компенсиране на транспортни разходи или за наем по месторабота на педагогическия персонал, за финансиране на здравни кабинети в училища и детски градини, както и средствата за физическа активност, физическо възпитание, спорт и спортно-туристическа дейност на деца и учащи в институции в системата на предучилищното и училищното образование. </w:t>
      </w:r>
    </w:p>
    <w:p w:rsidR="00FF7BAF" w:rsidRPr="00FF7BAF" w:rsidRDefault="00FF7BAF" w:rsidP="00FF7BAF">
      <w:pPr>
        <w:spacing w:before="0" w:after="0"/>
        <w:jc w:val="both"/>
        <w:rPr>
          <w:rFonts w:ascii="Times New Roman" w:eastAsia="Calibri" w:hAnsi="Times New Roman"/>
          <w:b/>
          <w:i/>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b/>
          <w:i/>
          <w:sz w:val="22"/>
          <w:szCs w:val="22"/>
          <w:lang w:eastAsia="en-US"/>
        </w:rPr>
        <w:t xml:space="preserve"> За първи път в стандартите за 2021 г. се включва норматив за подпомагане заплащането на </w:t>
      </w:r>
      <w:proofErr w:type="spellStart"/>
      <w:r w:rsidRPr="00FF7BAF">
        <w:rPr>
          <w:rFonts w:ascii="Times New Roman" w:eastAsia="Calibri" w:hAnsi="Times New Roman"/>
          <w:b/>
          <w:i/>
          <w:sz w:val="22"/>
          <w:szCs w:val="22"/>
          <w:lang w:eastAsia="en-US"/>
        </w:rPr>
        <w:t>такси,дължими</w:t>
      </w:r>
      <w:proofErr w:type="spellEnd"/>
      <w:r w:rsidRPr="00FF7BAF">
        <w:rPr>
          <w:rFonts w:ascii="Times New Roman" w:eastAsia="Calibri" w:hAnsi="Times New Roman"/>
          <w:b/>
          <w:i/>
          <w:sz w:val="22"/>
          <w:szCs w:val="22"/>
          <w:lang w:eastAsia="en-US"/>
        </w:rPr>
        <w:t xml:space="preserve"> от родителите, за дейностите по хранене на децата в задължителното предучилищно образование</w:t>
      </w:r>
      <w:r w:rsidRPr="00FF7BAF">
        <w:rPr>
          <w:rFonts w:ascii="Times New Roman" w:eastAsia="Calibri" w:hAnsi="Times New Roman"/>
          <w:i/>
          <w:sz w:val="22"/>
          <w:szCs w:val="22"/>
          <w:lang w:eastAsia="en-US"/>
        </w:rPr>
        <w:t>,</w:t>
      </w:r>
      <w:r w:rsidRPr="00FF7BAF">
        <w:rPr>
          <w:rFonts w:ascii="Times New Roman" w:eastAsia="Calibri" w:hAnsi="Times New Roman"/>
          <w:sz w:val="22"/>
          <w:szCs w:val="22"/>
          <w:lang w:eastAsia="en-US"/>
        </w:rPr>
        <w:t xml:space="preserve"> осъществявано от държавните и общинските детски градини и училища, извън финансираното от държавата,  съгласно чл. 283, ал. 9 от ЗПУО, като средствата се предоставят на първостепенните разпоредители с бюджет на базата на общия брой на децата в задължително предучилищно образование, записани в целодневна или полудневна организация в детски градини и училища. Условията и редът за пълно и/или частично подпомагане на заплащането на дължими от родителите такси за дейностите по хранене на децата в задължителното предучилищно образование, извън финансираното от държавата, се определят със: 1. наредбите по чл. 9 от Закона за местните данъци и такси - за общинските детски градини и училища; 2. акта по чл. 298, ал. 3, т. 2  от ЗПУО - за държавните детски градини и училища.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Първостепенният разпоредител с бюджет е длъжен да осигури пълно подпомагане на заплащането на такси, дължими от родителите за дейностите по хранене на децата в задължителното предучилищно образование, с не по-малко от 50 на сто от средствата по ал. 9 на чл. 283 от </w:t>
      </w:r>
      <w:proofErr w:type="spellStart"/>
      <w:r w:rsidRPr="00FF7BAF">
        <w:rPr>
          <w:rFonts w:ascii="Times New Roman" w:eastAsia="Calibri" w:hAnsi="Times New Roman"/>
          <w:sz w:val="22"/>
          <w:szCs w:val="22"/>
          <w:lang w:eastAsia="en-US"/>
        </w:rPr>
        <w:t>ЗПУО.Доколкото</w:t>
      </w:r>
      <w:proofErr w:type="spellEnd"/>
      <w:r w:rsidRPr="00FF7BAF">
        <w:rPr>
          <w:rFonts w:ascii="Times New Roman" w:eastAsia="Calibri" w:hAnsi="Times New Roman"/>
          <w:sz w:val="22"/>
          <w:szCs w:val="22"/>
          <w:lang w:eastAsia="en-US"/>
        </w:rPr>
        <w:t xml:space="preserve"> средствата от норматива за подпомагане заплащането на такси по чл. 283, ал. 9 от ЗПУО се предоставят на общините като обща субсидия за държавни дейности, разходите финансирани с тях следва да се отчитат като разходи за делегирани от държавата дейности.</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В ал.12 на същия член от закона става ясно, че държавата предоставя средства за родителите на деца от тригодишна възраст до постъпването им в I клас за компенсиране на разходите, пряко свързани с отглеждането и обучението им, когато:</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 1. детето не е прието за съответната учебна година поради липса на свободни места за целодневна или полудневна организация на предучилищното образование в държавна или общинска детска градина или училище, за които е кандидатствало, и </w:t>
      </w:r>
    </w:p>
    <w:p w:rsidR="00FF7BAF" w:rsidRPr="00FF7BAF" w:rsidRDefault="00FF7BAF" w:rsidP="00FF7BAF">
      <w:pPr>
        <w:spacing w:before="0" w:after="0"/>
        <w:jc w:val="both"/>
        <w:rPr>
          <w:rFonts w:ascii="Times New Roman" w:hAnsi="Times New Roman"/>
          <w:sz w:val="22"/>
          <w:szCs w:val="22"/>
        </w:rPr>
      </w:pPr>
      <w:r w:rsidRPr="00FF7BAF">
        <w:rPr>
          <w:rFonts w:ascii="Times New Roman" w:eastAsia="Calibri" w:hAnsi="Times New Roman"/>
          <w:sz w:val="22"/>
          <w:szCs w:val="22"/>
          <w:lang w:eastAsia="en-US"/>
        </w:rPr>
        <w:t>2. не е предложено от общината по местоживеене на детето друго равностойно място в общинска детска градина или училище.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Условията и редът за предоставяне и изплащане на средствата по ал. 12 се определят с наредба на Министерския съвет. С ПМС № 76 от 05.03.2021 г. бе приета НАРЕДБА за условията и реда за предоставяне и изплащане на средства от държавния бюджет за компенсиране на разходите, извършени от родителите за отглеждането и обучението на децата, които не са приети в държавни или общински детски градини или училища поради липса на свободни места (</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 xml:space="preserve">. ДВ,бр.20 от 9 март 2021 г.).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В дейност „Детски градини” се планират и отчитат средствата за обучението и възпитанието на децата в предучилищното образование по определените стандарти и по норматива за подпомагане на храненето.  С определените със стандартите средства от държавния бюджет се финансират изцяло разходите за персонал и присъща издръжка с изключение на разходите за медицински персонал и за храна за дейностите за задължителното предучилищно образование на децата до постъпването им в І клас, осъществявано в групи в детските градини. Разходите за отглеждането, възпитанието, социализацията и обучението на деца в </w:t>
      </w:r>
      <w:proofErr w:type="spellStart"/>
      <w:r w:rsidRPr="00FF7BAF">
        <w:rPr>
          <w:rFonts w:ascii="Times New Roman" w:eastAsia="Calibri" w:hAnsi="Times New Roman"/>
          <w:sz w:val="22"/>
          <w:szCs w:val="22"/>
          <w:lang w:eastAsia="en-US"/>
        </w:rPr>
        <w:t>яслени</w:t>
      </w:r>
      <w:proofErr w:type="spellEnd"/>
      <w:r w:rsidRPr="00FF7BAF">
        <w:rPr>
          <w:rFonts w:ascii="Times New Roman" w:eastAsia="Calibri" w:hAnsi="Times New Roman"/>
          <w:sz w:val="22"/>
          <w:szCs w:val="22"/>
          <w:lang w:eastAsia="en-US"/>
        </w:rPr>
        <w:t xml:space="preserve"> групи и на деца от 2 до 4-годишна възраст се финансират частично със средства от държавния бюджет и включват разходите за персонал, за социално-битово и културно обслужване, за квалификация и за представително облекло на педагогическите специалисти и разходите по Закона за здравословни и безопасни условия на труд.</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В дейност „Център за подкрепа за личностно развитие“ се планират и отчитат текущи разходи за заниманията по интереси, организирани от центровете за подкрепа за личностно развитие, а в дейност</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„Други дейности по образованието“ се планират и отчитат средствата от държавния бюджет за </w:t>
      </w:r>
      <w:r w:rsidRPr="00FF7BAF">
        <w:rPr>
          <w:rFonts w:ascii="Times New Roman" w:eastAsia="Calibri" w:hAnsi="Times New Roman"/>
          <w:b/>
          <w:i/>
          <w:sz w:val="22"/>
          <w:szCs w:val="22"/>
          <w:lang w:eastAsia="en-US"/>
        </w:rPr>
        <w:t>безплатен транспорт на децата</w:t>
      </w:r>
      <w:r w:rsidRPr="00FF7BAF">
        <w:rPr>
          <w:rFonts w:ascii="Times New Roman" w:eastAsia="Calibri" w:hAnsi="Times New Roman"/>
          <w:sz w:val="22"/>
          <w:szCs w:val="22"/>
          <w:lang w:eastAsia="en-US"/>
        </w:rPr>
        <w:t xml:space="preserve"> в задължителна предучилищна възраст и за учениците, и по </w:t>
      </w:r>
      <w:r w:rsidRPr="00FF7BAF">
        <w:rPr>
          <w:rFonts w:ascii="Times New Roman" w:eastAsia="Calibri" w:hAnsi="Times New Roman"/>
          <w:sz w:val="22"/>
          <w:szCs w:val="22"/>
          <w:lang w:eastAsia="en-US"/>
        </w:rPr>
        <w:lastRenderedPageBreak/>
        <w:t xml:space="preserve">допълващ стандарт за </w:t>
      </w:r>
      <w:r w:rsidRPr="00FF7BAF">
        <w:rPr>
          <w:rFonts w:ascii="Times New Roman" w:eastAsia="Calibri" w:hAnsi="Times New Roman"/>
          <w:b/>
          <w:i/>
          <w:sz w:val="22"/>
          <w:szCs w:val="22"/>
          <w:lang w:eastAsia="en-US"/>
        </w:rPr>
        <w:t>поддръжка на автобуси</w:t>
      </w:r>
      <w:r w:rsidRPr="00FF7BAF">
        <w:rPr>
          <w:rFonts w:ascii="Times New Roman" w:eastAsia="Calibri" w:hAnsi="Times New Roman"/>
          <w:sz w:val="22"/>
          <w:szCs w:val="22"/>
          <w:lang w:eastAsia="en-US"/>
        </w:rPr>
        <w:t xml:space="preserve">, предоставени на училища – за персонал (шофьори на училищните автобуси), разходи за горива, винетки, застраховки, ремонт и др. В същата бюджетна дейност се отчитат средствата за занимания по интереси за дейности извършвани от първостепенните разпоредители с бюджет в съответствие с чл. 16в от </w:t>
      </w:r>
      <w:proofErr w:type="spellStart"/>
      <w:r w:rsidRPr="00FF7BAF">
        <w:rPr>
          <w:rFonts w:ascii="Times New Roman" w:eastAsia="Calibri" w:hAnsi="Times New Roman"/>
          <w:sz w:val="22"/>
          <w:szCs w:val="22"/>
          <w:lang w:eastAsia="en-US"/>
        </w:rPr>
        <w:t>НФИСПУО.Когато</w:t>
      </w:r>
      <w:proofErr w:type="spellEnd"/>
      <w:r w:rsidRPr="00FF7BAF">
        <w:rPr>
          <w:rFonts w:ascii="Times New Roman" w:eastAsia="Calibri" w:hAnsi="Times New Roman"/>
          <w:sz w:val="22"/>
          <w:szCs w:val="22"/>
          <w:lang w:eastAsia="en-US"/>
        </w:rPr>
        <w:t xml:space="preserve"> ПРБ прехвърля разходните ангажименти на училището (напр. разходите за възнаграждения и осигуровки на шофьорите на училищни автобуси) по дадена дейност, които са отговорност на ПРБ, той следва да прехвърли и средствата, които е получил за тази </w:t>
      </w:r>
      <w:proofErr w:type="spellStart"/>
      <w:r w:rsidRPr="00FF7BAF">
        <w:rPr>
          <w:rFonts w:ascii="Times New Roman" w:eastAsia="Calibri" w:hAnsi="Times New Roman"/>
          <w:sz w:val="22"/>
          <w:szCs w:val="22"/>
          <w:lang w:eastAsia="en-US"/>
        </w:rPr>
        <w:t>цел.Средствата</w:t>
      </w:r>
      <w:proofErr w:type="spellEnd"/>
      <w:r w:rsidRPr="00FF7BAF">
        <w:rPr>
          <w:rFonts w:ascii="Times New Roman" w:eastAsia="Calibri" w:hAnsi="Times New Roman"/>
          <w:sz w:val="22"/>
          <w:szCs w:val="22"/>
          <w:lang w:eastAsia="en-US"/>
        </w:rPr>
        <w:t xml:space="preserve"> </w:t>
      </w:r>
      <w:r w:rsidRPr="00FF7BAF">
        <w:rPr>
          <w:rFonts w:ascii="Times New Roman" w:eastAsia="Calibri" w:hAnsi="Times New Roman"/>
          <w:b/>
          <w:i/>
          <w:sz w:val="22"/>
          <w:szCs w:val="22"/>
          <w:lang w:eastAsia="en-US"/>
        </w:rPr>
        <w:t>за закупуване на учебници и учебни помагала</w:t>
      </w:r>
      <w:r w:rsidRPr="00FF7BAF">
        <w:rPr>
          <w:rFonts w:ascii="Times New Roman" w:eastAsia="Calibri" w:hAnsi="Times New Roman"/>
          <w:sz w:val="22"/>
          <w:szCs w:val="22"/>
          <w:lang w:eastAsia="en-US"/>
        </w:rPr>
        <w:t xml:space="preserve">, за компенсиране на разходите за транспорт или за наем по месторабота, както и за работа с деца и ученици от уязвими групи се предоставят на общините по реда на чл. 109, ал. 3 от ЗПФ въз основа на акт на Министерския съвет, предложен от министъра на образованието и науката.  Предвидените в централния бюджет </w:t>
      </w:r>
      <w:r w:rsidRPr="00FF7BAF">
        <w:rPr>
          <w:rFonts w:ascii="Times New Roman" w:eastAsia="Calibri" w:hAnsi="Times New Roman"/>
          <w:b/>
          <w:i/>
          <w:sz w:val="22"/>
          <w:szCs w:val="22"/>
          <w:lang w:eastAsia="en-US"/>
        </w:rPr>
        <w:t>средства за закрила на деца с изявени дарби</w:t>
      </w:r>
      <w:r w:rsidRPr="00FF7BAF">
        <w:rPr>
          <w:rFonts w:ascii="Times New Roman" w:eastAsia="Calibri" w:hAnsi="Times New Roman"/>
          <w:sz w:val="22"/>
          <w:szCs w:val="22"/>
          <w:lang w:eastAsia="en-US"/>
        </w:rPr>
        <w:t xml:space="preserve"> съгласно Наредбата за условията и реда за осъществяване на закрила на деца с изявени дарби, приета с ПМС № 298 от 2003 г., се предоставят по бюджетите на общините, изпълняващи мерки за закрила на децата с дарби, по реда на чл. 109, ал. 3 от ЗПФ въз основа на акт на Министерския съвет. Съгласно чл. 286, ал. 3 от ЗПУО средствата от държавния бюджет </w:t>
      </w:r>
      <w:r w:rsidRPr="00FF7BAF">
        <w:rPr>
          <w:rFonts w:ascii="Times New Roman" w:eastAsia="Calibri" w:hAnsi="Times New Roman"/>
          <w:b/>
          <w:i/>
          <w:sz w:val="22"/>
          <w:szCs w:val="22"/>
          <w:lang w:eastAsia="en-US"/>
        </w:rPr>
        <w:t>за национални програми</w:t>
      </w:r>
      <w:r w:rsidRPr="00FF7BAF">
        <w:rPr>
          <w:rFonts w:ascii="Times New Roman" w:eastAsia="Calibri" w:hAnsi="Times New Roman"/>
          <w:sz w:val="22"/>
          <w:szCs w:val="22"/>
          <w:lang w:eastAsia="en-US"/>
        </w:rPr>
        <w:t xml:space="preserve"> за развитие на образованието се одобряват от Министерския съвет. Те се предоставят по бюджетите на общините по реда на чл. 109, ал. 3 от ЗПФ.</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Положителните аспекти на разпределението на средствата от държавния бюджет чрез стандарти е, че се създават ясни правила на разпределението им между  ПРБ, които могат да планират по-точно средствата си по бюджета за съответната календарна година във функция „Образование“ и да ги разпределят прозрачно и справедливо между образователните институции по обективни критерии, заложени във формулите им.</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1E0A33">
      <w:pPr>
        <w:pStyle w:val="ListParagraph"/>
        <w:numPr>
          <w:ilvl w:val="1"/>
          <w:numId w:val="1"/>
        </w:numPr>
        <w:spacing w:before="0" w:after="0"/>
        <w:jc w:val="both"/>
        <w:rPr>
          <w:rFonts w:ascii="Times New Roman" w:eastAsia="Calibri" w:hAnsi="Times New Roman"/>
          <w:b/>
          <w:sz w:val="22"/>
          <w:szCs w:val="22"/>
          <w:lang w:eastAsia="en-US"/>
        </w:rPr>
      </w:pPr>
      <w:r w:rsidRPr="00FF7BAF">
        <w:rPr>
          <w:rFonts w:ascii="Times New Roman" w:eastAsia="Calibri" w:hAnsi="Times New Roman"/>
          <w:b/>
          <w:sz w:val="22"/>
          <w:szCs w:val="22"/>
          <w:lang w:eastAsia="en-US"/>
        </w:rPr>
        <w:t xml:space="preserve">Формулите – основен разпределителен механизъм на местно ниво </w:t>
      </w:r>
    </w:p>
    <w:p w:rsidR="00FF7BAF" w:rsidRPr="00FF7BAF" w:rsidRDefault="00FF7BAF" w:rsidP="00FF7BAF">
      <w:pPr>
        <w:pStyle w:val="ListParagraph"/>
        <w:spacing w:before="0" w:after="0"/>
        <w:ind w:left="765"/>
        <w:jc w:val="both"/>
        <w:rPr>
          <w:rFonts w:ascii="Times New Roman" w:eastAsia="Calibri" w:hAnsi="Times New Roman"/>
          <w:b/>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Първостепенните разпоредители с бюджет разпределят получените средства от държавния бюджет по стандартите и нормативите за финансиране на дейностите за възпитанието и обучението на децата и учениците в детските градини, училищата и ЦСОП, както и за осигуряване на общежития и целодневна организация на учебния ден въз основа на утвърдени от тях формули, независимо дали институциите прилагат система на делегиран бюджет.</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Финансирането на формула включва няколко етапа: уточняване на общата субсидия на средствата за образование; уточняване от финансиращия орган бюджетната субсидия, която ще се разпределя между училищата по определената формула и за кои разходи ще се делегират средства и за кои – не, разработване на основните елементи на формулата и предлагане на финансиращия орган за утвърждаване. За всеки елемент от формулата се определя теглови коефициент.</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Получените средства от държавния бюджет се разпределят на 100%  от   първостепенните разпоредители с бюджет между образователните институции по ФОРМУЛА, включваща: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ОСНОВЕН  КОМПОНЕНТ (ОК) – не по-малко от 85 %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ДОПЪЛНИТЕЛНИ  КОМПОНЕНТИ (ДК) – до 15%, в т. ч.  резерв за нерегулярни разходи  - до 2 %.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ПРБ може да утвърди формула, която е изцяло базирана на основните компоненти, т.е. да не включва допълнителни компоненти. Когато формулата е изцяло базирана на основните компоненти, стандартът за дейността се включва с пълния си размер във формулата. Основните компоненти на формулата са задължителни.</w:t>
      </w:r>
    </w:p>
    <w:p w:rsidR="00FF7BAF" w:rsidRPr="00FF7BAF" w:rsidRDefault="00FF7BAF" w:rsidP="00FF7BAF">
      <w:pPr>
        <w:spacing w:before="0" w:after="160" w:line="259" w:lineRule="auto"/>
        <w:rPr>
          <w:rFonts w:ascii="Times New Roman" w:eastAsia="Calibri" w:hAnsi="Times New Roman"/>
          <w:sz w:val="22"/>
          <w:szCs w:val="22"/>
          <w:lang w:eastAsia="en-US"/>
        </w:rPr>
      </w:pPr>
      <w:r w:rsidRPr="00FF7BAF">
        <w:rPr>
          <w:rFonts w:ascii="Times New Roman" w:eastAsia="Calibri" w:hAnsi="Times New Roman"/>
          <w:sz w:val="22"/>
          <w:szCs w:val="22"/>
          <w:lang w:eastAsia="en-US"/>
        </w:rPr>
        <w:t>Целта на допълнителните компоненти е да се даде възможност за допълнителна диференциация на стандартите на ниво ПРБ.</w:t>
      </w:r>
    </w:p>
    <w:p w:rsidR="00FF7BAF" w:rsidRPr="00FF7BAF" w:rsidRDefault="00FF7BAF" w:rsidP="00FF7BAF">
      <w:pPr>
        <w:spacing w:before="0" w:after="160" w:line="259" w:lineRule="auto"/>
        <w:rPr>
          <w:rFonts w:ascii="Times New Roman" w:eastAsia="Calibri" w:hAnsi="Times New Roman"/>
          <w:sz w:val="22"/>
          <w:szCs w:val="22"/>
          <w:lang w:eastAsia="en-US"/>
        </w:rPr>
      </w:pPr>
      <w:r w:rsidRPr="00FF7BAF">
        <w:rPr>
          <w:rFonts w:ascii="Times New Roman" w:eastAsia="Calibri" w:hAnsi="Times New Roman"/>
          <w:sz w:val="22"/>
          <w:szCs w:val="22"/>
          <w:lang w:eastAsia="en-US"/>
        </w:rPr>
        <w:lastRenderedPageBreak/>
        <w:t xml:space="preserve">Разработването на формулите за разпределение на бюджетните средства между училищата включва следните основни етапи и дейности: </w:t>
      </w:r>
    </w:p>
    <w:p w:rsidR="00FF7BAF" w:rsidRPr="00FF7BAF" w:rsidRDefault="00FF7BAF" w:rsidP="00FF7BAF">
      <w:pPr>
        <w:spacing w:before="0" w:after="160" w:line="259" w:lineRule="auto"/>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1. Уточняване броя на учениците по училища; </w:t>
      </w:r>
    </w:p>
    <w:p w:rsidR="00FF7BAF" w:rsidRPr="00FF7BAF" w:rsidRDefault="00FF7BAF" w:rsidP="00FF7BAF">
      <w:pPr>
        <w:spacing w:before="0" w:after="160" w:line="259" w:lineRule="auto"/>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2. Анализ на образователната система и извеждане на възможните допълнителни компоненти на формулата; </w:t>
      </w:r>
    </w:p>
    <w:p w:rsidR="00FF7BAF" w:rsidRPr="00FF7BAF" w:rsidRDefault="00FF7BAF" w:rsidP="00FF7BAF">
      <w:pPr>
        <w:spacing w:before="0" w:after="160" w:line="259" w:lineRule="auto"/>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3. Анализ на възможните решения за разпределение на бюджетните парични средства между училищата; </w:t>
      </w:r>
    </w:p>
    <w:p w:rsidR="00FF7BAF" w:rsidRPr="00FF7BAF" w:rsidRDefault="00FF7BAF" w:rsidP="00FF7BAF">
      <w:pPr>
        <w:spacing w:before="0" w:after="160" w:line="259" w:lineRule="auto"/>
        <w:rPr>
          <w:rFonts w:ascii="Times New Roman" w:eastAsia="Calibri" w:hAnsi="Times New Roman"/>
          <w:sz w:val="22"/>
          <w:szCs w:val="22"/>
          <w:lang w:eastAsia="en-US"/>
        </w:rPr>
      </w:pPr>
      <w:r w:rsidRPr="00FF7BAF">
        <w:rPr>
          <w:rFonts w:ascii="Times New Roman" w:eastAsia="Calibri" w:hAnsi="Times New Roman"/>
          <w:sz w:val="22"/>
          <w:szCs w:val="22"/>
          <w:lang w:eastAsia="en-US"/>
        </w:rPr>
        <w:t>4. Обсъждане на различните варианти за формула</w:t>
      </w:r>
    </w:p>
    <w:p w:rsidR="00FF7BAF" w:rsidRPr="00FF7BAF" w:rsidRDefault="00FF7BAF" w:rsidP="00FF7BAF">
      <w:pPr>
        <w:spacing w:before="0" w:after="160" w:line="259" w:lineRule="auto"/>
        <w:rPr>
          <w:rFonts w:ascii="Times New Roman" w:eastAsia="Calibri" w:hAnsi="Times New Roman"/>
          <w:sz w:val="22"/>
          <w:szCs w:val="22"/>
          <w:lang w:eastAsia="en-US"/>
        </w:rPr>
      </w:pPr>
      <w:r w:rsidRPr="00FF7BAF">
        <w:rPr>
          <w:rFonts w:ascii="Times New Roman" w:eastAsia="Calibri" w:hAnsi="Times New Roman"/>
          <w:sz w:val="22"/>
          <w:szCs w:val="22"/>
          <w:lang w:eastAsia="en-US"/>
        </w:rPr>
        <w:t>Общ вид на формулите: СФ = (m%*ОК + m%*ДК)*РК = 100%</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Утвърждаването на формулата би трябвало да е придружено с финансова обосновка на избора на всеки елемент, която да е публично достъпна. Екипът, който извършва обосновката би трябвало да е съставен от професионалисти от различни специалности, така че средствата да се разпределят реално и справедливо и едновременно с това да е сигурно, че ще осигурят нормален учебен процес.</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Формулите се утвърждават от ПРБ до 28 февруари със заповед на кмета, която се качва на интернет сайта на общината!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Утвърдените формули не могат да бъдат променяни по време на бюджетната година. ПРБ могат да правят корекции в разпределението на средствата по формула само при промяна на стойността на някои от елементите на формулата – размер на стандартите, брой на децата или учениците или за компенсиране на разлики между разчетения брой деца и ученици и данните в НЕИСПУО. В тази връзка ПРБ е задължен с утвърждаването на формулата да утвърди и правила за промени в разпределението на средствата между образователните институции при изменение на броя на децата и учениците или стойностите по някои от другите показатели, въз основа на които се разпределят средствата по формула. ПРБ преценява честотата на извършване на корекциите в разпределянето.</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Първостепенните разпоредители с бюджет определят и утвърждават бюджет на всяка институция в системата на предучилищното и училищното образование като включват освен средствата по формула, така и допълващите стандарти и нормативи за дете или ученик.</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pStyle w:val="Heading1"/>
        <w:rPr>
          <w:rFonts w:eastAsia="Calibri"/>
          <w:lang w:eastAsia="en-US"/>
        </w:rPr>
      </w:pPr>
      <w:bookmarkStart w:id="5" w:name="_Toc79417752"/>
      <w:r w:rsidRPr="00FF7BAF">
        <w:rPr>
          <w:rFonts w:eastAsia="Calibri"/>
          <w:lang w:eastAsia="en-US"/>
        </w:rPr>
        <w:t>СЪЩНОСТ И КОМПОНЕНТИ НА ДЕЛЕГИРАНИЯ БЮДЖЕТ. СТРАНИ В БЮДЖЕТНИЯ ПРОЦЕС</w:t>
      </w:r>
      <w:bookmarkEnd w:id="5"/>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По своята същност бюджетът на детската градина/училището представлява делегиран бюджет и според определението, дадено в § 1, т. 10 от Допълнителните разпоредби на Закона за публичните финанси (ЗПФ) (</w:t>
      </w:r>
      <w:proofErr w:type="spellStart"/>
      <w:r w:rsidRPr="00FF7BAF">
        <w:rPr>
          <w:rFonts w:ascii="Times New Roman" w:eastAsia="Calibri" w:hAnsi="Times New Roman"/>
          <w:sz w:val="22"/>
          <w:szCs w:val="22"/>
          <w:lang w:eastAsia="en-US"/>
        </w:rPr>
        <w:t>обн</w:t>
      </w:r>
      <w:proofErr w:type="spellEnd"/>
      <w:r w:rsidRPr="00FF7BAF">
        <w:rPr>
          <w:rFonts w:ascii="Times New Roman" w:eastAsia="Calibri" w:hAnsi="Times New Roman"/>
          <w:sz w:val="22"/>
          <w:szCs w:val="22"/>
          <w:lang w:eastAsia="en-US"/>
        </w:rPr>
        <w:t>., ДВ, бр. 15 от 15.02.2013 г., в сила от 1.01.2014 г., последно изм. и доп. ДВ, бр. 91 от 14.11.2017 г.), това е „бюджет на второстепенен или от по-ниска степен разпоредител с бюджет, за който правото за промени в разходите е предоставено на съответния разпоредител с бюджет по силата или въз основа на закон“. Такъв закон по смисъла на ЗПФ се явява Законът за предучилищното и училищното образование (ЗПУО).</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При делегирания бюджет образователната институция е относително самостоятелна структура, а директорът има делегирани управленски правомощия да взема решения за разпореждането с финансовите средства на институцията в рамките както на националната нормативната уредба, така и на нормативната рамка на първостепенния разпоредител с бюджет, която включва наредби, решения, заповеди, указания и др.</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lastRenderedPageBreak/>
        <w:t>Делегираният бюджет на образователната институция е документ на политиката на организацията, своеобразна финансова план-сметка, в която се търси баланс между потребности и ресурси. Бюджетът  се състои от две основни части:</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приходна част;</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разходна част.</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Приходната част на делегирания бюджет на  институцията се формира от:</w:t>
      </w:r>
    </w:p>
    <w:p w:rsidR="00FF7BAF" w:rsidRPr="00FF7BAF" w:rsidRDefault="00FF7BAF" w:rsidP="001E0A33">
      <w:pPr>
        <w:pStyle w:val="ListParagraph"/>
        <w:numPr>
          <w:ilvl w:val="0"/>
          <w:numId w:val="8"/>
        </w:numPr>
        <w:spacing w:before="0" w:after="0"/>
        <w:jc w:val="both"/>
        <w:rPr>
          <w:rFonts w:ascii="Times New Roman" w:eastAsia="Calibri" w:hAnsi="Times New Roman"/>
          <w:sz w:val="22"/>
          <w:szCs w:val="22"/>
          <w:lang w:eastAsia="en-US"/>
        </w:rPr>
      </w:pPr>
      <w:r w:rsidRPr="00FF7BAF">
        <w:rPr>
          <w:rFonts w:ascii="Times New Roman" w:eastAsia="Calibri" w:hAnsi="Times New Roman"/>
          <w:b/>
          <w:sz w:val="22"/>
          <w:szCs w:val="22"/>
          <w:lang w:eastAsia="en-US"/>
        </w:rPr>
        <w:t>Трансфери от държавния бюджет</w:t>
      </w:r>
      <w:r w:rsidRPr="00FF7BAF">
        <w:rPr>
          <w:rFonts w:ascii="Times New Roman" w:eastAsia="Calibri" w:hAnsi="Times New Roman"/>
          <w:sz w:val="22"/>
          <w:szCs w:val="22"/>
          <w:lang w:eastAsia="en-US"/>
        </w:rPr>
        <w:t xml:space="preserve">, получени от първостепенните разпоредители с бюджета (ПРБ) на база на стандарти за делегираните от държавата дейности с натурални и стойностни показатели, определяни ежегодно с акт на Министерския съвет, и разпределяни от финансиращия орган между образователните институции въз основа на формули. </w:t>
      </w:r>
    </w:p>
    <w:p w:rsidR="00FF7BAF" w:rsidRPr="00FF7BAF" w:rsidRDefault="00FF7BAF" w:rsidP="001E0A33">
      <w:pPr>
        <w:pStyle w:val="ListParagraph"/>
        <w:numPr>
          <w:ilvl w:val="0"/>
          <w:numId w:val="8"/>
        </w:numPr>
        <w:spacing w:before="0" w:after="0"/>
        <w:jc w:val="both"/>
        <w:rPr>
          <w:rFonts w:ascii="Times New Roman" w:eastAsia="Calibri" w:hAnsi="Times New Roman"/>
          <w:sz w:val="22"/>
          <w:szCs w:val="22"/>
          <w:lang w:eastAsia="en-US"/>
        </w:rPr>
      </w:pPr>
      <w:r w:rsidRPr="00FF7BAF">
        <w:rPr>
          <w:rFonts w:ascii="Times New Roman" w:eastAsia="Calibri" w:hAnsi="Times New Roman"/>
          <w:b/>
          <w:sz w:val="22"/>
          <w:szCs w:val="22"/>
          <w:lang w:eastAsia="en-US"/>
        </w:rPr>
        <w:t>Собствени приходи</w:t>
      </w:r>
      <w:r w:rsidRPr="00FF7BAF">
        <w:rPr>
          <w:rFonts w:ascii="Times New Roman" w:eastAsia="Calibri" w:hAnsi="Times New Roman"/>
          <w:sz w:val="22"/>
          <w:szCs w:val="22"/>
          <w:lang w:eastAsia="en-US"/>
        </w:rPr>
        <w:t xml:space="preserve"> на образователната институция (приходи от наем на недвижими имоти и движими вещи; приходи от собствени земеделски земи и гори; приходи от права на интелектуална собственост; приходи от реализация на продукция и услуги от практическо обучение; приходи от дарения и завещания; други приходи, определени с нормативен акт-например от такси за валидиране на компетентности, за провеждане на курсове за ограмотяване на възрастни, обучение на граждани от трети държави).</w:t>
      </w:r>
    </w:p>
    <w:p w:rsidR="00FF7BAF" w:rsidRPr="00FF7BAF" w:rsidRDefault="00FF7BAF" w:rsidP="001E0A33">
      <w:pPr>
        <w:pStyle w:val="ListParagraph"/>
        <w:numPr>
          <w:ilvl w:val="0"/>
          <w:numId w:val="8"/>
        </w:numPr>
        <w:spacing w:before="0" w:after="0"/>
        <w:jc w:val="both"/>
        <w:rPr>
          <w:rFonts w:ascii="Times New Roman" w:eastAsia="Calibri" w:hAnsi="Times New Roman"/>
          <w:sz w:val="22"/>
          <w:szCs w:val="22"/>
          <w:lang w:eastAsia="en-US"/>
        </w:rPr>
      </w:pPr>
      <w:r w:rsidRPr="00FF7BAF">
        <w:rPr>
          <w:rFonts w:ascii="Times New Roman" w:eastAsia="Calibri" w:hAnsi="Times New Roman"/>
          <w:b/>
          <w:sz w:val="22"/>
          <w:szCs w:val="22"/>
          <w:lang w:eastAsia="en-US"/>
        </w:rPr>
        <w:t>Преходни остатъци</w:t>
      </w:r>
      <w:r w:rsidRPr="00FF7BAF">
        <w:rPr>
          <w:rFonts w:ascii="Times New Roman" w:eastAsia="Calibri" w:hAnsi="Times New Roman"/>
          <w:sz w:val="22"/>
          <w:szCs w:val="22"/>
          <w:lang w:eastAsia="en-US"/>
        </w:rPr>
        <w:t xml:space="preserve"> от предходни години (т.е. установеното към края на предходната година превишение на постъпленията над плащани- ята по бюджета на образователната институция).</w:t>
      </w:r>
    </w:p>
    <w:p w:rsidR="00FF7BAF" w:rsidRPr="00FF7BAF" w:rsidRDefault="00FF7BAF" w:rsidP="001E0A33">
      <w:pPr>
        <w:pStyle w:val="ListParagraph"/>
        <w:numPr>
          <w:ilvl w:val="0"/>
          <w:numId w:val="8"/>
        </w:numPr>
        <w:spacing w:before="0" w:after="0"/>
        <w:jc w:val="both"/>
        <w:rPr>
          <w:rFonts w:ascii="Times New Roman" w:eastAsia="Calibri" w:hAnsi="Times New Roman"/>
          <w:sz w:val="22"/>
          <w:szCs w:val="22"/>
          <w:lang w:eastAsia="en-US"/>
        </w:rPr>
      </w:pPr>
      <w:r w:rsidRPr="00FF7BAF">
        <w:rPr>
          <w:rFonts w:ascii="Times New Roman" w:eastAsia="Calibri" w:hAnsi="Times New Roman"/>
          <w:b/>
          <w:sz w:val="22"/>
          <w:szCs w:val="22"/>
          <w:lang w:eastAsia="en-US"/>
        </w:rPr>
        <w:t>Трансфери от общинския бюджет</w:t>
      </w:r>
      <w:r w:rsidRPr="00FF7BAF">
        <w:rPr>
          <w:rFonts w:ascii="Times New Roman" w:eastAsia="Calibri" w:hAnsi="Times New Roman"/>
          <w:sz w:val="22"/>
          <w:szCs w:val="22"/>
          <w:lang w:eastAsia="en-US"/>
        </w:rPr>
        <w:t xml:space="preserve"> -средства за местни дейности по образованието (напр. за организиране на </w:t>
      </w:r>
      <w:proofErr w:type="spellStart"/>
      <w:r w:rsidRPr="00FF7BAF">
        <w:rPr>
          <w:rFonts w:ascii="Times New Roman" w:eastAsia="Calibri" w:hAnsi="Times New Roman"/>
          <w:sz w:val="22"/>
          <w:szCs w:val="22"/>
          <w:lang w:eastAsia="en-US"/>
        </w:rPr>
        <w:t>столово</w:t>
      </w:r>
      <w:proofErr w:type="spellEnd"/>
      <w:r w:rsidRPr="00FF7BAF">
        <w:rPr>
          <w:rFonts w:ascii="Times New Roman" w:eastAsia="Calibri" w:hAnsi="Times New Roman"/>
          <w:sz w:val="22"/>
          <w:szCs w:val="22"/>
          <w:lang w:eastAsia="en-US"/>
        </w:rPr>
        <w:t xml:space="preserve"> хранене, сигурност и охрана или реализирането на други местни политики) и допълнителни средства по решение на финансиращия орган (целеви средства от бюджета на ПРБ, обикновено за основни и/ или аварийни ремонти, както и други капиталови разходи или ДМА, които са приети с решение на Общинския съвет). Тук се включват и дължими към бюджета на детската градина/училището средства, </w:t>
      </w:r>
      <w:proofErr w:type="spellStart"/>
      <w:r w:rsidRPr="00FF7BAF">
        <w:rPr>
          <w:rFonts w:ascii="Times New Roman" w:eastAsia="Calibri" w:hAnsi="Times New Roman"/>
          <w:sz w:val="22"/>
          <w:szCs w:val="22"/>
          <w:lang w:eastAsia="en-US"/>
        </w:rPr>
        <w:t>непреведени</w:t>
      </w:r>
      <w:proofErr w:type="spellEnd"/>
      <w:r w:rsidRPr="00FF7BAF">
        <w:rPr>
          <w:rFonts w:ascii="Times New Roman" w:eastAsia="Calibri" w:hAnsi="Times New Roman"/>
          <w:sz w:val="22"/>
          <w:szCs w:val="22"/>
          <w:lang w:eastAsia="en-US"/>
        </w:rPr>
        <w:t xml:space="preserve"> от финансиращия орган към края на предходната година.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В структурата на разходната част на делегирания бюджет се включват: </w:t>
      </w:r>
    </w:p>
    <w:p w:rsidR="00FF7BAF" w:rsidRPr="00FF7BAF" w:rsidRDefault="00FF7BAF" w:rsidP="001E0A33">
      <w:pPr>
        <w:pStyle w:val="ListParagraph"/>
        <w:numPr>
          <w:ilvl w:val="0"/>
          <w:numId w:val="9"/>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Разходи за персонал.</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Трудови възнаграждения на персонала;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Задължителни осигурителни вноски</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СБКО (когато се изплаща като трудово възнаграждение)</w:t>
      </w:r>
    </w:p>
    <w:p w:rsidR="00FF7BAF" w:rsidRPr="00FF7BAF" w:rsidRDefault="00FF7BAF" w:rsidP="001E0A33">
      <w:pPr>
        <w:pStyle w:val="ListParagraph"/>
        <w:numPr>
          <w:ilvl w:val="0"/>
          <w:numId w:val="9"/>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Разходи за присъща издръжка.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Всички текущи разходи, необходими за реализиране на дейността по обучение.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Целта: да се гарантират оптимални условия за провеждане на образователния процес, при които ползвателите на услугата  и персонала  да се чувстват комфортно.</w:t>
      </w:r>
    </w:p>
    <w:p w:rsidR="00FF7BAF" w:rsidRPr="00FF7BAF" w:rsidRDefault="00FF7BAF" w:rsidP="001E0A33">
      <w:pPr>
        <w:pStyle w:val="ListParagraph"/>
        <w:numPr>
          <w:ilvl w:val="0"/>
          <w:numId w:val="9"/>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Разходи за капиталови разходи и ДМА  </w:t>
      </w:r>
    </w:p>
    <w:p w:rsidR="00FF7BAF" w:rsidRPr="00FF7BAF" w:rsidRDefault="00FF7BAF" w:rsidP="00FF7BAF">
      <w:pPr>
        <w:pStyle w:val="ListParagraph"/>
        <w:spacing w:before="0" w:after="0"/>
        <w:jc w:val="both"/>
        <w:rPr>
          <w:rFonts w:ascii="Times New Roman" w:eastAsia="Calibri" w:hAnsi="Times New Roman"/>
          <w:sz w:val="22"/>
          <w:szCs w:val="22"/>
          <w:lang w:eastAsia="en-US"/>
        </w:rPr>
      </w:pPr>
    </w:p>
    <w:p w:rsidR="00FF7BAF" w:rsidRPr="00FF7BAF" w:rsidRDefault="00FF7BAF" w:rsidP="00FF7BAF">
      <w:pPr>
        <w:pStyle w:val="Heading1"/>
        <w:rPr>
          <w:rFonts w:eastAsia="Calibri"/>
          <w:lang w:eastAsia="en-US"/>
        </w:rPr>
      </w:pPr>
      <w:bookmarkStart w:id="6" w:name="_Toc79417753"/>
      <w:r w:rsidRPr="00FF7BAF">
        <w:rPr>
          <w:rFonts w:eastAsia="Calibri"/>
          <w:lang w:eastAsia="en-US"/>
        </w:rPr>
        <w:t>ДОПЪЛНИТЕЛНИ ЦЕЛЕВИ СРЕДСТВА</w:t>
      </w:r>
      <w:bookmarkEnd w:id="6"/>
      <w:r w:rsidRPr="00FF7BAF">
        <w:rPr>
          <w:rFonts w:eastAsia="Calibri"/>
          <w:lang w:eastAsia="en-US"/>
        </w:rPr>
        <w:t xml:space="preserve"> </w:t>
      </w:r>
    </w:p>
    <w:p w:rsidR="00FF7BAF" w:rsidRDefault="00FF7BAF" w:rsidP="00FF7BAF">
      <w:pPr>
        <w:spacing w:before="0" w:after="0"/>
        <w:jc w:val="both"/>
        <w:rPr>
          <w:rFonts w:ascii="Times New Roman" w:eastAsia="Calibri" w:hAnsi="Times New Roman"/>
          <w:b/>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Pr>
          <w:rFonts w:ascii="Times New Roman" w:eastAsia="Calibri" w:hAnsi="Times New Roman"/>
          <w:b/>
          <w:sz w:val="22"/>
          <w:szCs w:val="22"/>
          <w:lang w:eastAsia="en-US"/>
        </w:rPr>
        <w:t>6</w:t>
      </w:r>
      <w:r w:rsidRPr="00FF7BAF">
        <w:rPr>
          <w:rFonts w:ascii="Times New Roman" w:eastAsia="Calibri" w:hAnsi="Times New Roman"/>
          <w:b/>
          <w:sz w:val="22"/>
          <w:szCs w:val="22"/>
          <w:lang w:eastAsia="en-US"/>
        </w:rPr>
        <w:t>.1</w:t>
      </w:r>
      <w:r w:rsidRPr="00FF7BAF">
        <w:rPr>
          <w:rFonts w:ascii="Times New Roman" w:eastAsia="Calibri" w:hAnsi="Times New Roman"/>
          <w:sz w:val="22"/>
          <w:szCs w:val="22"/>
          <w:lang w:eastAsia="en-US"/>
        </w:rPr>
        <w:t xml:space="preserve"> </w:t>
      </w:r>
      <w:r w:rsidRPr="00FF7BAF">
        <w:rPr>
          <w:rFonts w:ascii="Times New Roman" w:eastAsia="Calibri" w:hAnsi="Times New Roman"/>
          <w:b/>
          <w:sz w:val="22"/>
          <w:szCs w:val="22"/>
          <w:lang w:eastAsia="en-US"/>
        </w:rPr>
        <w:t>От държавния бюджет</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В стандартите по образование не се включват средствата за познавателни книжки и учебници за децата от подготвителните групи и за учениците до VІІ клас, за закрила на децата с изявени дарби, за безплатния превоз на децата в задължителна предучилищна възраст и учениците, за компенсиране на транспортни разходи и наем на педагогическите специалисти, за спорт за всички и др. Тези средства се предоставят  след приемане на Постановления от МС. Предоставят се още </w:t>
      </w:r>
      <w:r w:rsidRPr="00FF7BAF">
        <w:rPr>
          <w:rFonts w:ascii="Times New Roman" w:eastAsia="Calibri" w:hAnsi="Times New Roman"/>
          <w:b/>
          <w:sz w:val="22"/>
          <w:szCs w:val="22"/>
          <w:lang w:eastAsia="en-US"/>
        </w:rPr>
        <w:t>целеви средства</w:t>
      </w:r>
      <w:r w:rsidRPr="00FF7BAF">
        <w:rPr>
          <w:rFonts w:ascii="Times New Roman" w:eastAsia="Calibri" w:hAnsi="Times New Roman"/>
          <w:sz w:val="22"/>
          <w:szCs w:val="22"/>
          <w:lang w:eastAsia="en-US"/>
        </w:rPr>
        <w:t>, както следва:</w:t>
      </w:r>
    </w:p>
    <w:p w:rsidR="00FF7BAF" w:rsidRPr="00FF7BAF" w:rsidRDefault="00FF7BAF" w:rsidP="001E0A33">
      <w:pPr>
        <w:pStyle w:val="ListParagraph"/>
        <w:numPr>
          <w:ilvl w:val="0"/>
          <w:numId w:val="9"/>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lastRenderedPageBreak/>
        <w:t xml:space="preserve">Допълнително </w:t>
      </w:r>
      <w:r w:rsidRPr="00FF7BAF">
        <w:rPr>
          <w:rFonts w:ascii="Times New Roman" w:eastAsia="Calibri" w:hAnsi="Times New Roman"/>
          <w:b/>
          <w:sz w:val="22"/>
          <w:szCs w:val="22"/>
          <w:lang w:eastAsia="en-US"/>
        </w:rPr>
        <w:t>финансиране за работа с деца и ученици от уязвими групи</w:t>
      </w:r>
      <w:r w:rsidRPr="00FF7BAF">
        <w:rPr>
          <w:rFonts w:ascii="Times New Roman" w:eastAsia="Calibri" w:hAnsi="Times New Roman"/>
          <w:sz w:val="22"/>
          <w:szCs w:val="22"/>
          <w:lang w:eastAsia="en-US"/>
        </w:rPr>
        <w:t xml:space="preserve">.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Правилата за разпределение на тези допълнителни средства са разписани в чл. 52а и 52б от Глава седем „а“ – „Правила за разпределение на средствата за работа с деца и ученици от уязвими групи“ от НФИСПУО.</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Детските градини и училищата, които могат да получат допълнителни средства за работа с деца и ученици от уязвими групи се определят въз основа  на информацията в НЕИСПУО от работните карти „Характеристика на средата - образователното ниво и трудовата заетост на семейството“ на децата в детските градини и на учениците от основната степен на образование в училищата.    </w:t>
      </w:r>
    </w:p>
    <w:p w:rsidR="00FF7BAF" w:rsidRPr="00FF7BAF" w:rsidRDefault="00FF7BAF" w:rsidP="001E0A33">
      <w:pPr>
        <w:pStyle w:val="ListParagraph"/>
        <w:numPr>
          <w:ilvl w:val="0"/>
          <w:numId w:val="9"/>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Допълнително </w:t>
      </w:r>
      <w:r w:rsidRPr="00FF7BAF">
        <w:rPr>
          <w:rFonts w:ascii="Times New Roman" w:eastAsia="Calibri" w:hAnsi="Times New Roman"/>
          <w:b/>
          <w:sz w:val="22"/>
          <w:szCs w:val="22"/>
          <w:lang w:eastAsia="en-US"/>
        </w:rPr>
        <w:t>финансиране на защитени професии и специалности от професии</w:t>
      </w:r>
      <w:r w:rsidRPr="00FF7BAF">
        <w:rPr>
          <w:rFonts w:ascii="Times New Roman" w:eastAsia="Calibri" w:hAnsi="Times New Roman"/>
          <w:sz w:val="22"/>
          <w:szCs w:val="22"/>
          <w:lang w:eastAsia="en-US"/>
        </w:rPr>
        <w:t>, по които е налице очакван недостиг от специалисти на пазара на труда.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Училищата, които обучават ученици в паралелки за придобиване на квалификация по </w:t>
      </w:r>
      <w:proofErr w:type="spellStart"/>
      <w:r w:rsidRPr="00FF7BAF">
        <w:rPr>
          <w:rFonts w:ascii="Times New Roman" w:eastAsia="Calibri" w:hAnsi="Times New Roman"/>
          <w:sz w:val="22"/>
          <w:szCs w:val="22"/>
          <w:lang w:eastAsia="en-US"/>
        </w:rPr>
        <w:t>защитeни</w:t>
      </w:r>
      <w:proofErr w:type="spellEnd"/>
      <w:r w:rsidRPr="00FF7BAF">
        <w:rPr>
          <w:rFonts w:ascii="Times New Roman" w:eastAsia="Calibri" w:hAnsi="Times New Roman"/>
          <w:sz w:val="22"/>
          <w:szCs w:val="22"/>
          <w:lang w:eastAsia="en-US"/>
        </w:rPr>
        <w:t xml:space="preserve"> специалности от професии и специалности от професии, по които е налице очакван недостиг от специалисти на пазара на труда получават допълнително финансиране по правилата за разпределение на средствата, определени с акта на Министерския съвет за определяне на списъка със защитените от държавата специалности от професии, както и критериите за определянето. </w:t>
      </w:r>
    </w:p>
    <w:p w:rsidR="00FF7BAF" w:rsidRPr="00FF7BAF" w:rsidRDefault="00FF7BAF" w:rsidP="001E0A33">
      <w:pPr>
        <w:pStyle w:val="ListParagraph"/>
        <w:numPr>
          <w:ilvl w:val="0"/>
          <w:numId w:val="9"/>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Допълнително </w:t>
      </w:r>
      <w:r w:rsidRPr="00FF7BAF">
        <w:rPr>
          <w:rFonts w:ascii="Times New Roman" w:eastAsia="Calibri" w:hAnsi="Times New Roman"/>
          <w:b/>
          <w:sz w:val="22"/>
          <w:szCs w:val="22"/>
          <w:lang w:eastAsia="en-US"/>
        </w:rPr>
        <w:t>финансиране за издръжка на защитените детски градини и училища</w:t>
      </w:r>
      <w:r w:rsidRPr="00FF7BAF">
        <w:rPr>
          <w:rFonts w:ascii="Times New Roman" w:eastAsia="Calibri" w:hAnsi="Times New Roman"/>
          <w:sz w:val="22"/>
          <w:szCs w:val="22"/>
          <w:lang w:eastAsia="en-US"/>
        </w:rPr>
        <w:t xml:space="preserve">.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Размерът на допълнителното финансиране за издръжка на защитените детски градини и училища се определя само на база стандарта за дете в подготвителна група и стандарта за ученик. Редът и условията за определяне на защитени училища и детски градини също става с акт на Министерския съвет.</w:t>
      </w:r>
    </w:p>
    <w:p w:rsidR="00FF7BAF" w:rsidRPr="00FF7BAF" w:rsidRDefault="00FF7BAF" w:rsidP="001E0A33">
      <w:pPr>
        <w:pStyle w:val="ListParagraph"/>
        <w:numPr>
          <w:ilvl w:val="0"/>
          <w:numId w:val="9"/>
        </w:numPr>
        <w:spacing w:before="0" w:after="0"/>
        <w:jc w:val="both"/>
        <w:rPr>
          <w:rFonts w:ascii="Times New Roman" w:eastAsia="Calibri" w:hAnsi="Times New Roman"/>
          <w:b/>
          <w:sz w:val="22"/>
          <w:szCs w:val="22"/>
          <w:lang w:eastAsia="en-US"/>
        </w:rPr>
      </w:pPr>
      <w:r w:rsidRPr="00FF7BAF">
        <w:rPr>
          <w:rFonts w:ascii="Times New Roman" w:eastAsia="Calibri" w:hAnsi="Times New Roman"/>
          <w:sz w:val="22"/>
          <w:szCs w:val="22"/>
          <w:lang w:eastAsia="en-US"/>
        </w:rPr>
        <w:t xml:space="preserve">Допълнително финансиране на училища </w:t>
      </w:r>
      <w:r w:rsidRPr="00FF7BAF">
        <w:rPr>
          <w:rFonts w:ascii="Times New Roman" w:eastAsia="Calibri" w:hAnsi="Times New Roman"/>
          <w:b/>
          <w:sz w:val="22"/>
          <w:szCs w:val="22"/>
          <w:lang w:eastAsia="en-US"/>
        </w:rPr>
        <w:t>за стипендии за образователни резултати</w:t>
      </w:r>
    </w:p>
    <w:p w:rsidR="00FF7BAF" w:rsidRPr="00FF7BAF" w:rsidRDefault="00FF7BAF" w:rsidP="001E0A33">
      <w:pPr>
        <w:pStyle w:val="ListParagraph"/>
        <w:numPr>
          <w:ilvl w:val="0"/>
          <w:numId w:val="9"/>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Средствата от държавния бюджет </w:t>
      </w:r>
      <w:r w:rsidRPr="00FF7BAF">
        <w:rPr>
          <w:rFonts w:ascii="Times New Roman" w:eastAsia="Calibri" w:hAnsi="Times New Roman"/>
          <w:b/>
          <w:sz w:val="22"/>
          <w:szCs w:val="22"/>
          <w:lang w:eastAsia="en-US"/>
        </w:rPr>
        <w:t>по  Национални програми</w:t>
      </w:r>
      <w:r w:rsidRPr="00FF7BAF">
        <w:rPr>
          <w:rFonts w:ascii="Times New Roman" w:eastAsia="Calibri" w:hAnsi="Times New Roman"/>
          <w:sz w:val="22"/>
          <w:szCs w:val="22"/>
          <w:lang w:eastAsia="en-US"/>
        </w:rPr>
        <w:t xml:space="preserve"> за развитие на образованието</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4.1 </w:t>
      </w:r>
      <w:r w:rsidRPr="00FF7BAF">
        <w:rPr>
          <w:rFonts w:ascii="Times New Roman" w:eastAsia="Calibri" w:hAnsi="Times New Roman"/>
          <w:b/>
          <w:sz w:val="22"/>
          <w:szCs w:val="22"/>
          <w:lang w:eastAsia="en-US"/>
        </w:rPr>
        <w:t>От бюджета на ПРБ</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На основание чл. 294 от ЗПУО допълнително финансиране, извън средствата от държавния бюджет, може да се предоставя от финансиращия орган:</w:t>
      </w:r>
    </w:p>
    <w:p w:rsidR="00FF7BAF" w:rsidRPr="00FF7BAF" w:rsidRDefault="00FF7BAF" w:rsidP="001E0A33">
      <w:pPr>
        <w:pStyle w:val="ListParagraph"/>
        <w:numPr>
          <w:ilvl w:val="0"/>
          <w:numId w:val="10"/>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По решение на ПРБ, по ред и условия, определени от него. Тези средства могат да бъдат за реализиране на държавни/общински политики, за национални/ общински програми или проекти;</w:t>
      </w:r>
    </w:p>
    <w:p w:rsidR="00FF7BAF" w:rsidRPr="00FF7BAF" w:rsidRDefault="00FF7BAF" w:rsidP="001E0A33">
      <w:pPr>
        <w:pStyle w:val="ListParagraph"/>
        <w:numPr>
          <w:ilvl w:val="0"/>
          <w:numId w:val="10"/>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Целеви средства за дейности, делегирани от ПРБ на образователната институция;</w:t>
      </w:r>
    </w:p>
    <w:p w:rsidR="00FF7BAF" w:rsidRPr="00FF7BAF" w:rsidRDefault="00FF7BAF" w:rsidP="001E0A33">
      <w:pPr>
        <w:pStyle w:val="ListParagraph"/>
        <w:numPr>
          <w:ilvl w:val="0"/>
          <w:numId w:val="10"/>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за капиталови разходи, основни или аварийни ремонти, за закупуване на дълготрайни материални активи и </w:t>
      </w:r>
      <w:proofErr w:type="spellStart"/>
      <w:r w:rsidRPr="00FF7BAF">
        <w:rPr>
          <w:rFonts w:ascii="Times New Roman" w:eastAsia="Calibri" w:hAnsi="Times New Roman"/>
          <w:sz w:val="22"/>
          <w:szCs w:val="22"/>
          <w:lang w:eastAsia="en-US"/>
        </w:rPr>
        <w:t>др</w:t>
      </w:r>
      <w:proofErr w:type="spellEnd"/>
      <w:r w:rsidRPr="00FF7BAF">
        <w:rPr>
          <w:rFonts w:ascii="Times New Roman" w:eastAsia="Calibri" w:hAnsi="Times New Roman"/>
          <w:sz w:val="22"/>
          <w:szCs w:val="22"/>
          <w:lang w:eastAsia="en-US"/>
        </w:rPr>
        <w:t xml:space="preserve">.,след включването им  в списъците на  ПРБ, приети от </w:t>
      </w:r>
      <w:proofErr w:type="spellStart"/>
      <w:r w:rsidRPr="00FF7BAF">
        <w:rPr>
          <w:rFonts w:ascii="Times New Roman" w:eastAsia="Calibri" w:hAnsi="Times New Roman"/>
          <w:sz w:val="22"/>
          <w:szCs w:val="22"/>
          <w:lang w:eastAsia="en-US"/>
        </w:rPr>
        <w:t>ОбС</w:t>
      </w:r>
      <w:proofErr w:type="spellEnd"/>
    </w:p>
    <w:p w:rsidR="00FF7BAF" w:rsidRPr="00FF7BAF" w:rsidRDefault="00FF7BAF" w:rsidP="001E0A33">
      <w:pPr>
        <w:pStyle w:val="ListParagraph"/>
        <w:numPr>
          <w:ilvl w:val="0"/>
          <w:numId w:val="10"/>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За </w:t>
      </w:r>
      <w:proofErr w:type="spellStart"/>
      <w:r w:rsidRPr="00FF7BAF">
        <w:rPr>
          <w:rFonts w:ascii="Times New Roman" w:eastAsia="Calibri" w:hAnsi="Times New Roman"/>
          <w:sz w:val="22"/>
          <w:szCs w:val="22"/>
          <w:lang w:eastAsia="en-US"/>
        </w:rPr>
        <w:t>дофинансиране</w:t>
      </w:r>
      <w:proofErr w:type="spellEnd"/>
      <w:r w:rsidRPr="00FF7BAF">
        <w:rPr>
          <w:rFonts w:ascii="Times New Roman" w:eastAsia="Calibri" w:hAnsi="Times New Roman"/>
          <w:sz w:val="22"/>
          <w:szCs w:val="22"/>
          <w:lang w:eastAsia="en-US"/>
        </w:rPr>
        <w:t xml:space="preserve"> за маломерни и слети паралелки </w:t>
      </w:r>
    </w:p>
    <w:p w:rsidR="00FF7BAF" w:rsidRPr="00FF7BAF" w:rsidRDefault="00FF7BAF" w:rsidP="001E0A33">
      <w:pPr>
        <w:pStyle w:val="ListParagraph"/>
        <w:numPr>
          <w:ilvl w:val="0"/>
          <w:numId w:val="10"/>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За плащания, дължими от институции, прилагащи система на делегиран бюджет в рамките на текущата година, за които средствата на институцията са недостатъчни, като получените средства подлежат на възстановяване по бюджета на ПРБ за сметка на бюджета на институцията за следващата година, при условия и по ред, определени от ПРБ.</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pStyle w:val="Heading1"/>
        <w:rPr>
          <w:rFonts w:eastAsia="Calibri"/>
          <w:lang w:eastAsia="en-US"/>
        </w:rPr>
      </w:pPr>
      <w:bookmarkStart w:id="7" w:name="_Toc79417754"/>
      <w:r w:rsidRPr="00FF7BAF">
        <w:rPr>
          <w:rFonts w:eastAsia="Calibri"/>
          <w:lang w:eastAsia="en-US"/>
        </w:rPr>
        <w:t>СТРАНИ В БЮДЖЕТНИЯ ПРОЦЕС. РОЛЯ НА ПРБ И ВРБ ПРИ УПРАВЛЕНИЕТО  НА ДЕЛЕГИРАН  БЮДЖЕТ</w:t>
      </w:r>
      <w:bookmarkEnd w:id="7"/>
    </w:p>
    <w:p w:rsidR="00FF7BAF" w:rsidRPr="00FF7BAF" w:rsidRDefault="00FF7BAF" w:rsidP="00FF7BAF">
      <w:pPr>
        <w:spacing w:before="0" w:after="0"/>
        <w:jc w:val="both"/>
        <w:rPr>
          <w:rFonts w:ascii="Times New Roman" w:eastAsia="Calibri" w:hAnsi="Times New Roman"/>
          <w:b/>
          <w:sz w:val="22"/>
          <w:szCs w:val="22"/>
          <w:lang w:eastAsia="en-US"/>
        </w:rPr>
      </w:pPr>
    </w:p>
    <w:p w:rsidR="00FF7BAF" w:rsidRPr="00FF7BAF" w:rsidRDefault="00FF7BAF" w:rsidP="00FF7BAF">
      <w:pPr>
        <w:pBdr>
          <w:top w:val="single" w:sz="4" w:space="1" w:color="auto"/>
          <w:left w:val="single" w:sz="4" w:space="4" w:color="auto"/>
          <w:bottom w:val="single" w:sz="4" w:space="0" w:color="auto"/>
          <w:right w:val="single" w:sz="4" w:space="4" w:color="auto"/>
        </w:pBdr>
        <w:shd w:val="clear" w:color="auto" w:fill="B8CCE4" w:themeFill="accent1" w:themeFillTint="66"/>
        <w:spacing w:before="0" w:after="0"/>
        <w:jc w:val="both"/>
        <w:rPr>
          <w:rFonts w:ascii="Times New Roman" w:eastAsia="Calibri" w:hAnsi="Times New Roman"/>
          <w:b/>
          <w:sz w:val="22"/>
          <w:szCs w:val="22"/>
          <w:lang w:eastAsia="en-US"/>
        </w:rPr>
      </w:pPr>
      <w:r w:rsidRPr="00FF7BAF">
        <w:rPr>
          <w:rFonts w:ascii="Times New Roman" w:eastAsia="Calibri" w:hAnsi="Times New Roman"/>
          <w:b/>
          <w:noProof/>
          <w:sz w:val="22"/>
          <w:szCs w:val="22"/>
          <w:bdr w:val="single" w:sz="4" w:space="0" w:color="auto"/>
          <w:shd w:val="clear" w:color="auto" w:fill="95B3D7" w:themeFill="accent1" w:themeFillTint="99"/>
          <w:lang w:val="en-US" w:eastAsia="en-US"/>
        </w:rPr>
        <w:lastRenderedPageBreak/>
        <w:drawing>
          <wp:inline distT="0" distB="0" distL="0" distR="0" wp14:anchorId="5FEE87FF" wp14:editId="5CE42870">
            <wp:extent cx="6004560" cy="3370153"/>
            <wp:effectExtent l="0" t="0" r="0" b="190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817" cy="3447191"/>
                    </a:xfrm>
                    <a:prstGeom prst="rect">
                      <a:avLst/>
                    </a:prstGeom>
                    <a:noFill/>
                  </pic:spPr>
                </pic:pic>
              </a:graphicData>
            </a:graphic>
          </wp:inline>
        </w:drawing>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При управлението на делегиран бюджет се изисква координиране на дейностите  между страните в бюджетния процес и е необходима добра комуникация и обмен на информация между страните в бюджетния процес. Необходимо 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Подобряване взаимодействието между общината (ПРБ) и директорите (ВРБ)</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Водене на пълноценен диалог при изготвяне на формулите за по-пълно отразяване на местната специфика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Общи усилия за привличане на допълнителни ресурси – инициативност</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Ефективни и съгласувани СФУК – за добра връзка между ПРБ и ВРБ</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Прозрачност, публичност,  гражданско участие и контрол</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А резултатът = ефективно и ефикасно използване на  публичните ресурси и удовлетворяване на ползвателите на публичните услуги.</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pStyle w:val="Heading1"/>
        <w:rPr>
          <w:rFonts w:eastAsia="Calibri"/>
          <w:lang w:eastAsia="en-US"/>
        </w:rPr>
      </w:pPr>
      <w:bookmarkStart w:id="8" w:name="_Toc79417755"/>
      <w:r w:rsidRPr="00FF7BAF">
        <w:rPr>
          <w:rFonts w:eastAsia="Calibri"/>
          <w:lang w:eastAsia="en-US"/>
        </w:rPr>
        <w:t>ОРГАНИЗАЦИЯ НА ОТЧЕТНОСТТА И КОНТРОЛА ПРИ ФИНАНСОВОТО УПРАВЛЕНИЕ</w:t>
      </w:r>
      <w:bookmarkEnd w:id="8"/>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Финансовите отношения в образованието се регламентират, управляват, осъществяват и контролират от редица специализирани институции. Това са централни и местни органи на управление, които изпълняват различни функции и дейности по осигуряване движението на паричните потоци в системата.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На национално ниво - Народно събрание, Министерски съвет, Българска народна банка. Сметна палата, Застрахователни организации и фондове за социално осигуряване, Министерство на образованието и науката.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На второ ниво финансовите отношения се регламентират, управляват, осъществяват и регулират от местно самоуправление и местна администрация – Общинския съвет, кметът на общината.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 xml:space="preserve">На трето ниво – това е образователната институция, чийто представител е директорът ѝ. Той се отчита от една страна пред </w:t>
      </w:r>
      <w:proofErr w:type="spellStart"/>
      <w:r w:rsidRPr="00FF7BAF">
        <w:rPr>
          <w:rFonts w:ascii="Times New Roman" w:eastAsia="Calibri" w:hAnsi="Times New Roman"/>
          <w:sz w:val="22"/>
          <w:szCs w:val="22"/>
          <w:lang w:eastAsia="en-US"/>
        </w:rPr>
        <w:t>горестоящия</w:t>
      </w:r>
      <w:proofErr w:type="spellEnd"/>
      <w:r w:rsidRPr="00FF7BAF">
        <w:rPr>
          <w:rFonts w:ascii="Times New Roman" w:eastAsia="Calibri" w:hAnsi="Times New Roman"/>
          <w:sz w:val="22"/>
          <w:szCs w:val="22"/>
          <w:lang w:eastAsia="en-US"/>
        </w:rPr>
        <w:t xml:space="preserve"> държавен/местен орган на управление за своята дейност по </w:t>
      </w:r>
      <w:r w:rsidRPr="00FF7BAF">
        <w:rPr>
          <w:rFonts w:ascii="Times New Roman" w:eastAsia="Calibri" w:hAnsi="Times New Roman"/>
          <w:sz w:val="22"/>
          <w:szCs w:val="22"/>
          <w:lang w:eastAsia="en-US"/>
        </w:rPr>
        <w:lastRenderedPageBreak/>
        <w:t xml:space="preserve">отношение финансовото управление и контрол, а от друга – пред колектива и Обществения </w:t>
      </w:r>
      <w:proofErr w:type="spellStart"/>
      <w:r w:rsidRPr="00FF7BAF">
        <w:rPr>
          <w:rFonts w:ascii="Times New Roman" w:eastAsia="Calibri" w:hAnsi="Times New Roman"/>
          <w:sz w:val="22"/>
          <w:szCs w:val="22"/>
          <w:lang w:eastAsia="en-US"/>
        </w:rPr>
        <w:t>съвет.Участието</w:t>
      </w:r>
      <w:proofErr w:type="spellEnd"/>
      <w:r w:rsidRPr="00FF7BAF">
        <w:rPr>
          <w:rFonts w:ascii="Times New Roman" w:eastAsia="Calibri" w:hAnsi="Times New Roman"/>
          <w:sz w:val="22"/>
          <w:szCs w:val="22"/>
          <w:lang w:eastAsia="en-US"/>
        </w:rPr>
        <w:t xml:space="preserve"> на учители, родители и представители на местните общности в процесите на управление и контрол при функционирането на училището от гледна точка на финансовата автономия в състоянието на системата на делегирани бюджети, все още не е напълно реализирано.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Примерни контролни дейности: разделяне на отговорностите; система на двоен подпис; разрешаване, одобряване; вярно и точно осчетоводяване на дейности и операции; достъп до активи и информация; управление на човешките ресурси; документиране, архивиране и съхраняване на информацията; обекти и организация  на предварителен контрол; антикорупционни процедури; контролни дейности свързани с информационните технологии; съпоставимост на данните; процедури за наблюдение.</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pStyle w:val="Heading1"/>
        <w:rPr>
          <w:rFonts w:eastAsia="Calibri"/>
          <w:lang w:eastAsia="en-US"/>
        </w:rPr>
      </w:pPr>
      <w:bookmarkStart w:id="9" w:name="_Toc79417756"/>
      <w:r w:rsidRPr="00FF7BAF">
        <w:rPr>
          <w:rFonts w:eastAsia="Calibri"/>
          <w:lang w:eastAsia="en-US"/>
        </w:rPr>
        <w:t>ЕФЕКТИВНОСТ И ФИНАНСОВО УПРАВЛЕНИЕ, ПРОБЛЕМИ И НАСОКИ ЗА ПРЕОДОЛЯВАНЕТО ИМ</w:t>
      </w:r>
      <w:bookmarkEnd w:id="9"/>
    </w:p>
    <w:p w:rsidR="00FF7BAF" w:rsidRPr="00FF7BAF" w:rsidRDefault="00FF7BAF" w:rsidP="00FF7BAF">
      <w:pPr>
        <w:spacing w:before="0" w:after="0"/>
        <w:jc w:val="both"/>
        <w:rPr>
          <w:rFonts w:ascii="Times New Roman" w:eastAsia="Calibri" w:hAnsi="Times New Roman"/>
          <w:b/>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Ефективното финансово управление   представлява набор от трайни решения, насочени към регулиране на управленските процеси с цел постигането на  текущите, средносрочните и дълго- срочни  цели за развитие на организацията.</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Показателите, които могат да проследяват  ефективността на работата в едно училище (не само във финансовата час), могат да бъдат следните:</w:t>
      </w:r>
    </w:p>
    <w:p w:rsidR="00FF7BAF" w:rsidRPr="00FF7BAF" w:rsidRDefault="00FF7BAF" w:rsidP="001E0A33">
      <w:pPr>
        <w:numPr>
          <w:ilvl w:val="0"/>
          <w:numId w:val="11"/>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Размер на излишъка/недостига</w:t>
      </w:r>
    </w:p>
    <w:p w:rsidR="00FF7BAF" w:rsidRPr="00FF7BAF" w:rsidRDefault="00FF7BAF" w:rsidP="001E0A33">
      <w:pPr>
        <w:numPr>
          <w:ilvl w:val="0"/>
          <w:numId w:val="11"/>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Брой ученици на един зает педагогически специалист</w:t>
      </w:r>
    </w:p>
    <w:p w:rsidR="00FF7BAF" w:rsidRPr="00FF7BAF" w:rsidRDefault="00FF7BAF" w:rsidP="001E0A33">
      <w:pPr>
        <w:numPr>
          <w:ilvl w:val="0"/>
          <w:numId w:val="11"/>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Разходи на 1 ученик</w:t>
      </w:r>
    </w:p>
    <w:p w:rsidR="00FF7BAF" w:rsidRPr="00FF7BAF" w:rsidRDefault="00FF7BAF" w:rsidP="001E0A33">
      <w:pPr>
        <w:numPr>
          <w:ilvl w:val="0"/>
          <w:numId w:val="11"/>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Дял на трудовите разходи във всички разходи</w:t>
      </w:r>
    </w:p>
    <w:p w:rsidR="00FF7BAF" w:rsidRPr="00FF7BAF" w:rsidRDefault="00FF7BAF" w:rsidP="001E0A33">
      <w:pPr>
        <w:numPr>
          <w:ilvl w:val="0"/>
          <w:numId w:val="11"/>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Брой предоставяни допълнителни услуги</w:t>
      </w:r>
    </w:p>
    <w:p w:rsidR="00FF7BAF" w:rsidRPr="00FF7BAF" w:rsidRDefault="00FF7BAF" w:rsidP="001E0A33">
      <w:pPr>
        <w:numPr>
          <w:ilvl w:val="0"/>
          <w:numId w:val="11"/>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Дял на собствените приходи</w:t>
      </w:r>
    </w:p>
    <w:p w:rsidR="00FF7BAF" w:rsidRPr="00FF7BAF" w:rsidRDefault="00FF7BAF" w:rsidP="001E0A33">
      <w:pPr>
        <w:numPr>
          <w:ilvl w:val="0"/>
          <w:numId w:val="11"/>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Дял на отпадналите ученици</w:t>
      </w:r>
    </w:p>
    <w:p w:rsidR="00FF7BAF" w:rsidRPr="00FF7BAF" w:rsidRDefault="00FF7BAF" w:rsidP="001E0A33">
      <w:pPr>
        <w:numPr>
          <w:ilvl w:val="0"/>
          <w:numId w:val="11"/>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Брой ученици преминали в по-горен етап на обучение</w:t>
      </w:r>
    </w:p>
    <w:p w:rsidR="00FF7BAF" w:rsidRPr="00FF7BAF" w:rsidRDefault="00FF7BAF" w:rsidP="001E0A33">
      <w:pPr>
        <w:numPr>
          <w:ilvl w:val="0"/>
          <w:numId w:val="11"/>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Брой молби за прием за едно място</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Ще посочим някои от проблемите, които се наблюдават през последните години  в сферата на финансиране на образованието. От приложената таблица става ясно, че докато средствата по основните стандарти се увеличават значително (</w:t>
      </w:r>
      <w:r w:rsidRPr="00FF7BAF">
        <w:rPr>
          <w:rFonts w:ascii="Times New Roman" w:eastAsia="Calibri" w:hAnsi="Times New Roman"/>
          <w:i/>
          <w:sz w:val="22"/>
          <w:szCs w:val="22"/>
          <w:lang w:eastAsia="en-US"/>
        </w:rPr>
        <w:t>светлата част на таблицата</w:t>
      </w:r>
      <w:r w:rsidRPr="00FF7BAF">
        <w:rPr>
          <w:rFonts w:ascii="Times New Roman" w:eastAsia="Calibri" w:hAnsi="Times New Roman"/>
          <w:sz w:val="22"/>
          <w:szCs w:val="22"/>
          <w:lang w:eastAsia="en-US"/>
        </w:rPr>
        <w:t>), то средствата по някои от допълващите стандарти и нормативи не са мръднали през последните 3-4 години (</w:t>
      </w:r>
      <w:r w:rsidRPr="00FF7BAF">
        <w:rPr>
          <w:rFonts w:ascii="Times New Roman" w:eastAsia="Calibri" w:hAnsi="Times New Roman"/>
          <w:i/>
          <w:sz w:val="22"/>
          <w:szCs w:val="22"/>
          <w:lang w:eastAsia="en-US"/>
        </w:rPr>
        <w:t>тъмната част на таблицата</w:t>
      </w:r>
      <w:r w:rsidRPr="00FF7BAF">
        <w:rPr>
          <w:rFonts w:ascii="Times New Roman" w:eastAsia="Calibri" w:hAnsi="Times New Roman"/>
          <w:sz w:val="22"/>
          <w:szCs w:val="22"/>
          <w:lang w:eastAsia="en-US"/>
        </w:rPr>
        <w:t>).</w:t>
      </w:r>
    </w:p>
    <w:p w:rsidR="00FF7BAF" w:rsidRPr="00FF7BAF" w:rsidRDefault="00FF7BAF" w:rsidP="00FF7BAF">
      <w:pPr>
        <w:pStyle w:val="ListParagraph"/>
        <w:spacing w:before="0" w:after="0"/>
        <w:jc w:val="both"/>
        <w:rPr>
          <w:rFonts w:ascii="Times New Roman" w:eastAsia="Calibri" w:hAnsi="Times New Roman"/>
          <w:sz w:val="22"/>
          <w:szCs w:val="22"/>
          <w:lang w:eastAsia="en-US"/>
        </w:rPr>
      </w:pPr>
    </w:p>
    <w:p w:rsidR="00FF7BAF" w:rsidRPr="00FF7BAF" w:rsidRDefault="00FF7BAF" w:rsidP="00FF7BAF">
      <w:pPr>
        <w:spacing w:before="0" w:after="0"/>
        <w:jc w:val="both"/>
        <w:rPr>
          <w:rFonts w:ascii="Times New Roman" w:eastAsia="Calibri" w:hAnsi="Times New Roman"/>
          <w:b/>
          <w:sz w:val="22"/>
          <w:szCs w:val="22"/>
          <w:lang w:eastAsia="en-US"/>
        </w:rPr>
      </w:pPr>
      <w:r w:rsidRPr="00FF7BAF">
        <w:rPr>
          <w:rFonts w:ascii="Times New Roman" w:eastAsia="Calibri" w:hAnsi="Times New Roman"/>
          <w:b/>
          <w:sz w:val="22"/>
          <w:szCs w:val="22"/>
          <w:lang w:eastAsia="en-US"/>
        </w:rPr>
        <w:t>СЪПОСТАВКА В РАЗМЕРА НА НЯКОИ СТАНДАРТИ И НОРМАТИВИ ПО ГОДИНИ</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06"/>
        <w:gridCol w:w="1134"/>
        <w:gridCol w:w="992"/>
        <w:gridCol w:w="992"/>
        <w:gridCol w:w="1134"/>
        <w:gridCol w:w="1134"/>
      </w:tblGrid>
      <w:tr w:rsidR="00FF7BAF" w:rsidRPr="00FF7BAF" w:rsidTr="00050B42">
        <w:trPr>
          <w:trHeight w:val="20"/>
          <w:jc w:val="center"/>
        </w:trPr>
        <w:tc>
          <w:tcPr>
            <w:tcW w:w="4106" w:type="dxa"/>
            <w:shd w:val="clear" w:color="auto" w:fill="70AD47"/>
            <w:tcMar>
              <w:top w:w="72" w:type="dxa"/>
              <w:left w:w="144" w:type="dxa"/>
              <w:bottom w:w="72" w:type="dxa"/>
              <w:right w:w="144" w:type="dxa"/>
            </w:tcMar>
          </w:tcPr>
          <w:p w:rsidR="00FF7BAF" w:rsidRPr="00FF7BAF" w:rsidRDefault="00FF7BAF" w:rsidP="00050B42">
            <w:pPr>
              <w:spacing w:before="0" w:after="160" w:line="240" w:lineRule="auto"/>
              <w:rPr>
                <w:rFonts w:ascii="Times New Roman" w:eastAsia="Calibri" w:hAnsi="Times New Roman"/>
                <w:b/>
                <w:bCs/>
                <w:sz w:val="22"/>
                <w:szCs w:val="22"/>
                <w:lang w:val="ru-RU" w:eastAsia="en-US"/>
              </w:rPr>
            </w:pPr>
          </w:p>
        </w:tc>
        <w:tc>
          <w:tcPr>
            <w:tcW w:w="1134" w:type="dxa"/>
            <w:shd w:val="clear" w:color="auto" w:fill="70AD47"/>
          </w:tcPr>
          <w:p w:rsidR="00FF7BAF" w:rsidRPr="00FF7BAF" w:rsidRDefault="00FF7BAF" w:rsidP="00050B42">
            <w:pPr>
              <w:spacing w:before="0" w:after="16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2018</w:t>
            </w:r>
          </w:p>
        </w:tc>
        <w:tc>
          <w:tcPr>
            <w:tcW w:w="992" w:type="dxa"/>
            <w:shd w:val="clear" w:color="auto" w:fill="70AD47"/>
          </w:tcPr>
          <w:p w:rsidR="00FF7BAF" w:rsidRPr="00FF7BAF" w:rsidRDefault="00FF7BAF" w:rsidP="00050B42">
            <w:pPr>
              <w:spacing w:before="0" w:after="160" w:line="240" w:lineRule="auto"/>
              <w:jc w:val="center"/>
              <w:rPr>
                <w:rFonts w:ascii="Times New Roman" w:eastAsia="Calibri" w:hAnsi="Times New Roman"/>
                <w:b/>
                <w:bCs/>
                <w:sz w:val="22"/>
                <w:szCs w:val="22"/>
                <w:lang w:val="ru-RU" w:eastAsia="en-US"/>
              </w:rPr>
            </w:pPr>
          </w:p>
        </w:tc>
        <w:tc>
          <w:tcPr>
            <w:tcW w:w="992" w:type="dxa"/>
            <w:shd w:val="clear" w:color="auto" w:fill="70AD47"/>
          </w:tcPr>
          <w:p w:rsidR="00FF7BAF" w:rsidRPr="00FF7BAF" w:rsidRDefault="00FF7BAF" w:rsidP="00050B42">
            <w:pPr>
              <w:spacing w:before="0" w:after="16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2019</w:t>
            </w:r>
          </w:p>
        </w:tc>
        <w:tc>
          <w:tcPr>
            <w:tcW w:w="1134" w:type="dxa"/>
            <w:shd w:val="clear" w:color="auto" w:fill="70AD47"/>
          </w:tcPr>
          <w:p w:rsidR="00FF7BAF" w:rsidRPr="00FF7BAF" w:rsidRDefault="00FF7BAF" w:rsidP="00050B42">
            <w:pPr>
              <w:spacing w:before="0" w:after="16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2020</w:t>
            </w:r>
          </w:p>
        </w:tc>
        <w:tc>
          <w:tcPr>
            <w:tcW w:w="1134" w:type="dxa"/>
            <w:shd w:val="clear" w:color="auto" w:fill="70AD47"/>
            <w:tcMar>
              <w:top w:w="72" w:type="dxa"/>
              <w:left w:w="144" w:type="dxa"/>
              <w:bottom w:w="72" w:type="dxa"/>
              <w:right w:w="144" w:type="dxa"/>
            </w:tcMar>
          </w:tcPr>
          <w:p w:rsidR="00FF7BAF" w:rsidRPr="00FF7BAF" w:rsidRDefault="00FF7BAF" w:rsidP="00050B42">
            <w:pPr>
              <w:spacing w:before="0" w:after="16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2021</w:t>
            </w:r>
          </w:p>
        </w:tc>
      </w:tr>
      <w:tr w:rsidR="00FF7BAF" w:rsidRPr="00FF7BAF" w:rsidTr="00050B42">
        <w:trPr>
          <w:trHeight w:val="20"/>
          <w:jc w:val="center"/>
        </w:trPr>
        <w:tc>
          <w:tcPr>
            <w:tcW w:w="4106" w:type="dxa"/>
            <w:shd w:val="clear" w:color="auto" w:fill="E2EFD9"/>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ДЕТСКИ ГРАДИНИ</w:t>
            </w:r>
          </w:p>
        </w:tc>
        <w:tc>
          <w:tcPr>
            <w:tcW w:w="1134" w:type="dxa"/>
            <w:shd w:val="clear" w:color="auto" w:fill="E2EFD9"/>
          </w:tcPr>
          <w:p w:rsidR="00FF7BAF" w:rsidRPr="00FF7BAF" w:rsidRDefault="00FF7BAF" w:rsidP="00050B42">
            <w:pPr>
              <w:spacing w:before="0" w:after="0" w:line="240" w:lineRule="auto"/>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rPr>
                <w:rFonts w:ascii="Times New Roman" w:eastAsia="Calibri" w:hAnsi="Times New Roman"/>
                <w:b/>
                <w:bCs/>
                <w:sz w:val="22"/>
                <w:szCs w:val="22"/>
                <w:lang w:val="ru-RU" w:eastAsia="en-US"/>
              </w:rPr>
            </w:pPr>
          </w:p>
        </w:tc>
        <w:tc>
          <w:tcPr>
            <w:tcW w:w="1134" w:type="dxa"/>
            <w:shd w:val="clear" w:color="auto" w:fill="E2EFD9"/>
          </w:tcPr>
          <w:p w:rsidR="00FF7BAF" w:rsidRPr="00FF7BAF" w:rsidRDefault="00FF7BAF" w:rsidP="00050B42">
            <w:pPr>
              <w:spacing w:before="0" w:after="0" w:line="240" w:lineRule="auto"/>
              <w:rPr>
                <w:rFonts w:ascii="Times New Roman" w:eastAsia="Calibri" w:hAnsi="Times New Roman"/>
                <w:b/>
                <w:bCs/>
                <w:sz w:val="22"/>
                <w:szCs w:val="22"/>
                <w:lang w:val="ru-RU" w:eastAsia="en-US"/>
              </w:rPr>
            </w:pPr>
          </w:p>
        </w:tc>
        <w:tc>
          <w:tcPr>
            <w:tcW w:w="1134" w:type="dxa"/>
            <w:shd w:val="clear" w:color="auto" w:fill="E2EFD9"/>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
                <w:bCs/>
                <w:sz w:val="22"/>
                <w:szCs w:val="22"/>
                <w:lang w:val="ru-RU" w:eastAsia="en-US"/>
              </w:rPr>
            </w:pPr>
          </w:p>
        </w:tc>
      </w:tr>
      <w:tr w:rsidR="00FF7BAF" w:rsidRPr="00FF7BAF" w:rsidTr="00050B42">
        <w:trPr>
          <w:trHeight w:val="20"/>
          <w:jc w:val="center"/>
        </w:trPr>
        <w:tc>
          <w:tcPr>
            <w:tcW w:w="4106" w:type="dxa"/>
            <w:shd w:val="clear" w:color="auto" w:fill="E2EFD9"/>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Стандарт за институция</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20 000</w:t>
            </w: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23 800</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27 700</w:t>
            </w:r>
          </w:p>
        </w:tc>
        <w:tc>
          <w:tcPr>
            <w:tcW w:w="1134" w:type="dxa"/>
            <w:shd w:val="clear" w:color="auto" w:fill="E2EFD9"/>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31 540</w:t>
            </w:r>
          </w:p>
        </w:tc>
      </w:tr>
      <w:tr w:rsidR="00FF7BAF" w:rsidRPr="00FF7BAF" w:rsidTr="00050B42">
        <w:trPr>
          <w:trHeight w:val="20"/>
          <w:jc w:val="center"/>
        </w:trPr>
        <w:tc>
          <w:tcPr>
            <w:tcW w:w="4106" w:type="dxa"/>
            <w:shd w:val="clear" w:color="auto" w:fill="E2EFD9"/>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Стандарт за яслена и целодневна група в детска градина и училище</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3 998</w:t>
            </w: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4 664</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5 403</w:t>
            </w:r>
          </w:p>
        </w:tc>
        <w:tc>
          <w:tcPr>
            <w:tcW w:w="1134" w:type="dxa"/>
            <w:shd w:val="clear" w:color="auto" w:fill="E2EFD9"/>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6 148</w:t>
            </w:r>
          </w:p>
        </w:tc>
      </w:tr>
      <w:tr w:rsidR="00FF7BAF" w:rsidRPr="00FF7BAF" w:rsidTr="00050B42">
        <w:trPr>
          <w:trHeight w:val="20"/>
          <w:jc w:val="center"/>
        </w:trPr>
        <w:tc>
          <w:tcPr>
            <w:tcW w:w="4106" w:type="dxa"/>
            <w:shd w:val="clear" w:color="auto" w:fill="E2EFD9"/>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Стандарт за дете в яслена група</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1 169</w:t>
            </w: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1 294</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1 431</w:t>
            </w:r>
          </w:p>
        </w:tc>
        <w:tc>
          <w:tcPr>
            <w:tcW w:w="1134" w:type="dxa"/>
            <w:shd w:val="clear" w:color="auto" w:fill="E2EFD9"/>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1 583</w:t>
            </w:r>
          </w:p>
        </w:tc>
      </w:tr>
      <w:tr w:rsidR="00FF7BAF" w:rsidRPr="00FF7BAF" w:rsidTr="00050B42">
        <w:trPr>
          <w:trHeight w:val="20"/>
          <w:jc w:val="center"/>
        </w:trPr>
        <w:tc>
          <w:tcPr>
            <w:tcW w:w="4106" w:type="dxa"/>
            <w:shd w:val="clear" w:color="auto" w:fill="E2EFD9"/>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lastRenderedPageBreak/>
              <w:t>Стандарт за дете от 2- до 4-годишна възраст в целодневна група</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1 870</w:t>
            </w: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2 190</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2 537</w:t>
            </w:r>
          </w:p>
        </w:tc>
        <w:tc>
          <w:tcPr>
            <w:tcW w:w="1134" w:type="dxa"/>
            <w:shd w:val="clear" w:color="auto" w:fill="E2EFD9"/>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2 887</w:t>
            </w:r>
          </w:p>
        </w:tc>
      </w:tr>
      <w:tr w:rsidR="00FF7BAF" w:rsidRPr="00FF7BAF" w:rsidTr="00050B42">
        <w:trPr>
          <w:trHeight w:val="1000"/>
          <w:jc w:val="center"/>
        </w:trPr>
        <w:tc>
          <w:tcPr>
            <w:tcW w:w="4106" w:type="dxa"/>
            <w:shd w:val="clear" w:color="auto" w:fill="E2EFD9"/>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Стандарт за дете  в целодневна група за задължително предучилищно образование</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2 095</w:t>
            </w: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2 405</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2 747</w:t>
            </w:r>
          </w:p>
        </w:tc>
        <w:tc>
          <w:tcPr>
            <w:tcW w:w="1134" w:type="dxa"/>
            <w:shd w:val="clear" w:color="auto" w:fill="E2EFD9"/>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3 097</w:t>
            </w:r>
          </w:p>
        </w:tc>
      </w:tr>
      <w:tr w:rsidR="00FF7BAF" w:rsidRPr="00FF7BAF" w:rsidTr="00050B42">
        <w:trPr>
          <w:trHeight w:val="20"/>
          <w:jc w:val="center"/>
        </w:trPr>
        <w:tc>
          <w:tcPr>
            <w:tcW w:w="4106" w:type="dxa"/>
            <w:shd w:val="clear" w:color="auto" w:fill="E2EFD9"/>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Неспециализирани училища, без професионални гимназии</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1134" w:type="dxa"/>
            <w:shd w:val="clear" w:color="auto" w:fill="E2EFD9"/>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r>
      <w:tr w:rsidR="00FF7BAF" w:rsidRPr="00FF7BAF" w:rsidTr="00050B42">
        <w:trPr>
          <w:trHeight w:val="20"/>
          <w:jc w:val="center"/>
        </w:trPr>
        <w:tc>
          <w:tcPr>
            <w:tcW w:w="4106" w:type="dxa"/>
            <w:shd w:val="clear" w:color="auto" w:fill="E2EFD9"/>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Стандарт за институция</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33 000</w:t>
            </w: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38 400</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44 600</w:t>
            </w:r>
          </w:p>
        </w:tc>
        <w:tc>
          <w:tcPr>
            <w:tcW w:w="1134" w:type="dxa"/>
            <w:shd w:val="clear" w:color="auto" w:fill="E2EFD9"/>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50 630</w:t>
            </w:r>
          </w:p>
        </w:tc>
      </w:tr>
      <w:tr w:rsidR="00FF7BAF" w:rsidRPr="00FF7BAF" w:rsidTr="00050B42">
        <w:trPr>
          <w:trHeight w:val="20"/>
          <w:jc w:val="center"/>
        </w:trPr>
        <w:tc>
          <w:tcPr>
            <w:tcW w:w="4106" w:type="dxa"/>
            <w:shd w:val="clear" w:color="auto" w:fill="E2EFD9"/>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Стандарт за паралелка</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6 992</w:t>
            </w: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8 176</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9 485</w:t>
            </w:r>
          </w:p>
        </w:tc>
        <w:tc>
          <w:tcPr>
            <w:tcW w:w="1134" w:type="dxa"/>
            <w:shd w:val="clear" w:color="auto" w:fill="E2EFD9"/>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10 774</w:t>
            </w:r>
          </w:p>
        </w:tc>
      </w:tr>
      <w:tr w:rsidR="00FF7BAF" w:rsidRPr="00FF7BAF" w:rsidTr="00050B42">
        <w:trPr>
          <w:trHeight w:val="20"/>
          <w:jc w:val="center"/>
        </w:trPr>
        <w:tc>
          <w:tcPr>
            <w:tcW w:w="4106" w:type="dxa"/>
            <w:shd w:val="clear" w:color="auto" w:fill="E2EFD9"/>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Стандарт за ученик</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1 370</w:t>
            </w: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1 611</w:t>
            </w:r>
          </w:p>
        </w:tc>
        <w:tc>
          <w:tcPr>
            <w:tcW w:w="1134" w:type="dxa"/>
            <w:shd w:val="clear" w:color="auto" w:fill="E2EFD9"/>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1869</w:t>
            </w:r>
          </w:p>
        </w:tc>
        <w:tc>
          <w:tcPr>
            <w:tcW w:w="1134" w:type="dxa"/>
            <w:shd w:val="clear" w:color="auto" w:fill="E2EFD9"/>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2 123</w:t>
            </w:r>
          </w:p>
        </w:tc>
      </w:tr>
      <w:tr w:rsidR="00FF7BAF" w:rsidRPr="00FF7BAF" w:rsidTr="00050B42">
        <w:trPr>
          <w:trHeight w:val="20"/>
          <w:jc w:val="center"/>
        </w:trPr>
        <w:tc>
          <w:tcPr>
            <w:tcW w:w="4106" w:type="dxa"/>
            <w:shd w:val="clear" w:color="auto" w:fill="70AD47"/>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Норматив за подпомагане храненето на децата от подготвителните групи и учениците от I-IV клас</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72</w:t>
            </w: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94</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94</w:t>
            </w:r>
          </w:p>
        </w:tc>
        <w:tc>
          <w:tcPr>
            <w:tcW w:w="1134" w:type="dxa"/>
            <w:shd w:val="clear" w:color="auto" w:fill="70AD47"/>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94</w:t>
            </w:r>
          </w:p>
        </w:tc>
      </w:tr>
      <w:tr w:rsidR="00FF7BAF" w:rsidRPr="00FF7BAF" w:rsidTr="00050B42">
        <w:trPr>
          <w:trHeight w:val="20"/>
          <w:jc w:val="center"/>
        </w:trPr>
        <w:tc>
          <w:tcPr>
            <w:tcW w:w="4106" w:type="dxa"/>
            <w:shd w:val="clear" w:color="auto" w:fill="70AD47"/>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Допълващ стандарт за материална база</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25</w:t>
            </w: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25</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25</w:t>
            </w:r>
          </w:p>
        </w:tc>
        <w:tc>
          <w:tcPr>
            <w:tcW w:w="1134" w:type="dxa"/>
            <w:shd w:val="clear" w:color="auto" w:fill="70AD47"/>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25</w:t>
            </w:r>
          </w:p>
        </w:tc>
      </w:tr>
      <w:tr w:rsidR="00FF7BAF" w:rsidRPr="00FF7BAF" w:rsidTr="00050B42">
        <w:trPr>
          <w:trHeight w:val="20"/>
          <w:jc w:val="center"/>
        </w:trPr>
        <w:tc>
          <w:tcPr>
            <w:tcW w:w="4106" w:type="dxa"/>
            <w:shd w:val="clear" w:color="auto" w:fill="70AD47"/>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Средства за занимания по интереси –</w:t>
            </w:r>
          </w:p>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норматив за институция</w:t>
            </w:r>
          </w:p>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норматив за ученик</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1 900</w:t>
            </w:r>
          </w:p>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30</w:t>
            </w: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1 900</w:t>
            </w:r>
          </w:p>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30</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1 900</w:t>
            </w:r>
          </w:p>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30</w:t>
            </w:r>
          </w:p>
        </w:tc>
        <w:tc>
          <w:tcPr>
            <w:tcW w:w="1134" w:type="dxa"/>
            <w:shd w:val="clear" w:color="auto" w:fill="70AD47"/>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1 900</w:t>
            </w:r>
          </w:p>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30</w:t>
            </w:r>
          </w:p>
        </w:tc>
      </w:tr>
      <w:tr w:rsidR="00FF7BAF" w:rsidRPr="00FF7BAF" w:rsidTr="00050B42">
        <w:trPr>
          <w:trHeight w:val="20"/>
          <w:jc w:val="center"/>
        </w:trPr>
        <w:tc>
          <w:tcPr>
            <w:tcW w:w="4106" w:type="dxa"/>
            <w:shd w:val="clear" w:color="auto" w:fill="70AD47"/>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Допълващ стандарт за поддръжка на автобуси -до 10 места</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2 000</w:t>
            </w: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2 000</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2 000</w:t>
            </w:r>
          </w:p>
        </w:tc>
        <w:tc>
          <w:tcPr>
            <w:tcW w:w="1134" w:type="dxa"/>
            <w:shd w:val="clear" w:color="auto" w:fill="70AD47"/>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2 000</w:t>
            </w:r>
          </w:p>
        </w:tc>
      </w:tr>
      <w:tr w:rsidR="00FF7BAF" w:rsidRPr="00FF7BAF" w:rsidTr="00050B42">
        <w:trPr>
          <w:trHeight w:val="20"/>
          <w:jc w:val="center"/>
        </w:trPr>
        <w:tc>
          <w:tcPr>
            <w:tcW w:w="4106" w:type="dxa"/>
            <w:shd w:val="clear" w:color="auto" w:fill="70AD47"/>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от 11 до 15 места</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3 000</w:t>
            </w: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3 000</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3 000</w:t>
            </w:r>
          </w:p>
        </w:tc>
        <w:tc>
          <w:tcPr>
            <w:tcW w:w="1134" w:type="dxa"/>
            <w:shd w:val="clear" w:color="auto" w:fill="70AD47"/>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3 000</w:t>
            </w:r>
          </w:p>
        </w:tc>
      </w:tr>
      <w:tr w:rsidR="00FF7BAF" w:rsidRPr="00FF7BAF" w:rsidTr="00050B42">
        <w:trPr>
          <w:trHeight w:val="20"/>
          <w:jc w:val="center"/>
        </w:trPr>
        <w:tc>
          <w:tcPr>
            <w:tcW w:w="4106" w:type="dxa"/>
            <w:shd w:val="clear" w:color="auto" w:fill="70AD47"/>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от 16 до 25 места</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4 000</w:t>
            </w: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4 000</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4 000</w:t>
            </w:r>
          </w:p>
        </w:tc>
        <w:tc>
          <w:tcPr>
            <w:tcW w:w="1134" w:type="dxa"/>
            <w:shd w:val="clear" w:color="auto" w:fill="70AD47"/>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4 000</w:t>
            </w:r>
          </w:p>
        </w:tc>
      </w:tr>
      <w:tr w:rsidR="00FF7BAF" w:rsidRPr="00FF7BAF" w:rsidTr="00050B42">
        <w:trPr>
          <w:trHeight w:val="20"/>
          <w:jc w:val="center"/>
        </w:trPr>
        <w:tc>
          <w:tcPr>
            <w:tcW w:w="4106" w:type="dxa"/>
            <w:shd w:val="clear" w:color="auto" w:fill="70AD47"/>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от 26 до 29 места</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5 000</w:t>
            </w: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5 000</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5 000</w:t>
            </w:r>
          </w:p>
        </w:tc>
        <w:tc>
          <w:tcPr>
            <w:tcW w:w="1134" w:type="dxa"/>
            <w:shd w:val="clear" w:color="auto" w:fill="70AD47"/>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5 000</w:t>
            </w:r>
          </w:p>
        </w:tc>
      </w:tr>
      <w:tr w:rsidR="00FF7BAF" w:rsidRPr="00FF7BAF" w:rsidTr="00050B42">
        <w:trPr>
          <w:trHeight w:val="20"/>
          <w:jc w:val="center"/>
        </w:trPr>
        <w:tc>
          <w:tcPr>
            <w:tcW w:w="4106" w:type="dxa"/>
            <w:shd w:val="clear" w:color="auto" w:fill="70AD47"/>
            <w:tcMar>
              <w:top w:w="72" w:type="dxa"/>
              <w:left w:w="144" w:type="dxa"/>
              <w:bottom w:w="72" w:type="dxa"/>
              <w:right w:w="144" w:type="dxa"/>
            </w:tcMar>
          </w:tcPr>
          <w:p w:rsidR="00FF7BAF" w:rsidRPr="00FF7BAF" w:rsidRDefault="00FF7BAF" w:rsidP="00050B42">
            <w:pPr>
              <w:spacing w:before="0" w:after="0" w:line="240" w:lineRule="auto"/>
              <w:rPr>
                <w:rFonts w:ascii="Times New Roman" w:eastAsia="Calibri" w:hAnsi="Times New Roman"/>
                <w:bCs/>
                <w:sz w:val="22"/>
                <w:szCs w:val="22"/>
                <w:lang w:val="ru-RU" w:eastAsia="en-US"/>
              </w:rPr>
            </w:pPr>
            <w:r w:rsidRPr="00FF7BAF">
              <w:rPr>
                <w:rFonts w:ascii="Times New Roman" w:eastAsia="Calibri" w:hAnsi="Times New Roman"/>
                <w:bCs/>
                <w:sz w:val="22"/>
                <w:szCs w:val="22"/>
                <w:lang w:val="ru-RU" w:eastAsia="en-US"/>
              </w:rPr>
              <w:t>над 30 места</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6 000</w:t>
            </w: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p>
        </w:tc>
        <w:tc>
          <w:tcPr>
            <w:tcW w:w="992"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6 000</w:t>
            </w:r>
          </w:p>
        </w:tc>
        <w:tc>
          <w:tcPr>
            <w:tcW w:w="1134" w:type="dxa"/>
            <w:shd w:val="clear" w:color="auto" w:fill="70AD47"/>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6 000</w:t>
            </w:r>
          </w:p>
        </w:tc>
        <w:tc>
          <w:tcPr>
            <w:tcW w:w="1134" w:type="dxa"/>
            <w:shd w:val="clear" w:color="auto" w:fill="70AD47"/>
            <w:tcMar>
              <w:top w:w="72" w:type="dxa"/>
              <w:left w:w="144" w:type="dxa"/>
              <w:bottom w:w="72" w:type="dxa"/>
              <w:right w:w="144" w:type="dxa"/>
            </w:tcMar>
          </w:tcPr>
          <w:p w:rsidR="00FF7BAF" w:rsidRPr="00FF7BAF" w:rsidRDefault="00FF7BAF" w:rsidP="00050B42">
            <w:pPr>
              <w:spacing w:before="0" w:after="0" w:line="240" w:lineRule="auto"/>
              <w:jc w:val="center"/>
              <w:rPr>
                <w:rFonts w:ascii="Times New Roman" w:eastAsia="Calibri" w:hAnsi="Times New Roman"/>
                <w:b/>
                <w:bCs/>
                <w:sz w:val="22"/>
                <w:szCs w:val="22"/>
                <w:lang w:val="ru-RU" w:eastAsia="en-US"/>
              </w:rPr>
            </w:pPr>
            <w:r w:rsidRPr="00FF7BAF">
              <w:rPr>
                <w:rFonts w:ascii="Times New Roman" w:eastAsia="Calibri" w:hAnsi="Times New Roman"/>
                <w:b/>
                <w:bCs/>
                <w:sz w:val="22"/>
                <w:szCs w:val="22"/>
                <w:lang w:val="ru-RU" w:eastAsia="en-US"/>
              </w:rPr>
              <w:t>6 000</w:t>
            </w:r>
          </w:p>
        </w:tc>
      </w:tr>
    </w:tbl>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1E0A33">
      <w:pPr>
        <w:pStyle w:val="ListParagraph"/>
        <w:numPr>
          <w:ilvl w:val="0"/>
          <w:numId w:val="13"/>
        </w:numPr>
        <w:rPr>
          <w:rFonts w:ascii="Times New Roman" w:eastAsia="Calibri" w:hAnsi="Times New Roman"/>
          <w:sz w:val="22"/>
          <w:szCs w:val="22"/>
          <w:lang w:eastAsia="en-US"/>
        </w:rPr>
      </w:pPr>
      <w:r w:rsidRPr="00FF7BAF">
        <w:rPr>
          <w:rFonts w:ascii="Times New Roman" w:eastAsia="Calibri" w:hAnsi="Times New Roman"/>
          <w:sz w:val="22"/>
          <w:szCs w:val="22"/>
          <w:lang w:eastAsia="en-US"/>
        </w:rPr>
        <w:t>Средствата за подпомагане на храненето на децата от подготвителните групи и учениците I-IV клас,  за материално-техническата база на образователните институции, за занимания по интереси и на допълващия стандарт за поддръжка на автобуси не са увеличавани с години и е необходимо не само тяхното увеличаване, но и промяна в реда на тяхното разпределение.</w:t>
      </w:r>
    </w:p>
    <w:p w:rsidR="00FF7BAF" w:rsidRPr="00FF7BAF" w:rsidRDefault="00FF7BAF" w:rsidP="001E0A33">
      <w:pPr>
        <w:pStyle w:val="ListParagraph"/>
        <w:numPr>
          <w:ilvl w:val="0"/>
          <w:numId w:val="12"/>
        </w:num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При изпълнението на бюджета в последните няколко години непрекъснато се влошава съотношението между трудови разходи и издръжка, като наблюдаваме трайно намаляване на средствата за издръжка на образователните институции спрямо увеличаващите се разходи за заплати.</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Ето един пример от община Велико Търново:</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lastRenderedPageBreak/>
        <w:t xml:space="preserve">                </w:t>
      </w:r>
      <w:r w:rsidRPr="00FF7BAF">
        <w:rPr>
          <w:rFonts w:ascii="Times New Roman" w:eastAsia="Calibri" w:hAnsi="Times New Roman"/>
          <w:noProof/>
          <w:sz w:val="22"/>
          <w:szCs w:val="22"/>
          <w:lang w:val="en-US" w:eastAsia="en-US"/>
        </w:rPr>
        <w:drawing>
          <wp:inline distT="0" distB="0" distL="0" distR="0" wp14:anchorId="37F0329F" wp14:editId="14D2C0C0">
            <wp:extent cx="4601696" cy="3698408"/>
            <wp:effectExtent l="0" t="0" r="889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5729" cy="3733797"/>
                    </a:xfrm>
                    <a:prstGeom prst="rect">
                      <a:avLst/>
                    </a:prstGeom>
                    <a:noFill/>
                  </pic:spPr>
                </pic:pic>
              </a:graphicData>
            </a:graphic>
          </wp:inline>
        </w:drawing>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Формулата, определяща делегирания бюджет трябва да включва повече допълнителни компоненти, за да се гарантира равния достъп на всички деца до образование.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Средствата за финансирането за материално-техническата база на образователните институции и на допълващия стандарт за поддръжка на автобуси не са увеличавани с години и е необходимо не само тяхното увеличаване, но и промяна в реда на тяхното разпределение.</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 xml:space="preserve">Има необходимост от засилване на контрола от страна на общините по отношение на  законосъобразността и ефективността на финансовото управление в образователните институции </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Осъществяване на граждански контрол, включително и от обществените съвети върху паричните потоци на образователните институции и реализирането на повече собствени приходи.</w:t>
      </w:r>
    </w:p>
    <w:p w:rsidR="00FF7BAF" w:rsidRPr="00FF7BAF" w:rsidRDefault="00FF7BAF" w:rsidP="00FF7BAF">
      <w:pPr>
        <w:spacing w:before="0" w:after="0"/>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w:t>
      </w:r>
      <w:r w:rsidRPr="00FF7BAF">
        <w:rPr>
          <w:rFonts w:ascii="Times New Roman" w:eastAsia="Calibri" w:hAnsi="Times New Roman"/>
          <w:sz w:val="22"/>
          <w:szCs w:val="22"/>
          <w:lang w:eastAsia="en-US"/>
        </w:rPr>
        <w:tab/>
        <w:t xml:space="preserve">Продължаване на усилията за усъвършенстване на модела на финансиране, като все повече се търсят начини за отчитане на качеството на предоставяното образование. Необходимо е преразглеждане и осъвременяване на формулата за финансиране след задълбочен анализ и актуализиране на компонентите й, а защо не </w:t>
      </w:r>
      <w:proofErr w:type="spellStart"/>
      <w:r w:rsidRPr="00FF7BAF">
        <w:rPr>
          <w:rFonts w:ascii="Times New Roman" w:eastAsia="Calibri" w:hAnsi="Times New Roman"/>
          <w:sz w:val="22"/>
          <w:szCs w:val="22"/>
          <w:lang w:eastAsia="en-US"/>
        </w:rPr>
        <w:t>идобавяне</w:t>
      </w:r>
      <w:proofErr w:type="spellEnd"/>
      <w:r w:rsidRPr="00FF7BAF">
        <w:rPr>
          <w:rFonts w:ascii="Times New Roman" w:eastAsia="Calibri" w:hAnsi="Times New Roman"/>
          <w:sz w:val="22"/>
          <w:szCs w:val="22"/>
          <w:lang w:eastAsia="en-US"/>
        </w:rPr>
        <w:t xml:space="preserve"> на нови стандарти, които да гарантират качество и равен достъп до образование. Например стандарти за качество и за равен достъп, които да включват компоненти, отчитащи напредъка на образователната институция за по-качествен образователен продукт, средства за стимули, за насърчаване на интегрирането на деца и ученици със специални образователни потребности, ученици, чийто майчин език не е български, </w:t>
      </w:r>
      <w:proofErr w:type="spellStart"/>
      <w:r w:rsidRPr="00FF7BAF">
        <w:rPr>
          <w:rFonts w:ascii="Times New Roman" w:eastAsia="Calibri" w:hAnsi="Times New Roman"/>
          <w:sz w:val="22"/>
          <w:szCs w:val="22"/>
          <w:lang w:eastAsia="en-US"/>
        </w:rPr>
        <w:t>мигранти</w:t>
      </w:r>
      <w:proofErr w:type="spellEnd"/>
      <w:r w:rsidRPr="00FF7BAF">
        <w:rPr>
          <w:rFonts w:ascii="Times New Roman" w:eastAsia="Calibri" w:hAnsi="Times New Roman"/>
          <w:sz w:val="22"/>
          <w:szCs w:val="22"/>
          <w:lang w:eastAsia="en-US"/>
        </w:rPr>
        <w:t xml:space="preserve">. Целта е реалното стимулиране на институциите за по-добри резултати, равнопоставеност и вариант за преодоляване на сегрегацията, изолацията и дискриминацията. За финансирането по тези компоненти е необходимо изграждането на строг механизъм за формиране и отчитане на </w:t>
      </w:r>
      <w:proofErr w:type="spellStart"/>
      <w:r w:rsidRPr="00FF7BAF">
        <w:rPr>
          <w:rFonts w:ascii="Times New Roman" w:eastAsia="Calibri" w:hAnsi="Times New Roman"/>
          <w:sz w:val="22"/>
          <w:szCs w:val="22"/>
          <w:lang w:eastAsia="en-US"/>
        </w:rPr>
        <w:t>средствата.На</w:t>
      </w:r>
      <w:proofErr w:type="spellEnd"/>
      <w:r w:rsidRPr="00FF7BAF">
        <w:rPr>
          <w:rFonts w:ascii="Times New Roman" w:eastAsia="Calibri" w:hAnsi="Times New Roman"/>
          <w:sz w:val="22"/>
          <w:szCs w:val="22"/>
          <w:lang w:eastAsia="en-US"/>
        </w:rPr>
        <w:t xml:space="preserve"> базата на така формираните стандарти се получава вариант на справедливо разпределение на средствата за предучилищното и училищното образование в зависимост от специфичните потребности на всяка институция.</w:t>
      </w:r>
    </w:p>
    <w:p w:rsidR="00FF7BAF" w:rsidRPr="00FF7BAF" w:rsidRDefault="00FF7BAF" w:rsidP="00FF7BAF">
      <w:pPr>
        <w:spacing w:before="0" w:after="0"/>
        <w:jc w:val="both"/>
        <w:rPr>
          <w:rFonts w:ascii="Times New Roman" w:eastAsia="Calibri" w:hAnsi="Times New Roman"/>
          <w:sz w:val="22"/>
          <w:szCs w:val="22"/>
          <w:lang w:eastAsia="en-US"/>
        </w:rPr>
      </w:pPr>
    </w:p>
    <w:p w:rsidR="00FF7BAF" w:rsidRPr="00FF7BAF" w:rsidRDefault="00FF7BAF" w:rsidP="00FF7BAF">
      <w:pPr>
        <w:pStyle w:val="Heading1"/>
        <w:rPr>
          <w:rFonts w:eastAsia="Calibri"/>
          <w:lang w:eastAsia="en-US"/>
        </w:rPr>
      </w:pPr>
      <w:bookmarkStart w:id="10" w:name="_Toc79417757"/>
      <w:r w:rsidRPr="00FF7BAF">
        <w:rPr>
          <w:rFonts w:eastAsia="Calibri"/>
          <w:lang w:eastAsia="en-US"/>
        </w:rPr>
        <w:lastRenderedPageBreak/>
        <w:t>ПРЕДИЗВИКАТЕЛСТВА</w:t>
      </w:r>
      <w:bookmarkEnd w:id="10"/>
    </w:p>
    <w:p w:rsidR="00FF7BAF" w:rsidRPr="00FF7BAF" w:rsidRDefault="00FF7BAF" w:rsidP="001E0A33">
      <w:pPr>
        <w:pStyle w:val="ListParagraph"/>
        <w:numPr>
          <w:ilvl w:val="0"/>
          <w:numId w:val="16"/>
        </w:numPr>
        <w:spacing w:before="0" w:after="0" w:line="259" w:lineRule="auto"/>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Отчитане на местната специфика при прилагането на системите на делегираните бюджети;</w:t>
      </w:r>
    </w:p>
    <w:p w:rsidR="00FF7BAF" w:rsidRPr="00FF7BAF" w:rsidRDefault="00FF7BAF" w:rsidP="001E0A33">
      <w:pPr>
        <w:pStyle w:val="ListParagraph"/>
        <w:numPr>
          <w:ilvl w:val="0"/>
          <w:numId w:val="16"/>
        </w:numPr>
        <w:spacing w:before="0" w:after="0" w:line="259" w:lineRule="auto"/>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Необходимост от осъвременяване на материалната база (в повечето общини), което изисква значителен финансов ресурс;</w:t>
      </w:r>
    </w:p>
    <w:p w:rsidR="00FF7BAF" w:rsidRPr="00FF7BAF" w:rsidRDefault="00FF7BAF" w:rsidP="001E0A33">
      <w:pPr>
        <w:pStyle w:val="ListParagraph"/>
        <w:numPr>
          <w:ilvl w:val="0"/>
          <w:numId w:val="16"/>
        </w:numPr>
        <w:spacing w:before="0" w:after="0" w:line="259" w:lineRule="auto"/>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Осигуряване на допълнителни места в ДГ за приемане на всички деца (проблем в големите общини), особено след промяната в чл. 8, ал. 1 от ЗПУО за задължителното предучилищно образование от 4-годишна възраст на децата. Необходим е сериозен финансов ресурс за това.</w:t>
      </w:r>
    </w:p>
    <w:p w:rsidR="00FF7BAF" w:rsidRPr="00FF7BAF" w:rsidRDefault="00FF7BAF" w:rsidP="001E0A33">
      <w:pPr>
        <w:pStyle w:val="ListParagraph"/>
        <w:numPr>
          <w:ilvl w:val="0"/>
          <w:numId w:val="16"/>
        </w:numPr>
        <w:spacing w:before="0" w:after="0" w:line="259" w:lineRule="auto"/>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Разширяване на подкрепата от държавата за осигуряване на обучението, възпитанието и социализацията на децата в общинските детски градини;</w:t>
      </w:r>
    </w:p>
    <w:p w:rsidR="00FF7BAF" w:rsidRPr="00FF7BAF" w:rsidRDefault="00FF7BAF" w:rsidP="001E0A33">
      <w:pPr>
        <w:pStyle w:val="ListParagraph"/>
        <w:numPr>
          <w:ilvl w:val="0"/>
          <w:numId w:val="16"/>
        </w:numPr>
        <w:spacing w:before="0" w:after="0" w:line="259" w:lineRule="auto"/>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Промяна в съществуващия ред за разпределение на средствата за подобряване на материалната база и на средствата за занимания по интереси;</w:t>
      </w:r>
    </w:p>
    <w:p w:rsidR="00FF7BAF" w:rsidRPr="00FF7BAF" w:rsidRDefault="00FF7BAF" w:rsidP="001E0A33">
      <w:pPr>
        <w:pStyle w:val="ListParagraph"/>
        <w:numPr>
          <w:ilvl w:val="0"/>
          <w:numId w:val="16"/>
        </w:numPr>
        <w:spacing w:before="0" w:after="0" w:line="259" w:lineRule="auto"/>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Необходимост от достъп на общинските училища и детските градини до средства по НП „Създаване на достъпна архитектурна среда и сигурност“, а на детските градини и до НП „Без свободен час“  - за осигуряване на заместващи учители в първа/втора възрастови групи;</w:t>
      </w:r>
    </w:p>
    <w:p w:rsidR="00FF7BAF" w:rsidRPr="00FF7BAF" w:rsidRDefault="00FF7BAF" w:rsidP="001E0A33">
      <w:pPr>
        <w:pStyle w:val="ListParagraph"/>
        <w:numPr>
          <w:ilvl w:val="0"/>
          <w:numId w:val="16"/>
        </w:numPr>
        <w:spacing w:before="0" w:after="0" w:line="259" w:lineRule="auto"/>
        <w:jc w:val="both"/>
        <w:rPr>
          <w:rFonts w:ascii="Times New Roman" w:eastAsia="Calibri" w:hAnsi="Times New Roman"/>
          <w:sz w:val="22"/>
          <w:szCs w:val="22"/>
          <w:lang w:eastAsia="en-US"/>
        </w:rPr>
      </w:pPr>
      <w:r w:rsidRPr="00FF7BAF">
        <w:rPr>
          <w:rFonts w:ascii="Times New Roman" w:eastAsia="Calibri" w:hAnsi="Times New Roman"/>
          <w:sz w:val="22"/>
          <w:szCs w:val="22"/>
          <w:lang w:eastAsia="en-US"/>
        </w:rPr>
        <w:t>Консолидиране на общинско ниво на всички целеви държавни средства за образование и разпределението им на база консенсус между директорите и общината.</w:t>
      </w:r>
    </w:p>
    <w:p w:rsidR="00FF7BAF" w:rsidRPr="00FF7BAF" w:rsidRDefault="00FF7BAF" w:rsidP="00FF7BAF">
      <w:pPr>
        <w:spacing w:before="0" w:after="0" w:line="259" w:lineRule="auto"/>
        <w:rPr>
          <w:rFonts w:ascii="Times New Roman" w:eastAsia="Calibri" w:hAnsi="Times New Roman"/>
          <w:sz w:val="22"/>
          <w:szCs w:val="22"/>
          <w:lang w:eastAsia="en-US"/>
        </w:rPr>
      </w:pPr>
    </w:p>
    <w:p w:rsidR="00FF7BAF" w:rsidRPr="00FF7BAF" w:rsidRDefault="00FF7BAF" w:rsidP="00FF7BAF">
      <w:pPr>
        <w:spacing w:before="0" w:after="0" w:line="259" w:lineRule="auto"/>
        <w:rPr>
          <w:rFonts w:ascii="Times New Roman" w:eastAsia="Calibri" w:hAnsi="Times New Roman"/>
          <w:b/>
          <w:sz w:val="22"/>
          <w:szCs w:val="22"/>
          <w:lang w:eastAsia="en-US"/>
        </w:rPr>
      </w:pPr>
    </w:p>
    <w:p w:rsidR="00FF7BAF" w:rsidRPr="00FF7BAF" w:rsidRDefault="00FF7BAF" w:rsidP="00FF7BAF">
      <w:pPr>
        <w:spacing w:before="0" w:after="0" w:line="259" w:lineRule="auto"/>
        <w:rPr>
          <w:rFonts w:ascii="Times New Roman" w:eastAsia="Calibri" w:hAnsi="Times New Roman"/>
          <w:b/>
          <w:sz w:val="22"/>
          <w:szCs w:val="22"/>
          <w:lang w:eastAsia="en-US"/>
        </w:rPr>
      </w:pPr>
      <w:r w:rsidRPr="00FF7BAF">
        <w:rPr>
          <w:rFonts w:ascii="Times New Roman" w:eastAsia="Calibri" w:hAnsi="Times New Roman"/>
          <w:b/>
          <w:sz w:val="22"/>
          <w:szCs w:val="22"/>
          <w:lang w:eastAsia="en-US"/>
        </w:rPr>
        <w:t>Използвани източници на информация</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Закон за предучилищно и училищно образование - Глава XVI „Финансиране и имущество“</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ЗПОО – глава VIII „Финансиране на професионалното образование, обучение и ориентиране”;</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Закон за държавния бюджет на Република България за 2021 год. (</w:t>
      </w:r>
      <w:proofErr w:type="spellStart"/>
      <w:r w:rsidRPr="00FF7BAF">
        <w:rPr>
          <w:rFonts w:ascii="Times New Roman" w:eastAsia="Calibri" w:hAnsi="Times New Roman"/>
          <w:sz w:val="22"/>
          <w:szCs w:val="22"/>
        </w:rPr>
        <w:t>Обн</w:t>
      </w:r>
      <w:proofErr w:type="spellEnd"/>
      <w:r w:rsidRPr="00FF7BAF">
        <w:rPr>
          <w:rFonts w:ascii="Times New Roman" w:eastAsia="Calibri" w:hAnsi="Times New Roman"/>
          <w:sz w:val="22"/>
          <w:szCs w:val="22"/>
        </w:rPr>
        <w:t>. ДВ. бр.104/ 8.12.2020г.);</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Постановление № 408/23.12.2020 г. за изпълнението на държавния бюджет на Република България за 2021 г. (</w:t>
      </w:r>
      <w:proofErr w:type="spellStart"/>
      <w:r w:rsidRPr="00FF7BAF">
        <w:rPr>
          <w:rFonts w:ascii="Times New Roman" w:eastAsia="Calibri" w:hAnsi="Times New Roman"/>
          <w:sz w:val="22"/>
          <w:szCs w:val="22"/>
        </w:rPr>
        <w:t>Обн</w:t>
      </w:r>
      <w:proofErr w:type="spellEnd"/>
      <w:r w:rsidRPr="00FF7BAF">
        <w:rPr>
          <w:rFonts w:ascii="Times New Roman" w:eastAsia="Calibri" w:hAnsi="Times New Roman"/>
          <w:sz w:val="22"/>
          <w:szCs w:val="22"/>
        </w:rPr>
        <w:t>. ДВ. бр.1/05.01.2021 г.);</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Решение  на Министерски съвет (РМС)   № 790/30.10.2020 г. за приемане на стандарти за делегираните от държавата дейности с натурални и стойностни показатели през 2021 година</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Наредба за финансиране на институциите в системата на предучилищното и училищното образование (НФИСПУО)</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Наредба № 4 за нормиране и заплащане на труда  от 20.04.2017 г.</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Заповед на МОН № РД09-137/ 15.01.2021 г. за утвърждаване на Правила за определяне на РЗ на директорите</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ФО № 1/18.01.2021 г. - Указания на МФ за съставянето и изпълнението на общинските бюджети</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 xml:space="preserve">Сборник, изд. РААБЕ, Финансово управление, контрол и счетоводно отчитане в образованието </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Закон за публичните финанси (ЗПФ) – (</w:t>
      </w:r>
      <w:proofErr w:type="spellStart"/>
      <w:r w:rsidRPr="00FF7BAF">
        <w:rPr>
          <w:rFonts w:ascii="Times New Roman" w:eastAsia="Calibri" w:hAnsi="Times New Roman"/>
          <w:sz w:val="22"/>
          <w:szCs w:val="22"/>
        </w:rPr>
        <w:t>Обн</w:t>
      </w:r>
      <w:proofErr w:type="spellEnd"/>
      <w:r w:rsidRPr="00FF7BAF">
        <w:rPr>
          <w:rFonts w:ascii="Times New Roman" w:eastAsia="Calibri" w:hAnsi="Times New Roman"/>
          <w:sz w:val="22"/>
          <w:szCs w:val="22"/>
        </w:rPr>
        <w:t xml:space="preserve">. ДВ. бр.15 от 15 Февруари 2013г., в сила от 1.01.2014 г.)   </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Закон за финансово управление и контрол в публичния сектор (ЗФУКПС) /</w:t>
      </w:r>
      <w:proofErr w:type="spellStart"/>
      <w:r w:rsidRPr="00FF7BAF">
        <w:rPr>
          <w:rFonts w:ascii="Times New Roman" w:eastAsia="Calibri" w:hAnsi="Times New Roman"/>
          <w:sz w:val="22"/>
          <w:szCs w:val="22"/>
        </w:rPr>
        <w:t>Обн.ДВ</w:t>
      </w:r>
      <w:proofErr w:type="spellEnd"/>
      <w:r w:rsidRPr="00FF7BAF">
        <w:rPr>
          <w:rFonts w:ascii="Times New Roman" w:eastAsia="Calibri" w:hAnsi="Times New Roman"/>
          <w:sz w:val="22"/>
          <w:szCs w:val="22"/>
        </w:rPr>
        <w:t>. бр. 21 от 10 март 2006 г.)</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Наредба № 1 от 16 януари 2017 г. за условията и реда за възстановяване на транспортните разходи или  на разходите за наем на педагогическите специалисти в институциите в системата на предучилищното и училищното образование (</w:t>
      </w:r>
      <w:proofErr w:type="spellStart"/>
      <w:r w:rsidRPr="00FF7BAF">
        <w:rPr>
          <w:rFonts w:ascii="Times New Roman" w:eastAsia="Calibri" w:hAnsi="Times New Roman"/>
          <w:sz w:val="22"/>
          <w:szCs w:val="22"/>
        </w:rPr>
        <w:t>Обн</w:t>
      </w:r>
      <w:proofErr w:type="spellEnd"/>
      <w:r w:rsidRPr="00FF7BAF">
        <w:rPr>
          <w:rFonts w:ascii="Times New Roman" w:eastAsia="Calibri" w:hAnsi="Times New Roman"/>
          <w:sz w:val="22"/>
          <w:szCs w:val="22"/>
        </w:rPr>
        <w:t>. ДВ, бр. 10 от 27.01.2017 г., в сила от 01.01.2017 г.)</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lastRenderedPageBreak/>
        <w:t>Наредба № 14 от 16.11.2016 г. за представителното облекло на лицата от институциите в системата на предучилищното и училищното образование (</w:t>
      </w:r>
      <w:proofErr w:type="spellStart"/>
      <w:r w:rsidRPr="00FF7BAF">
        <w:rPr>
          <w:rFonts w:ascii="Times New Roman" w:eastAsia="Calibri" w:hAnsi="Times New Roman"/>
          <w:sz w:val="22"/>
          <w:szCs w:val="22"/>
        </w:rPr>
        <w:t>Обн</w:t>
      </w:r>
      <w:proofErr w:type="spellEnd"/>
      <w:r w:rsidRPr="00FF7BAF">
        <w:rPr>
          <w:rFonts w:ascii="Times New Roman" w:eastAsia="Calibri" w:hAnsi="Times New Roman"/>
          <w:sz w:val="22"/>
          <w:szCs w:val="22"/>
        </w:rPr>
        <w:t>.-ДВ, бр.95, 29.11.2016 г., в сила от 01.01.2017 г.)</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Наредба за безплатното работно и униформено облекло, приета с ПМС 10/20.01.2011 г. (</w:t>
      </w:r>
      <w:proofErr w:type="spellStart"/>
      <w:r w:rsidRPr="00FF7BAF">
        <w:rPr>
          <w:rFonts w:ascii="Times New Roman" w:eastAsia="Calibri" w:hAnsi="Times New Roman"/>
          <w:sz w:val="22"/>
          <w:szCs w:val="22"/>
        </w:rPr>
        <w:t>Обн</w:t>
      </w:r>
      <w:proofErr w:type="spellEnd"/>
      <w:r w:rsidRPr="00FF7BAF">
        <w:rPr>
          <w:rFonts w:ascii="Times New Roman" w:eastAsia="Calibri" w:hAnsi="Times New Roman"/>
          <w:sz w:val="22"/>
          <w:szCs w:val="22"/>
        </w:rPr>
        <w:t>.-ДВ, бр. 9 от 28.01.2011г.)</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Тарифа за таксите, които се събират в системата на предучилищното и училищното образование (</w:t>
      </w:r>
      <w:proofErr w:type="spellStart"/>
      <w:r w:rsidRPr="00FF7BAF">
        <w:rPr>
          <w:rFonts w:ascii="Times New Roman" w:eastAsia="Calibri" w:hAnsi="Times New Roman"/>
          <w:sz w:val="22"/>
          <w:szCs w:val="22"/>
        </w:rPr>
        <w:t>Обн</w:t>
      </w:r>
      <w:proofErr w:type="spellEnd"/>
      <w:r w:rsidRPr="00FF7BAF">
        <w:rPr>
          <w:rFonts w:ascii="Times New Roman" w:eastAsia="Calibri" w:hAnsi="Times New Roman"/>
          <w:sz w:val="22"/>
          <w:szCs w:val="22"/>
        </w:rPr>
        <w:t>. - ДВ, бр. 75 от 15.09.2017 г., в сила от 15.09.2017 г.)</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Постановление № 328 от  21 декември 2017 г. на МС условията и реда за получаване на стипендии от учениците след завършено основно образование (</w:t>
      </w:r>
      <w:proofErr w:type="spellStart"/>
      <w:r w:rsidRPr="00FF7BAF">
        <w:rPr>
          <w:rFonts w:ascii="Times New Roman" w:eastAsia="Calibri" w:hAnsi="Times New Roman"/>
          <w:sz w:val="22"/>
          <w:szCs w:val="22"/>
        </w:rPr>
        <w:t>Обн</w:t>
      </w:r>
      <w:proofErr w:type="spellEnd"/>
      <w:r w:rsidRPr="00FF7BAF">
        <w:rPr>
          <w:rFonts w:ascii="Times New Roman" w:eastAsia="Calibri" w:hAnsi="Times New Roman"/>
          <w:sz w:val="22"/>
          <w:szCs w:val="22"/>
        </w:rPr>
        <w:t xml:space="preserve">.-ДВ, бр.103 от 28.12.2017г.) </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Наредба за условията и реда за предоставяне и изплащане на средства от държавния бюджет за компенсиране на разходите, извършени от родителите за отглеждането и обучението на децата, които не са приети в държавни или общински детски градини или училища поради липса на свободни места  (</w:t>
      </w:r>
      <w:proofErr w:type="spellStart"/>
      <w:r w:rsidRPr="00FF7BAF">
        <w:rPr>
          <w:rFonts w:ascii="Times New Roman" w:eastAsia="Calibri" w:hAnsi="Times New Roman"/>
          <w:sz w:val="22"/>
          <w:szCs w:val="22"/>
        </w:rPr>
        <w:t>обн</w:t>
      </w:r>
      <w:proofErr w:type="spellEnd"/>
      <w:r w:rsidRPr="00FF7BAF">
        <w:rPr>
          <w:rFonts w:ascii="Times New Roman" w:eastAsia="Calibri" w:hAnsi="Times New Roman"/>
          <w:sz w:val="22"/>
          <w:szCs w:val="22"/>
        </w:rPr>
        <w:t xml:space="preserve">. ДВ. бр.20 от 9 март 2021 г.) </w:t>
      </w:r>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 xml:space="preserve">Проект “Подпомагане въвеждането на делегираните бюджети" - </w:t>
      </w:r>
      <w:hyperlink r:id="rId11" w:tgtFrame="_blank" w:history="1">
        <w:r w:rsidRPr="00FF7BAF">
          <w:rPr>
            <w:rStyle w:val="Hyperlink"/>
            <w:rFonts w:ascii="Times New Roman" w:eastAsia="Calibri" w:hAnsi="Times New Roman"/>
            <w:sz w:val="22"/>
            <w:szCs w:val="22"/>
          </w:rPr>
          <w:t>delegbudget.mon.bg</w:t>
        </w:r>
      </w:hyperlink>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 xml:space="preserve">Сайт на МОН:  </w:t>
      </w:r>
      <w:hyperlink r:id="rId12" w:history="1">
        <w:r w:rsidRPr="00FF7BAF">
          <w:rPr>
            <w:rStyle w:val="Hyperlink"/>
            <w:rFonts w:ascii="Times New Roman" w:eastAsia="Calibri" w:hAnsi="Times New Roman"/>
            <w:sz w:val="22"/>
            <w:szCs w:val="22"/>
          </w:rPr>
          <w:t>https://mon.bg/bg/59</w:t>
        </w:r>
      </w:hyperlink>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 xml:space="preserve">Сайт на МФ: </w:t>
      </w:r>
      <w:hyperlink r:id="rId13" w:history="1">
        <w:r w:rsidRPr="00FF7BAF">
          <w:rPr>
            <w:rStyle w:val="Hyperlink"/>
            <w:rFonts w:ascii="Times New Roman" w:eastAsia="Calibri" w:hAnsi="Times New Roman"/>
            <w:sz w:val="22"/>
            <w:szCs w:val="22"/>
          </w:rPr>
          <w:t>https://www.minfin.bg/</w:t>
        </w:r>
      </w:hyperlink>
    </w:p>
    <w:p w:rsidR="00FF7BAF" w:rsidRPr="00FF7BAF" w:rsidRDefault="00FF7BAF" w:rsidP="001E0A33">
      <w:pPr>
        <w:pStyle w:val="ListParagraph"/>
        <w:numPr>
          <w:ilvl w:val="0"/>
          <w:numId w:val="15"/>
        </w:numPr>
        <w:rPr>
          <w:rFonts w:ascii="Times New Roman" w:eastAsia="Calibri" w:hAnsi="Times New Roman"/>
          <w:sz w:val="22"/>
          <w:szCs w:val="22"/>
        </w:rPr>
      </w:pPr>
      <w:r w:rsidRPr="00FF7BAF">
        <w:rPr>
          <w:rFonts w:ascii="Times New Roman" w:eastAsia="Calibri" w:hAnsi="Times New Roman"/>
          <w:sz w:val="22"/>
          <w:szCs w:val="22"/>
        </w:rPr>
        <w:t xml:space="preserve">Сайт на МС: </w:t>
      </w:r>
      <w:hyperlink r:id="rId14" w:history="1">
        <w:r w:rsidRPr="00FF7BAF">
          <w:rPr>
            <w:rStyle w:val="Hyperlink"/>
            <w:rFonts w:ascii="Times New Roman" w:eastAsia="Calibri" w:hAnsi="Times New Roman"/>
            <w:sz w:val="22"/>
            <w:szCs w:val="22"/>
          </w:rPr>
          <w:t>https://www.gov.bg/</w:t>
        </w:r>
      </w:hyperlink>
    </w:p>
    <w:p w:rsidR="00FF7BAF" w:rsidRPr="00FF7BAF" w:rsidRDefault="00FF7BAF" w:rsidP="00FF7BAF">
      <w:pPr>
        <w:rPr>
          <w:rFonts w:ascii="Times New Roman" w:eastAsia="MS ??" w:hAnsi="Times New Roman"/>
          <w:sz w:val="22"/>
          <w:szCs w:val="22"/>
        </w:rPr>
      </w:pPr>
    </w:p>
    <w:p w:rsidR="0088191D" w:rsidRPr="00FF7BAF" w:rsidRDefault="0088191D" w:rsidP="00FF7BAF">
      <w:pPr>
        <w:spacing w:before="0" w:after="0"/>
        <w:jc w:val="both"/>
        <w:rPr>
          <w:rFonts w:ascii="Times New Roman" w:eastAsia="MS ??" w:hAnsi="Times New Roman"/>
          <w:sz w:val="22"/>
          <w:szCs w:val="22"/>
        </w:rPr>
      </w:pPr>
    </w:p>
    <w:sectPr w:rsidR="0088191D" w:rsidRPr="00FF7BAF" w:rsidSect="00491731">
      <w:headerReference w:type="default" r:id="rId15"/>
      <w:footerReference w:type="default" r:id="rId16"/>
      <w:pgSz w:w="11906" w:h="16838"/>
      <w:pgMar w:top="1417" w:right="1133"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A33" w:rsidRDefault="001E0A33" w:rsidP="00F45B7A">
      <w:pPr>
        <w:spacing w:before="0" w:after="0" w:line="240" w:lineRule="auto"/>
      </w:pPr>
      <w:r>
        <w:separator/>
      </w:r>
    </w:p>
  </w:endnote>
  <w:endnote w:type="continuationSeparator" w:id="0">
    <w:p w:rsidR="001E0A33" w:rsidRDefault="001E0A33" w:rsidP="00F45B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423" w:rsidRPr="0062581A" w:rsidRDefault="00F67423" w:rsidP="00491731">
    <w:pPr>
      <w:pBdr>
        <w:top w:val="single" w:sz="4" w:space="1" w:color="auto"/>
      </w:pBdr>
      <w:spacing w:after="0" w:line="240" w:lineRule="auto"/>
      <w:ind w:left="-284" w:right="-144"/>
      <w:jc w:val="center"/>
      <w:rPr>
        <w:iCs/>
        <w:sz w:val="18"/>
        <w:szCs w:val="18"/>
      </w:rPr>
    </w:pPr>
    <w:proofErr w:type="spellStart"/>
    <w:r w:rsidRPr="0062581A">
      <w:rPr>
        <w:i/>
        <w:iCs/>
        <w:sz w:val="18"/>
        <w:szCs w:val="18"/>
        <w:lang w:val="en-US"/>
      </w:rPr>
      <w:t>Този</w:t>
    </w:r>
    <w:proofErr w:type="spellEnd"/>
    <w:r w:rsidRPr="0062581A">
      <w:rPr>
        <w:i/>
        <w:iCs/>
        <w:sz w:val="18"/>
        <w:szCs w:val="18"/>
        <w:lang w:val="en-US"/>
      </w:rPr>
      <w:t xml:space="preserve"> </w:t>
    </w:r>
    <w:proofErr w:type="spellStart"/>
    <w:r w:rsidRPr="0062581A">
      <w:rPr>
        <w:i/>
        <w:iCs/>
        <w:sz w:val="18"/>
        <w:szCs w:val="18"/>
        <w:lang w:val="en-US"/>
      </w:rPr>
      <w:t>документ</w:t>
    </w:r>
    <w:proofErr w:type="spellEnd"/>
    <w:r w:rsidRPr="0062581A">
      <w:rPr>
        <w:i/>
        <w:iCs/>
        <w:sz w:val="18"/>
        <w:szCs w:val="18"/>
        <w:lang w:val="en-US"/>
      </w:rPr>
      <w:t xml:space="preserve"> е </w:t>
    </w:r>
    <w:proofErr w:type="spellStart"/>
    <w:r w:rsidRPr="0062581A">
      <w:rPr>
        <w:i/>
        <w:iCs/>
        <w:sz w:val="18"/>
        <w:szCs w:val="18"/>
        <w:lang w:val="en-US"/>
      </w:rPr>
      <w:t>създаден</w:t>
    </w:r>
    <w:proofErr w:type="spellEnd"/>
    <w:r w:rsidRPr="0062581A">
      <w:rPr>
        <w:i/>
        <w:iCs/>
        <w:sz w:val="18"/>
        <w:szCs w:val="18"/>
        <w:lang w:val="en-US"/>
      </w:rPr>
      <w:t xml:space="preserve"> </w:t>
    </w:r>
    <w:proofErr w:type="spellStart"/>
    <w:r w:rsidRPr="0062581A">
      <w:rPr>
        <w:i/>
        <w:iCs/>
        <w:sz w:val="18"/>
        <w:szCs w:val="18"/>
        <w:lang w:val="en-US"/>
      </w:rPr>
      <w:t>съгласно</w:t>
    </w:r>
    <w:proofErr w:type="spellEnd"/>
    <w:r w:rsidRPr="0062581A">
      <w:rPr>
        <w:i/>
        <w:iCs/>
        <w:sz w:val="18"/>
        <w:szCs w:val="18"/>
        <w:lang w:val="en-US"/>
      </w:rPr>
      <w:t xml:space="preserve"> </w:t>
    </w:r>
    <w:proofErr w:type="spellStart"/>
    <w:r w:rsidRPr="0062581A">
      <w:rPr>
        <w:i/>
        <w:iCs/>
        <w:sz w:val="18"/>
        <w:szCs w:val="18"/>
        <w:lang w:val="en-US"/>
      </w:rPr>
      <w:t>Административен</w:t>
    </w:r>
    <w:proofErr w:type="spellEnd"/>
    <w:r w:rsidRPr="0062581A">
      <w:rPr>
        <w:i/>
        <w:iCs/>
        <w:sz w:val="18"/>
        <w:szCs w:val="18"/>
        <w:lang w:val="en-US"/>
      </w:rPr>
      <w:t xml:space="preserve"> </w:t>
    </w:r>
    <w:proofErr w:type="spellStart"/>
    <w:r w:rsidRPr="0062581A">
      <w:rPr>
        <w:i/>
        <w:iCs/>
        <w:sz w:val="18"/>
        <w:szCs w:val="18"/>
        <w:lang w:val="en-US"/>
      </w:rPr>
      <w:t>договор</w:t>
    </w:r>
    <w:proofErr w:type="spellEnd"/>
    <w:r w:rsidRPr="0062581A">
      <w:rPr>
        <w:i/>
        <w:iCs/>
        <w:sz w:val="18"/>
        <w:szCs w:val="18"/>
        <w:lang w:val="en-US"/>
      </w:rPr>
      <w:t xml:space="preserve"> № </w:t>
    </w:r>
    <w:r w:rsidRPr="0062581A">
      <w:rPr>
        <w:i/>
        <w:iCs/>
        <w:sz w:val="18"/>
        <w:szCs w:val="18"/>
        <w:lang w:val="ru-RU"/>
      </w:rPr>
      <w:t>BG05SFOP001-2.015-0001-C01</w:t>
    </w:r>
    <w:r w:rsidRPr="0062581A">
      <w:rPr>
        <w:i/>
        <w:iCs/>
        <w:sz w:val="18"/>
        <w:szCs w:val="18"/>
        <w:lang w:val="en-US"/>
      </w:rPr>
      <w:t>, п</w:t>
    </w:r>
    <w:r w:rsidRPr="0062581A">
      <w:rPr>
        <w:i/>
        <w:iCs/>
        <w:sz w:val="18"/>
        <w:szCs w:val="18"/>
        <w:lang w:val="ru-RU"/>
      </w:rPr>
      <w:t>роект „Повишаване на знанията, уменията и квалификацията на общинските служител</w:t>
    </w:r>
    <w:r>
      <w:rPr>
        <w:i/>
        <w:iCs/>
        <w:sz w:val="18"/>
        <w:szCs w:val="18"/>
        <w:lang w:val="ru-RU"/>
      </w:rPr>
      <w:t>и</w:t>
    </w:r>
    <w:r w:rsidRPr="0062581A">
      <w:rPr>
        <w:i/>
        <w:iCs/>
        <w:sz w:val="18"/>
        <w:szCs w:val="18"/>
        <w:lang w:val="ru-RU"/>
      </w:rPr>
      <w:t xml:space="preserve">“ </w:t>
    </w:r>
    <w:proofErr w:type="spellStart"/>
    <w:r w:rsidRPr="0062581A">
      <w:rPr>
        <w:i/>
        <w:iCs/>
        <w:sz w:val="18"/>
        <w:szCs w:val="18"/>
        <w:lang w:val="en-US"/>
      </w:rPr>
      <w:t>за</w:t>
    </w:r>
    <w:proofErr w:type="spellEnd"/>
    <w:r w:rsidRPr="0062581A">
      <w:rPr>
        <w:i/>
        <w:iCs/>
        <w:sz w:val="18"/>
        <w:szCs w:val="18"/>
        <w:lang w:val="en-US"/>
      </w:rPr>
      <w:t xml:space="preserve"> </w:t>
    </w:r>
    <w:proofErr w:type="spellStart"/>
    <w:r w:rsidRPr="0062581A">
      <w:rPr>
        <w:i/>
        <w:iCs/>
        <w:sz w:val="18"/>
        <w:szCs w:val="18"/>
        <w:lang w:val="en-US"/>
      </w:rPr>
      <w:t>предоставяне</w:t>
    </w:r>
    <w:proofErr w:type="spellEnd"/>
    <w:r w:rsidRPr="0062581A">
      <w:rPr>
        <w:i/>
        <w:iCs/>
        <w:sz w:val="18"/>
        <w:szCs w:val="18"/>
        <w:lang w:val="en-US"/>
      </w:rPr>
      <w:t xml:space="preserve"> </w:t>
    </w:r>
    <w:proofErr w:type="spellStart"/>
    <w:r w:rsidRPr="0062581A">
      <w:rPr>
        <w:i/>
        <w:iCs/>
        <w:sz w:val="18"/>
        <w:szCs w:val="18"/>
        <w:lang w:val="en-US"/>
      </w:rPr>
      <w:t>на</w:t>
    </w:r>
    <w:proofErr w:type="spellEnd"/>
    <w:r w:rsidRPr="0062581A">
      <w:rPr>
        <w:i/>
        <w:iCs/>
        <w:sz w:val="18"/>
        <w:szCs w:val="18"/>
        <w:lang w:val="en-US"/>
      </w:rPr>
      <w:t xml:space="preserve"> </w:t>
    </w:r>
    <w:proofErr w:type="spellStart"/>
    <w:r w:rsidRPr="0062581A">
      <w:rPr>
        <w:i/>
        <w:iCs/>
        <w:sz w:val="18"/>
        <w:szCs w:val="18"/>
        <w:lang w:val="en-US"/>
      </w:rPr>
      <w:t>безвъзмездна</w:t>
    </w:r>
    <w:proofErr w:type="spellEnd"/>
    <w:r w:rsidRPr="0062581A">
      <w:rPr>
        <w:i/>
        <w:iCs/>
        <w:sz w:val="18"/>
        <w:szCs w:val="18"/>
        <w:lang w:val="en-US"/>
      </w:rPr>
      <w:t xml:space="preserve"> </w:t>
    </w:r>
    <w:proofErr w:type="spellStart"/>
    <w:r w:rsidRPr="0062581A">
      <w:rPr>
        <w:i/>
        <w:iCs/>
        <w:sz w:val="18"/>
        <w:szCs w:val="18"/>
        <w:lang w:val="en-US"/>
      </w:rPr>
      <w:t>финансова</w:t>
    </w:r>
    <w:proofErr w:type="spellEnd"/>
    <w:r w:rsidRPr="0062581A">
      <w:rPr>
        <w:i/>
        <w:iCs/>
        <w:sz w:val="18"/>
        <w:szCs w:val="18"/>
        <w:lang w:val="en-US"/>
      </w:rPr>
      <w:t xml:space="preserve"> </w:t>
    </w:r>
    <w:proofErr w:type="spellStart"/>
    <w:r w:rsidRPr="0062581A">
      <w:rPr>
        <w:i/>
        <w:iCs/>
        <w:sz w:val="18"/>
        <w:szCs w:val="18"/>
        <w:lang w:val="en-US"/>
      </w:rPr>
      <w:t>помощ</w:t>
    </w:r>
    <w:proofErr w:type="spellEnd"/>
    <w:r w:rsidRPr="0062581A">
      <w:rPr>
        <w:i/>
        <w:iCs/>
        <w:sz w:val="18"/>
        <w:szCs w:val="18"/>
        <w:lang w:val="en-US"/>
      </w:rPr>
      <w:t xml:space="preserve"> </w:t>
    </w:r>
    <w:proofErr w:type="spellStart"/>
    <w:r w:rsidRPr="0062581A">
      <w:rPr>
        <w:i/>
        <w:iCs/>
        <w:sz w:val="18"/>
        <w:szCs w:val="18"/>
        <w:lang w:val="en-US"/>
      </w:rPr>
      <w:t>по</w:t>
    </w:r>
    <w:proofErr w:type="spellEnd"/>
    <w:r w:rsidRPr="0062581A">
      <w:rPr>
        <w:i/>
        <w:iCs/>
        <w:sz w:val="18"/>
        <w:szCs w:val="18"/>
        <w:lang w:val="ru-RU"/>
      </w:rPr>
      <w:t xml:space="preserve"> Оперативна програма „Добро управление“, съфинансирана от Европейския съюз чрез Европейския социален фонд.</w:t>
    </w:r>
  </w:p>
  <w:p w:rsidR="00F67423" w:rsidRDefault="001E0A33" w:rsidP="00491731">
    <w:pPr>
      <w:spacing w:after="0" w:line="240" w:lineRule="auto"/>
      <w:ind w:right="-144"/>
      <w:jc w:val="center"/>
      <w:rPr>
        <w:rStyle w:val="Hyperlink"/>
        <w:i/>
        <w:iCs/>
        <w:sz w:val="18"/>
        <w:szCs w:val="18"/>
        <w:lang w:val="en-US"/>
      </w:rPr>
    </w:pPr>
    <w:hyperlink r:id="rId1" w:history="1">
      <w:r w:rsidR="00F67423" w:rsidRPr="0062581A">
        <w:rPr>
          <w:rStyle w:val="Hyperlink"/>
          <w:i/>
          <w:iCs/>
          <w:sz w:val="18"/>
          <w:szCs w:val="18"/>
          <w:lang w:val="en-US"/>
        </w:rPr>
        <w:t>www.eufunds.bg</w:t>
      </w:r>
    </w:hyperlink>
  </w:p>
  <w:sdt>
    <w:sdtPr>
      <w:id w:val="733824836"/>
      <w:docPartObj>
        <w:docPartGallery w:val="Page Numbers (Bottom of Page)"/>
        <w:docPartUnique/>
      </w:docPartObj>
    </w:sdtPr>
    <w:sdtEndPr>
      <w:rPr>
        <w:noProof/>
      </w:rPr>
    </w:sdtEndPr>
    <w:sdtContent>
      <w:p w:rsidR="00F67423" w:rsidRPr="00491731" w:rsidRDefault="00F67423" w:rsidP="00491731">
        <w:pPr>
          <w:pStyle w:val="Footer"/>
          <w:jc w:val="center"/>
        </w:pPr>
        <w:r>
          <w:fldChar w:fldCharType="begin"/>
        </w:r>
        <w:r>
          <w:instrText xml:space="preserve"> PAGE   \* MERGEFORMAT </w:instrText>
        </w:r>
        <w:r>
          <w:fldChar w:fldCharType="separate"/>
        </w:r>
        <w:r w:rsidR="00571E15">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A33" w:rsidRDefault="001E0A33" w:rsidP="00F45B7A">
      <w:pPr>
        <w:spacing w:before="0" w:after="0" w:line="240" w:lineRule="auto"/>
      </w:pPr>
      <w:r>
        <w:separator/>
      </w:r>
    </w:p>
  </w:footnote>
  <w:footnote w:type="continuationSeparator" w:id="0">
    <w:p w:rsidR="001E0A33" w:rsidRDefault="001E0A33" w:rsidP="00F45B7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423" w:rsidRDefault="00F67423" w:rsidP="00327EA7">
    <w:pPr>
      <w:pStyle w:val="Header"/>
      <w:tabs>
        <w:tab w:val="clear" w:pos="9072"/>
      </w:tabs>
      <w:ind w:left="-284"/>
    </w:pPr>
    <w:r>
      <w:rPr>
        <w:noProof/>
        <w:lang w:val="en-US" w:eastAsia="en-US"/>
      </w:rPr>
      <w:drawing>
        <wp:anchor distT="0" distB="0" distL="114300" distR="114300" simplePos="0" relativeHeight="251660288" behindDoc="0" locked="0" layoutInCell="1" allowOverlap="1">
          <wp:simplePos x="0" y="0"/>
          <wp:positionH relativeFrom="column">
            <wp:posOffset>-105410</wp:posOffset>
          </wp:positionH>
          <wp:positionV relativeFrom="paragraph">
            <wp:posOffset>-318770</wp:posOffset>
          </wp:positionV>
          <wp:extent cx="1514475" cy="5619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anchor>
      </w:drawing>
    </w:r>
    <w:r>
      <w:rPr>
        <w:noProof/>
        <w:lang w:val="en-US" w:eastAsia="en-US"/>
      </w:rPr>
      <w:drawing>
        <wp:anchor distT="0" distB="0" distL="114300" distR="114300" simplePos="0" relativeHeight="251659264" behindDoc="0" locked="0" layoutInCell="1" allowOverlap="1">
          <wp:simplePos x="0" y="0"/>
          <wp:positionH relativeFrom="column">
            <wp:posOffset>2548890</wp:posOffset>
          </wp:positionH>
          <wp:positionV relativeFrom="paragraph">
            <wp:posOffset>-386080</wp:posOffset>
          </wp:positionV>
          <wp:extent cx="989330" cy="629285"/>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89330" cy="629285"/>
                  </a:xfrm>
                  <a:prstGeom prst="rect">
                    <a:avLst/>
                  </a:prstGeom>
                  <a:noFill/>
                </pic:spPr>
              </pic:pic>
            </a:graphicData>
          </a:graphic>
        </wp:anchor>
      </w:drawing>
    </w:r>
    <w:r>
      <w:rPr>
        <w:noProof/>
        <w:lang w:val="en-US" w:eastAsia="en-US"/>
      </w:rPr>
      <w:drawing>
        <wp:anchor distT="0" distB="0" distL="114300" distR="114300" simplePos="0" relativeHeight="251658240" behindDoc="0" locked="0" layoutInCell="1" allowOverlap="1">
          <wp:simplePos x="0" y="0"/>
          <wp:positionH relativeFrom="column">
            <wp:posOffset>5317490</wp:posOffset>
          </wp:positionH>
          <wp:positionV relativeFrom="paragraph">
            <wp:posOffset>-386080</wp:posOffset>
          </wp:positionV>
          <wp:extent cx="1277620" cy="6248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7620" cy="62484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2A36"/>
    <w:multiLevelType w:val="hybridMultilevel"/>
    <w:tmpl w:val="45C2BB2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46B3AD0"/>
    <w:multiLevelType w:val="hybridMultilevel"/>
    <w:tmpl w:val="4078A37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4E44A24"/>
    <w:multiLevelType w:val="hybridMultilevel"/>
    <w:tmpl w:val="F272995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4AF22B4"/>
    <w:multiLevelType w:val="hybridMultilevel"/>
    <w:tmpl w:val="03A2C798"/>
    <w:lvl w:ilvl="0" w:tplc="81A8A720">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0620"/>
    <w:multiLevelType w:val="hybridMultilevel"/>
    <w:tmpl w:val="823A910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7E70FB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C1718DD"/>
    <w:multiLevelType w:val="hybridMultilevel"/>
    <w:tmpl w:val="8B7A30A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35BC29C3"/>
    <w:multiLevelType w:val="hybridMultilevel"/>
    <w:tmpl w:val="D354F09E"/>
    <w:lvl w:ilvl="0" w:tplc="D630B23A">
      <w:start w:val="1"/>
      <w:numFmt w:val="bullet"/>
      <w:lvlText w:val="•"/>
      <w:lvlJc w:val="left"/>
      <w:pPr>
        <w:ind w:left="720" w:hanging="360"/>
      </w:pPr>
      <w:rPr>
        <w:rFonts w:ascii="Arial" w:hAnsi="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45C604A6"/>
    <w:multiLevelType w:val="multilevel"/>
    <w:tmpl w:val="14403098"/>
    <w:lvl w:ilvl="0">
      <w:start w:val="1"/>
      <w:numFmt w:val="upperRoman"/>
      <w:pStyle w:val="Heading1"/>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D7D6CB8"/>
    <w:multiLevelType w:val="hybridMultilevel"/>
    <w:tmpl w:val="F71A4B9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5B3C4934"/>
    <w:multiLevelType w:val="hybridMultilevel"/>
    <w:tmpl w:val="1D20CCC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5F7B370E"/>
    <w:multiLevelType w:val="hybridMultilevel"/>
    <w:tmpl w:val="9E6A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161257"/>
    <w:multiLevelType w:val="hybridMultilevel"/>
    <w:tmpl w:val="89D89C96"/>
    <w:lvl w:ilvl="0" w:tplc="2B06EB96">
      <w:start w:val="1"/>
      <w:numFmt w:val="bullet"/>
      <w:lvlText w:val="-"/>
      <w:lvlJc w:val="left"/>
      <w:pPr>
        <w:ind w:left="720" w:hanging="360"/>
      </w:pPr>
      <w:rPr>
        <w:rFonts w:ascii="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740E1518"/>
    <w:multiLevelType w:val="hybridMultilevel"/>
    <w:tmpl w:val="EF205C2A"/>
    <w:lvl w:ilvl="0" w:tplc="80B2BE52">
      <w:start w:val="1"/>
      <w:numFmt w:val="bullet"/>
      <w:pStyle w:val="Heading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3A1371"/>
    <w:multiLevelType w:val="hybridMultilevel"/>
    <w:tmpl w:val="03CE3806"/>
    <w:lvl w:ilvl="0" w:tplc="D630B23A">
      <w:start w:val="1"/>
      <w:numFmt w:val="bullet"/>
      <w:lvlText w:val="•"/>
      <w:lvlJc w:val="left"/>
      <w:pPr>
        <w:ind w:left="720" w:hanging="360"/>
      </w:pPr>
      <w:rPr>
        <w:rFonts w:ascii="Arial" w:hAnsi="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75AD3518"/>
    <w:multiLevelType w:val="hybridMultilevel"/>
    <w:tmpl w:val="47D65C26"/>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3"/>
  </w:num>
  <w:num w:numId="4">
    <w:abstractNumId w:val="9"/>
  </w:num>
  <w:num w:numId="5">
    <w:abstractNumId w:val="6"/>
  </w:num>
  <w:num w:numId="6">
    <w:abstractNumId w:val="10"/>
  </w:num>
  <w:num w:numId="7">
    <w:abstractNumId w:val="2"/>
  </w:num>
  <w:num w:numId="8">
    <w:abstractNumId w:val="0"/>
  </w:num>
  <w:num w:numId="9">
    <w:abstractNumId w:val="4"/>
  </w:num>
  <w:num w:numId="10">
    <w:abstractNumId w:val="1"/>
  </w:num>
  <w:num w:numId="11">
    <w:abstractNumId w:val="5"/>
  </w:num>
  <w:num w:numId="12">
    <w:abstractNumId w:val="14"/>
  </w:num>
  <w:num w:numId="13">
    <w:abstractNumId w:val="7"/>
  </w:num>
  <w:num w:numId="14">
    <w:abstractNumId w:val="12"/>
  </w:num>
  <w:num w:numId="15">
    <w:abstractNumId w:val="11"/>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8CF"/>
    <w:rsid w:val="00047460"/>
    <w:rsid w:val="00051203"/>
    <w:rsid w:val="00052289"/>
    <w:rsid w:val="000717B2"/>
    <w:rsid w:val="000B401E"/>
    <w:rsid w:val="000C677C"/>
    <w:rsid w:val="000D0BC3"/>
    <w:rsid w:val="000E48C5"/>
    <w:rsid w:val="0012182B"/>
    <w:rsid w:val="001616E7"/>
    <w:rsid w:val="001E0A33"/>
    <w:rsid w:val="00220B4C"/>
    <w:rsid w:val="00245E8A"/>
    <w:rsid w:val="002B4276"/>
    <w:rsid w:val="002B5CD2"/>
    <w:rsid w:val="002D36B0"/>
    <w:rsid w:val="002F3398"/>
    <w:rsid w:val="00313215"/>
    <w:rsid w:val="00322860"/>
    <w:rsid w:val="00327EA7"/>
    <w:rsid w:val="00343333"/>
    <w:rsid w:val="00353FC9"/>
    <w:rsid w:val="00355391"/>
    <w:rsid w:val="003A7D64"/>
    <w:rsid w:val="003B18A1"/>
    <w:rsid w:val="003B5EF8"/>
    <w:rsid w:val="003B746E"/>
    <w:rsid w:val="003E21B6"/>
    <w:rsid w:val="003F2A17"/>
    <w:rsid w:val="00491731"/>
    <w:rsid w:val="004B43AE"/>
    <w:rsid w:val="004F4C1B"/>
    <w:rsid w:val="00527D7D"/>
    <w:rsid w:val="005325CB"/>
    <w:rsid w:val="00537129"/>
    <w:rsid w:val="005646C2"/>
    <w:rsid w:val="005656B0"/>
    <w:rsid w:val="005671E4"/>
    <w:rsid w:val="00571E15"/>
    <w:rsid w:val="00594BD1"/>
    <w:rsid w:val="005A6661"/>
    <w:rsid w:val="005B047C"/>
    <w:rsid w:val="005B0907"/>
    <w:rsid w:val="005B43CA"/>
    <w:rsid w:val="005B451A"/>
    <w:rsid w:val="005B5424"/>
    <w:rsid w:val="00603904"/>
    <w:rsid w:val="00623ACB"/>
    <w:rsid w:val="0062581A"/>
    <w:rsid w:val="0064148C"/>
    <w:rsid w:val="00674811"/>
    <w:rsid w:val="00680801"/>
    <w:rsid w:val="00681E13"/>
    <w:rsid w:val="006846E5"/>
    <w:rsid w:val="006B6324"/>
    <w:rsid w:val="006F3B00"/>
    <w:rsid w:val="00701A1B"/>
    <w:rsid w:val="00760121"/>
    <w:rsid w:val="00771FE9"/>
    <w:rsid w:val="00773A2D"/>
    <w:rsid w:val="007D372C"/>
    <w:rsid w:val="008149F0"/>
    <w:rsid w:val="008508CF"/>
    <w:rsid w:val="0086426F"/>
    <w:rsid w:val="00874B37"/>
    <w:rsid w:val="0088191D"/>
    <w:rsid w:val="008A3347"/>
    <w:rsid w:val="008E26BE"/>
    <w:rsid w:val="0094055E"/>
    <w:rsid w:val="009466D3"/>
    <w:rsid w:val="009C34BE"/>
    <w:rsid w:val="009E0C9C"/>
    <w:rsid w:val="00A01A11"/>
    <w:rsid w:val="00A0250E"/>
    <w:rsid w:val="00A2731A"/>
    <w:rsid w:val="00A3362E"/>
    <w:rsid w:val="00A41315"/>
    <w:rsid w:val="00AF664D"/>
    <w:rsid w:val="00B65E82"/>
    <w:rsid w:val="00BC78B1"/>
    <w:rsid w:val="00BE5298"/>
    <w:rsid w:val="00BF2314"/>
    <w:rsid w:val="00C27CF2"/>
    <w:rsid w:val="00C35A5C"/>
    <w:rsid w:val="00C56DE8"/>
    <w:rsid w:val="00C8102D"/>
    <w:rsid w:val="00C87760"/>
    <w:rsid w:val="00CA4665"/>
    <w:rsid w:val="00D1762C"/>
    <w:rsid w:val="00D203D8"/>
    <w:rsid w:val="00D20C2C"/>
    <w:rsid w:val="00D422E3"/>
    <w:rsid w:val="00D627FF"/>
    <w:rsid w:val="00DC45E3"/>
    <w:rsid w:val="00DD42D2"/>
    <w:rsid w:val="00DF678C"/>
    <w:rsid w:val="00E03BD0"/>
    <w:rsid w:val="00E22FBD"/>
    <w:rsid w:val="00E518B3"/>
    <w:rsid w:val="00E655CE"/>
    <w:rsid w:val="00E67C1A"/>
    <w:rsid w:val="00E86FE5"/>
    <w:rsid w:val="00E91207"/>
    <w:rsid w:val="00E93062"/>
    <w:rsid w:val="00EB0427"/>
    <w:rsid w:val="00F12D3E"/>
    <w:rsid w:val="00F136A3"/>
    <w:rsid w:val="00F45B7A"/>
    <w:rsid w:val="00F67423"/>
    <w:rsid w:val="00FA79FF"/>
    <w:rsid w:val="00FC309A"/>
    <w:rsid w:val="00FF7BAF"/>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D39493-E824-4EE5-B9BE-CDC209B5E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C1A"/>
    <w:pPr>
      <w:spacing w:before="100" w:after="200" w:line="276" w:lineRule="auto"/>
      <w:jc w:val="left"/>
    </w:pPr>
    <w:rPr>
      <w:rFonts w:ascii="Calibri" w:eastAsia="Times New Roman" w:hAnsi="Calibri" w:cs="Times New Roman"/>
      <w:sz w:val="20"/>
      <w:szCs w:val="20"/>
      <w:lang w:eastAsia="bg-BG"/>
    </w:rPr>
  </w:style>
  <w:style w:type="paragraph" w:styleId="Heading1">
    <w:name w:val="heading 1"/>
    <w:basedOn w:val="Normal"/>
    <w:next w:val="Normal"/>
    <w:link w:val="Heading1Char"/>
    <w:uiPriority w:val="9"/>
    <w:qFormat/>
    <w:rsid w:val="000D0BC3"/>
    <w:pPr>
      <w:keepNext/>
      <w:keepLines/>
      <w:numPr>
        <w:numId w:val="1"/>
      </w:numPr>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0D0BC3"/>
    <w:pPr>
      <w:keepNext/>
      <w:keepLines/>
      <w:numPr>
        <w:numId w:val="2"/>
      </w:numPr>
      <w:spacing w:before="40" w:after="0"/>
      <w:outlineLvl w:val="1"/>
    </w:pPr>
    <w:rPr>
      <w:rFonts w:ascii="Times New Roman" w:eastAsiaTheme="majorEastAsia" w:hAnsi="Times New Roman" w:cstheme="majorBidi"/>
      <w:color w:val="000000" w:themeColor="text1"/>
      <w:sz w:val="24"/>
      <w:szCs w:val="26"/>
    </w:rPr>
  </w:style>
  <w:style w:type="paragraph" w:styleId="Heading3">
    <w:name w:val="heading 3"/>
    <w:basedOn w:val="Normal"/>
    <w:next w:val="Normal"/>
    <w:link w:val="Heading3Char"/>
    <w:uiPriority w:val="9"/>
    <w:unhideWhenUsed/>
    <w:qFormat/>
    <w:rsid w:val="000D0BC3"/>
    <w:pPr>
      <w:keepNext/>
      <w:keepLines/>
      <w:numPr>
        <w:numId w:val="3"/>
      </w:numPr>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0D0BC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olorful List Accent 1,ПАРАГРАФ"/>
    <w:basedOn w:val="Normal"/>
    <w:link w:val="ListParagraphChar"/>
    <w:uiPriority w:val="34"/>
    <w:qFormat/>
    <w:rsid w:val="008508CF"/>
    <w:pPr>
      <w:ind w:left="720"/>
      <w:contextualSpacing/>
    </w:pPr>
  </w:style>
  <w:style w:type="paragraph" w:styleId="BodyTextIndent2">
    <w:name w:val="Body Text Indent 2"/>
    <w:basedOn w:val="Normal"/>
    <w:link w:val="BodyTextIndent2Char"/>
    <w:uiPriority w:val="99"/>
    <w:unhideWhenUsed/>
    <w:rsid w:val="008508CF"/>
    <w:pPr>
      <w:spacing w:after="120" w:line="240" w:lineRule="auto"/>
      <w:ind w:left="720"/>
    </w:pPr>
    <w:rPr>
      <w:rFonts w:ascii="Times New Roman" w:hAnsi="Times New Roman"/>
      <w:sz w:val="24"/>
      <w:szCs w:val="24"/>
    </w:rPr>
  </w:style>
  <w:style w:type="character" w:customStyle="1" w:styleId="BodyTextIndent2Char">
    <w:name w:val="Body Text Indent 2 Char"/>
    <w:basedOn w:val="DefaultParagraphFont"/>
    <w:link w:val="BodyTextIndent2"/>
    <w:uiPriority w:val="99"/>
    <w:rsid w:val="008508C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5B7A"/>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F45B7A"/>
    <w:rPr>
      <w:rFonts w:ascii="Calibri" w:eastAsia="Times New Roman" w:hAnsi="Calibri" w:cs="Times New Roman"/>
      <w:sz w:val="20"/>
      <w:szCs w:val="20"/>
      <w:lang w:eastAsia="bg-BG"/>
    </w:rPr>
  </w:style>
  <w:style w:type="paragraph" w:styleId="Footer">
    <w:name w:val="footer"/>
    <w:basedOn w:val="Normal"/>
    <w:link w:val="FooterChar"/>
    <w:uiPriority w:val="99"/>
    <w:unhideWhenUsed/>
    <w:rsid w:val="00F45B7A"/>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F45B7A"/>
    <w:rPr>
      <w:rFonts w:ascii="Calibri" w:eastAsia="Times New Roman" w:hAnsi="Calibri" w:cs="Times New Roman"/>
      <w:sz w:val="20"/>
      <w:szCs w:val="20"/>
      <w:lang w:eastAsia="bg-BG"/>
    </w:rPr>
  </w:style>
  <w:style w:type="paragraph" w:styleId="BalloonText">
    <w:name w:val="Balloon Text"/>
    <w:basedOn w:val="Normal"/>
    <w:link w:val="BalloonTextChar"/>
    <w:uiPriority w:val="99"/>
    <w:semiHidden/>
    <w:unhideWhenUsed/>
    <w:rsid w:val="00F45B7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B7A"/>
    <w:rPr>
      <w:rFonts w:ascii="Tahoma" w:eastAsia="Times New Roman" w:hAnsi="Tahoma" w:cs="Tahoma"/>
      <w:sz w:val="16"/>
      <w:szCs w:val="16"/>
      <w:lang w:eastAsia="bg-BG"/>
    </w:rPr>
  </w:style>
  <w:style w:type="character" w:styleId="Hyperlink">
    <w:name w:val="Hyperlink"/>
    <w:basedOn w:val="DefaultParagraphFont"/>
    <w:uiPriority w:val="99"/>
    <w:unhideWhenUsed/>
    <w:rsid w:val="0062581A"/>
    <w:rPr>
      <w:color w:val="0000FF" w:themeColor="hyperlink"/>
      <w:u w:val="single"/>
    </w:rPr>
  </w:style>
  <w:style w:type="table" w:styleId="TableGrid">
    <w:name w:val="Table Grid"/>
    <w:basedOn w:val="TableNormal"/>
    <w:uiPriority w:val="59"/>
    <w:rsid w:val="00491731"/>
    <w:pPr>
      <w:jc w:val="left"/>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olorful List Accent 1 Char,ПАРАГРАФ Char"/>
    <w:link w:val="ListParagraph"/>
    <w:uiPriority w:val="34"/>
    <w:locked/>
    <w:rsid w:val="00491731"/>
    <w:rPr>
      <w:rFonts w:ascii="Calibri" w:eastAsia="Times New Roman" w:hAnsi="Calibri" w:cs="Times New Roman"/>
      <w:sz w:val="20"/>
      <w:szCs w:val="20"/>
      <w:lang w:eastAsia="bg-BG"/>
    </w:rPr>
  </w:style>
  <w:style w:type="character" w:customStyle="1" w:styleId="2">
    <w:name w:val="Основен текст (2)_"/>
    <w:link w:val="21"/>
    <w:rsid w:val="00491731"/>
    <w:rPr>
      <w:shd w:val="clear" w:color="auto" w:fill="FFFFFF"/>
    </w:rPr>
  </w:style>
  <w:style w:type="paragraph" w:customStyle="1" w:styleId="21">
    <w:name w:val="Основен текст (2)1"/>
    <w:basedOn w:val="Normal"/>
    <w:link w:val="2"/>
    <w:rsid w:val="00491731"/>
    <w:pPr>
      <w:widowControl w:val="0"/>
      <w:shd w:val="clear" w:color="auto" w:fill="FFFFFF"/>
      <w:suppressAutoHyphens/>
      <w:spacing w:before="300" w:after="240" w:line="254" w:lineRule="exact"/>
      <w:jc w:val="both"/>
    </w:pPr>
    <w:rPr>
      <w:rFonts w:asciiTheme="minorHAnsi" w:eastAsiaTheme="minorHAnsi" w:hAnsiTheme="minorHAnsi" w:cstheme="minorBidi"/>
      <w:sz w:val="22"/>
      <w:szCs w:val="22"/>
      <w:lang w:eastAsia="en-US"/>
    </w:rPr>
  </w:style>
  <w:style w:type="character" w:customStyle="1" w:styleId="UnresolvedMention">
    <w:name w:val="Unresolved Mention"/>
    <w:basedOn w:val="DefaultParagraphFont"/>
    <w:uiPriority w:val="99"/>
    <w:semiHidden/>
    <w:unhideWhenUsed/>
    <w:rsid w:val="00C8102D"/>
    <w:rPr>
      <w:color w:val="605E5C"/>
      <w:shd w:val="clear" w:color="auto" w:fill="E1DFDD"/>
    </w:rPr>
  </w:style>
  <w:style w:type="character" w:styleId="FollowedHyperlink">
    <w:name w:val="FollowedHyperlink"/>
    <w:basedOn w:val="DefaultParagraphFont"/>
    <w:uiPriority w:val="99"/>
    <w:semiHidden/>
    <w:unhideWhenUsed/>
    <w:rsid w:val="00C8102D"/>
    <w:rPr>
      <w:color w:val="800080" w:themeColor="followedHyperlink"/>
      <w:u w:val="single"/>
    </w:rPr>
  </w:style>
  <w:style w:type="character" w:customStyle="1" w:styleId="Heading1Char">
    <w:name w:val="Heading 1 Char"/>
    <w:basedOn w:val="DefaultParagraphFont"/>
    <w:link w:val="Heading1"/>
    <w:uiPriority w:val="9"/>
    <w:rsid w:val="000D0BC3"/>
    <w:rPr>
      <w:rFonts w:ascii="Times New Roman" w:eastAsiaTheme="majorEastAsia" w:hAnsi="Times New Roman" w:cstheme="majorBidi"/>
      <w:b/>
      <w:color w:val="000000" w:themeColor="text1"/>
      <w:sz w:val="24"/>
      <w:szCs w:val="32"/>
      <w:lang w:eastAsia="bg-BG"/>
    </w:rPr>
  </w:style>
  <w:style w:type="character" w:customStyle="1" w:styleId="Heading2Char">
    <w:name w:val="Heading 2 Char"/>
    <w:basedOn w:val="DefaultParagraphFont"/>
    <w:link w:val="Heading2"/>
    <w:uiPriority w:val="9"/>
    <w:rsid w:val="000D0BC3"/>
    <w:rPr>
      <w:rFonts w:ascii="Times New Roman" w:eastAsiaTheme="majorEastAsia" w:hAnsi="Times New Roman" w:cstheme="majorBidi"/>
      <w:color w:val="000000" w:themeColor="text1"/>
      <w:sz w:val="24"/>
      <w:szCs w:val="26"/>
      <w:lang w:eastAsia="bg-BG"/>
    </w:rPr>
  </w:style>
  <w:style w:type="character" w:customStyle="1" w:styleId="Heading3Char">
    <w:name w:val="Heading 3 Char"/>
    <w:basedOn w:val="DefaultParagraphFont"/>
    <w:link w:val="Heading3"/>
    <w:uiPriority w:val="9"/>
    <w:rsid w:val="000D0BC3"/>
    <w:rPr>
      <w:rFonts w:ascii="Times New Roman" w:eastAsiaTheme="majorEastAsia" w:hAnsi="Times New Roman" w:cstheme="majorBidi"/>
      <w:b/>
      <w:color w:val="000000" w:themeColor="text1"/>
      <w:sz w:val="24"/>
      <w:szCs w:val="24"/>
      <w:lang w:eastAsia="bg-BG"/>
    </w:rPr>
  </w:style>
  <w:style w:type="character" w:customStyle="1" w:styleId="Heading4Char">
    <w:name w:val="Heading 4 Char"/>
    <w:basedOn w:val="DefaultParagraphFont"/>
    <w:link w:val="Heading4"/>
    <w:uiPriority w:val="9"/>
    <w:rsid w:val="000D0BC3"/>
    <w:rPr>
      <w:rFonts w:asciiTheme="majorHAnsi" w:eastAsiaTheme="majorEastAsia" w:hAnsiTheme="majorHAnsi" w:cstheme="majorBidi"/>
      <w:i/>
      <w:iCs/>
      <w:color w:val="365F91" w:themeColor="accent1" w:themeShade="BF"/>
      <w:sz w:val="20"/>
      <w:szCs w:val="20"/>
      <w:lang w:eastAsia="bg-BG"/>
    </w:rPr>
  </w:style>
  <w:style w:type="paragraph" w:styleId="TOCHeading">
    <w:name w:val="TOC Heading"/>
    <w:basedOn w:val="Heading1"/>
    <w:next w:val="Normal"/>
    <w:uiPriority w:val="39"/>
    <w:unhideWhenUsed/>
    <w:qFormat/>
    <w:rsid w:val="00313215"/>
    <w:pPr>
      <w:numPr>
        <w:numId w:val="0"/>
      </w:numPr>
      <w:spacing w:line="259" w:lineRule="auto"/>
      <w:outlineLvl w:val="9"/>
    </w:pPr>
    <w:rPr>
      <w:rFonts w:asciiTheme="majorHAnsi" w:hAnsiTheme="majorHAnsi"/>
      <w:b w:val="0"/>
      <w:color w:val="365F91" w:themeColor="accent1" w:themeShade="BF"/>
      <w:sz w:val="32"/>
      <w:lang w:val="en-US" w:eastAsia="en-US"/>
    </w:rPr>
  </w:style>
  <w:style w:type="paragraph" w:styleId="TOC1">
    <w:name w:val="toc 1"/>
    <w:basedOn w:val="Normal"/>
    <w:next w:val="Normal"/>
    <w:autoRedefine/>
    <w:uiPriority w:val="39"/>
    <w:unhideWhenUsed/>
    <w:rsid w:val="00313215"/>
    <w:pPr>
      <w:spacing w:after="100"/>
    </w:pPr>
  </w:style>
  <w:style w:type="paragraph" w:styleId="TOC2">
    <w:name w:val="toc 2"/>
    <w:basedOn w:val="Normal"/>
    <w:next w:val="Normal"/>
    <w:autoRedefine/>
    <w:uiPriority w:val="39"/>
    <w:unhideWhenUsed/>
    <w:rsid w:val="00313215"/>
    <w:pPr>
      <w:spacing w:after="100"/>
      <w:ind w:left="200"/>
    </w:pPr>
  </w:style>
  <w:style w:type="paragraph" w:styleId="TOC3">
    <w:name w:val="toc 3"/>
    <w:basedOn w:val="Normal"/>
    <w:next w:val="Normal"/>
    <w:autoRedefine/>
    <w:uiPriority w:val="39"/>
    <w:unhideWhenUsed/>
    <w:rsid w:val="0031321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9790">
      <w:bodyDiv w:val="1"/>
      <w:marLeft w:val="0"/>
      <w:marRight w:val="0"/>
      <w:marTop w:val="0"/>
      <w:marBottom w:val="0"/>
      <w:divBdr>
        <w:top w:val="none" w:sz="0" w:space="0" w:color="auto"/>
        <w:left w:val="none" w:sz="0" w:space="0" w:color="auto"/>
        <w:bottom w:val="none" w:sz="0" w:space="0" w:color="auto"/>
        <w:right w:val="none" w:sz="0" w:space="0" w:color="auto"/>
      </w:divBdr>
    </w:div>
    <w:div w:id="42801276">
      <w:bodyDiv w:val="1"/>
      <w:marLeft w:val="0"/>
      <w:marRight w:val="0"/>
      <w:marTop w:val="0"/>
      <w:marBottom w:val="0"/>
      <w:divBdr>
        <w:top w:val="none" w:sz="0" w:space="0" w:color="auto"/>
        <w:left w:val="none" w:sz="0" w:space="0" w:color="auto"/>
        <w:bottom w:val="none" w:sz="0" w:space="0" w:color="auto"/>
        <w:right w:val="none" w:sz="0" w:space="0" w:color="auto"/>
      </w:divBdr>
    </w:div>
    <w:div w:id="539247998">
      <w:bodyDiv w:val="1"/>
      <w:marLeft w:val="0"/>
      <w:marRight w:val="0"/>
      <w:marTop w:val="0"/>
      <w:marBottom w:val="0"/>
      <w:divBdr>
        <w:top w:val="none" w:sz="0" w:space="0" w:color="auto"/>
        <w:left w:val="none" w:sz="0" w:space="0" w:color="auto"/>
        <w:bottom w:val="none" w:sz="0" w:space="0" w:color="auto"/>
        <w:right w:val="none" w:sz="0" w:space="0" w:color="auto"/>
      </w:divBdr>
    </w:div>
    <w:div w:id="585307662">
      <w:bodyDiv w:val="1"/>
      <w:marLeft w:val="0"/>
      <w:marRight w:val="0"/>
      <w:marTop w:val="0"/>
      <w:marBottom w:val="0"/>
      <w:divBdr>
        <w:top w:val="none" w:sz="0" w:space="0" w:color="auto"/>
        <w:left w:val="none" w:sz="0" w:space="0" w:color="auto"/>
        <w:bottom w:val="none" w:sz="0" w:space="0" w:color="auto"/>
        <w:right w:val="none" w:sz="0" w:space="0" w:color="auto"/>
      </w:divBdr>
    </w:div>
    <w:div w:id="744838504">
      <w:bodyDiv w:val="1"/>
      <w:marLeft w:val="0"/>
      <w:marRight w:val="0"/>
      <w:marTop w:val="0"/>
      <w:marBottom w:val="0"/>
      <w:divBdr>
        <w:top w:val="none" w:sz="0" w:space="0" w:color="auto"/>
        <w:left w:val="none" w:sz="0" w:space="0" w:color="auto"/>
        <w:bottom w:val="none" w:sz="0" w:space="0" w:color="auto"/>
        <w:right w:val="none" w:sz="0" w:space="0" w:color="auto"/>
      </w:divBdr>
    </w:div>
    <w:div w:id="994260135">
      <w:bodyDiv w:val="1"/>
      <w:marLeft w:val="0"/>
      <w:marRight w:val="0"/>
      <w:marTop w:val="0"/>
      <w:marBottom w:val="0"/>
      <w:divBdr>
        <w:top w:val="none" w:sz="0" w:space="0" w:color="auto"/>
        <w:left w:val="none" w:sz="0" w:space="0" w:color="auto"/>
        <w:bottom w:val="none" w:sz="0" w:space="0" w:color="auto"/>
        <w:right w:val="none" w:sz="0" w:space="0" w:color="auto"/>
      </w:divBdr>
    </w:div>
    <w:div w:id="1574853696">
      <w:bodyDiv w:val="1"/>
      <w:marLeft w:val="0"/>
      <w:marRight w:val="0"/>
      <w:marTop w:val="0"/>
      <w:marBottom w:val="0"/>
      <w:divBdr>
        <w:top w:val="none" w:sz="0" w:space="0" w:color="auto"/>
        <w:left w:val="none" w:sz="0" w:space="0" w:color="auto"/>
        <w:bottom w:val="none" w:sz="0" w:space="0" w:color="auto"/>
        <w:right w:val="none" w:sz="0" w:space="0" w:color="auto"/>
      </w:divBdr>
    </w:div>
    <w:div w:id="1637224398">
      <w:bodyDiv w:val="1"/>
      <w:marLeft w:val="0"/>
      <w:marRight w:val="0"/>
      <w:marTop w:val="0"/>
      <w:marBottom w:val="0"/>
      <w:divBdr>
        <w:top w:val="none" w:sz="0" w:space="0" w:color="auto"/>
        <w:left w:val="none" w:sz="0" w:space="0" w:color="auto"/>
        <w:bottom w:val="none" w:sz="0" w:space="0" w:color="auto"/>
        <w:right w:val="none" w:sz="0" w:space="0" w:color="auto"/>
      </w:divBdr>
    </w:div>
    <w:div w:id="1717119142">
      <w:bodyDiv w:val="1"/>
      <w:marLeft w:val="0"/>
      <w:marRight w:val="0"/>
      <w:marTop w:val="0"/>
      <w:marBottom w:val="0"/>
      <w:divBdr>
        <w:top w:val="none" w:sz="0" w:space="0" w:color="auto"/>
        <w:left w:val="none" w:sz="0" w:space="0" w:color="auto"/>
        <w:bottom w:val="none" w:sz="0" w:space="0" w:color="auto"/>
        <w:right w:val="none" w:sz="0" w:space="0" w:color="auto"/>
      </w:divBdr>
    </w:div>
    <w:div w:id="188883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infin.b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n.bg/bg/5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legbudget.mon.b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b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71389-2199-4C65-A322-B2715BC79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6374</Words>
  <Characters>36337</Characters>
  <Application>Microsoft Office Word</Application>
  <DocSecurity>0</DocSecurity>
  <Lines>302</Lines>
  <Paragraphs>85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Club 2000</Company>
  <LinksUpToDate>false</LinksUpToDate>
  <CharactersWithSpaces>42626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Ivanova</dc:creator>
  <cp:lastModifiedBy>LiLy</cp:lastModifiedBy>
  <cp:revision>5</cp:revision>
  <dcterms:created xsi:type="dcterms:W3CDTF">2021-08-09T12:59:00Z</dcterms:created>
  <dcterms:modified xsi:type="dcterms:W3CDTF">2021-08-09T13:09:00Z</dcterms:modified>
</cp:coreProperties>
</file>