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FDC9" w14:textId="2A516681" w:rsidR="00C50495" w:rsidRDefault="00C50495" w:rsidP="00334D8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D62EEB" w14:textId="563F9805" w:rsidR="00FD2F33" w:rsidRDefault="00FD2F33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МАТЕРИАЛИ ЗА САМОПОДГОТОВКА</w:t>
      </w:r>
      <w:r w:rsidR="000E024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(ПОМОЩНИ УЧЕБНИ РЕСУРСИ)</w:t>
      </w:r>
    </w:p>
    <w:p w14:paraId="60B7D09B" w14:textId="57C372CC" w:rsidR="000E024D" w:rsidRPr="00EC2BE5" w:rsidRDefault="000E024D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ДОПЪЛНИТЕЛНИ ПРИМЕРИ, ПРАКТИКИ И ДР.</w:t>
      </w:r>
    </w:p>
    <w:p w14:paraId="03271A65" w14:textId="77777777" w:rsidR="00DD361A" w:rsidRPr="00325B4A" w:rsidRDefault="00DD361A" w:rsidP="00DD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B4A">
        <w:rPr>
          <w:rFonts w:ascii="Times New Roman" w:hAnsi="Times New Roman"/>
          <w:b/>
          <w:bCs/>
          <w:sz w:val="24"/>
          <w:szCs w:val="24"/>
        </w:rPr>
        <w:t>ТЕМА 1:</w:t>
      </w:r>
    </w:p>
    <w:p w14:paraId="0E2C3CEE" w14:textId="77777777" w:rsidR="00DD361A" w:rsidRPr="00325B4A" w:rsidRDefault="00DD361A" w:rsidP="00DD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B4A">
        <w:rPr>
          <w:rFonts w:ascii="Times New Roman" w:hAnsi="Times New Roman"/>
          <w:b/>
          <w:bCs/>
          <w:sz w:val="24"/>
          <w:szCs w:val="24"/>
        </w:rPr>
        <w:t>„ЕВРОПЕЙСКИ ПОЛИТИКИ И РЕГЛАМЕНТИ В ОБЛАСТТА НА ОПАЗВАНЕ НА КУЛТУРНО-ИСТОРИЧЕСКОТО НАСЛЕДСТВО. АКТУАЛНИ ПРОМЕНИ В ЗАКОНА ЗА КУЛТУРНОТО НАСЛЕДСТВО</w:t>
      </w:r>
      <w:r w:rsidRPr="00325B4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15A670CF" w14:textId="77777777" w:rsidR="000E024D" w:rsidRDefault="000E024D" w:rsidP="00DD361A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5EDB56B3" w14:textId="67D6064F" w:rsidR="006D51C4" w:rsidRPr="000E024D" w:rsidRDefault="000E024D" w:rsidP="00DD361A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E024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r w:rsidRPr="000E024D">
        <w:rPr>
          <w:rFonts w:ascii="Times New Roman" w:hAnsi="Times New Roman" w:cs="Times New Roman"/>
          <w:b/>
          <w:bCs/>
          <w:sz w:val="24"/>
          <w:szCs w:val="24"/>
        </w:rPr>
        <w:t>Материали за самоподготовка</w:t>
      </w:r>
      <w:r w:rsidR="00DD361A">
        <w:rPr>
          <w:rFonts w:ascii="Times New Roman" w:hAnsi="Times New Roman" w:cs="Times New Roman"/>
          <w:b/>
          <w:bCs/>
          <w:sz w:val="24"/>
          <w:szCs w:val="24"/>
        </w:rPr>
        <w:t>; допълнителни примери, практики и др.</w:t>
      </w:r>
      <w:r w:rsidRPr="000E02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9EF79C" w14:textId="6A40C27B" w:rsidR="00DD361A" w:rsidRDefault="00DD361A" w:rsidP="00DD361A">
      <w:pPr>
        <w:pStyle w:val="ListParagraph"/>
        <w:numPr>
          <w:ilvl w:val="0"/>
          <w:numId w:val="21"/>
        </w:numPr>
        <w:spacing w:before="120" w:after="12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DD361A">
        <w:rPr>
          <w:rFonts w:ascii="Times New Roman" w:hAnsi="Times New Roman"/>
          <w:b/>
          <w:bCs/>
          <w:sz w:val="24"/>
          <w:szCs w:val="24"/>
        </w:rPr>
        <w:t xml:space="preserve">Компонент 1 - </w:t>
      </w:r>
      <w:r w:rsidRPr="00DD361A">
        <w:rPr>
          <w:rFonts w:ascii="Times New Roman" w:hAnsi="Times New Roman"/>
          <w:b/>
          <w:bCs/>
          <w:sz w:val="24"/>
          <w:szCs w:val="24"/>
        </w:rPr>
        <w:t>Юридическа защита и правна рамка в сферата на опазване на културно-историческото наследство (КИН):</w:t>
      </w:r>
    </w:p>
    <w:p w14:paraId="1E66E141" w14:textId="0458D194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7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</w:t>
        </w:r>
      </w:hyperlink>
      <w:hyperlink r:id="rId8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://mc.government.bg/</w:t>
        </w:r>
      </w:hyperlink>
      <w:r w:rsidRPr="00DD361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BDC44DD" w14:textId="11BD74D7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9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10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ec.europa.eu/culture/cultural-heritage/cultural-heritage-eu-policies</w:t>
        </w:r>
      </w:hyperlink>
    </w:p>
    <w:p w14:paraId="7C4AD2B5" w14:textId="5E6CDF40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11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12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www.coe.int/en/web/portal/home</w:t>
        </w:r>
      </w:hyperlink>
    </w:p>
    <w:p w14:paraId="5D8276D8" w14:textId="2C3826BC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13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14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www.coe.int/en/web/culture-and-heritage/herein-heritage-network</w:t>
        </w:r>
      </w:hyperlink>
    </w:p>
    <w:p w14:paraId="71161781" w14:textId="0132D0D8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15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https://rm.coe.int/16806f6a03</w:t>
        </w:r>
      </w:hyperlink>
    </w:p>
    <w:p w14:paraId="7790A44C" w14:textId="2C0FD5DF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16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</w:t>
        </w:r>
      </w:hyperlink>
      <w:hyperlink r:id="rId17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://openarchive.icomos.org</w:t>
        </w:r>
      </w:hyperlink>
    </w:p>
    <w:p w14:paraId="02FC024E" w14:textId="768CA745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18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</w:t>
        </w:r>
      </w:hyperlink>
      <w:hyperlink r:id="rId19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://icomos-bg.org</w:t>
        </w:r>
      </w:hyperlink>
      <w:hyperlink r:id="rId20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  <w:r w:rsidRPr="00DD361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8F12635" w14:textId="0CFA0B6A" w:rsidR="00DD361A" w:rsidRPr="00DD361A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21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http://webp.icomos-bg.org</w:t>
        </w:r>
      </w:hyperlink>
      <w:hyperlink r:id="rId22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765377C0" w14:textId="39D35D96" w:rsidR="00DD361A" w:rsidRPr="004C483B" w:rsidRDefault="00DD361A" w:rsidP="00DD361A">
      <w:pPr>
        <w:pStyle w:val="ListParagraph"/>
        <w:numPr>
          <w:ilvl w:val="0"/>
          <w:numId w:val="22"/>
        </w:numPr>
        <w:spacing w:before="120" w:after="120"/>
        <w:contextualSpacing w:val="0"/>
        <w:rPr>
          <w:rFonts w:ascii="Times New Roman" w:hAnsi="Times New Roman"/>
          <w:sz w:val="24"/>
          <w:szCs w:val="24"/>
          <w:lang w:val="en-GB"/>
        </w:rPr>
      </w:pPr>
      <w:hyperlink r:id="rId23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</w:rPr>
          <w:t>https://</w:t>
        </w:r>
      </w:hyperlink>
      <w:hyperlink r:id="rId24" w:history="1">
        <w:r w:rsidRPr="00DD361A">
          <w:rPr>
            <w:rStyle w:val="Hyperlink"/>
            <w:rFonts w:ascii="Times New Roman" w:hAnsi="Times New Roman"/>
            <w:sz w:val="24"/>
            <w:szCs w:val="24"/>
            <w:u w:val="none"/>
          </w:rPr>
          <w:t>www.europarl.europa.eu/RegData/etudes/BRIE/2018/621876/EPRS_BRI(2018)621876_EN.pdf</w:t>
        </w:r>
      </w:hyperlink>
    </w:p>
    <w:p w14:paraId="7CBA2485" w14:textId="3CB8C065" w:rsidR="00286DD8" w:rsidRDefault="002D37FE" w:rsidP="002D37FE">
      <w:pPr>
        <w:pStyle w:val="ListParagraph"/>
        <w:numPr>
          <w:ilvl w:val="0"/>
          <w:numId w:val="21"/>
        </w:numPr>
        <w:spacing w:before="120" w:after="12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D37FE">
        <w:rPr>
          <w:rFonts w:ascii="Times New Roman" w:hAnsi="Times New Roman"/>
          <w:b/>
          <w:bCs/>
          <w:sz w:val="24"/>
          <w:szCs w:val="24"/>
        </w:rPr>
        <w:t xml:space="preserve">Компонент 2 - </w:t>
      </w:r>
      <w:r w:rsidRPr="002D37FE">
        <w:rPr>
          <w:rFonts w:ascii="Times New Roman" w:hAnsi="Times New Roman"/>
          <w:b/>
          <w:bCs/>
          <w:sz w:val="24"/>
          <w:szCs w:val="24"/>
        </w:rPr>
        <w:t>Приложима нормативна уредба в сферата на опазване на културно-историческото наследство (КИН):</w:t>
      </w:r>
    </w:p>
    <w:p w14:paraId="16B9C54D" w14:textId="48F60ECF" w:rsidR="002D37FE" w:rsidRPr="002D37FE" w:rsidRDefault="002D37FE" w:rsidP="002D37FE">
      <w:pPr>
        <w:pStyle w:val="ListParagraph"/>
        <w:spacing w:before="120" w:after="120"/>
        <w:ind w:left="425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Нормативна уредба за КИН в България:</w:t>
      </w:r>
    </w:p>
    <w:p w14:paraId="596B797F" w14:textId="6D804AE2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Н-3 от 3 декември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г. за реда за извършване на идентификация и за водене на Регистъра на движими културни ценности;</w:t>
      </w:r>
    </w:p>
    <w:p w14:paraId="0B20DC4D" w14:textId="6DC5C373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Н-4 от 11 декември 2009 г. за реда за водене на Регистъра на експерти по чл.96, ал.3 от Закона за културното наследство;</w:t>
      </w:r>
    </w:p>
    <w:p w14:paraId="1CD45F79" w14:textId="77777777" w:rsid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lastRenderedPageBreak/>
        <w:t xml:space="preserve">Наредба№ Н-6 от 11 декември 2009 г. за формиране и управление на музейните фондове; </w:t>
      </w:r>
    </w:p>
    <w:p w14:paraId="06B01D50" w14:textId="07DD70C1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Н-5 от 11 декември 2009 г. за реда за създаване на научни групи към музеите;</w:t>
      </w:r>
    </w:p>
    <w:p w14:paraId="2D614767" w14:textId="5D0AA0D0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Н-00-0005 от 8 юни 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г. за условията и реда за възпроизвеждане на културни ценности в копия, реплики и предмети с търговско предназначение; </w:t>
      </w:r>
    </w:p>
    <w:p w14:paraId="07FCFCE2" w14:textId="7D8022B6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Н-00-0001 от 14 февруари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г. за извършване на теренни археологически проучвания (в сила от 01.03.2011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D37FE">
        <w:rPr>
          <w:rFonts w:ascii="Times New Roman" w:hAnsi="Times New Roman"/>
          <w:sz w:val="24"/>
          <w:szCs w:val="24"/>
        </w:rPr>
        <w:t>);</w:t>
      </w:r>
    </w:p>
    <w:p w14:paraId="0F7E2200" w14:textId="37C0906F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Постановление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45 от 25 февруари 2011 г. за приемане на Наредба за обхвата, структурата, съдържанието и методологията за изработване на плановете за опазване и управление на единичните или груповите недвижими културни ценности (Постановление № 276 от 2 ноември 2012 г. за изменение и допълнение на Наредбата); </w:t>
      </w:r>
    </w:p>
    <w:p w14:paraId="74EB20CE" w14:textId="7171D6F3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Н-3 от 6 април 2011 г. за условията и реда за създаване и поддържане на публичен регистър на лицата, които имат право да извършват дейности по консервация и реставрация;</w:t>
      </w:r>
    </w:p>
    <w:p w14:paraId="7D836F81" w14:textId="18DA6C42" w:rsid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Н-2 от 6 април 2011 г. за създаване, поддържане и предоставяне на информацията от автоматизирана информационна система „Археологическа карта на България“;</w:t>
      </w:r>
    </w:p>
    <w:p w14:paraId="72E0F3BD" w14:textId="3F6DEEA5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>Постановление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8 от 18 януари 2012 г. за приемане на правилник за устройството и дейността на Националния институт за недвижимо културно наследство; </w:t>
      </w:r>
    </w:p>
    <w:p w14:paraId="3AF38F60" w14:textId="7769123F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Н-2 от 12 януари 2012 г. за определяне размера на възнаграждението на лицата, предали вещи по реда на чл.93 от Закона за културното наследство или съобщили ценна информация за такива вещи; </w:t>
      </w:r>
    </w:p>
    <w:p w14:paraId="2CD01724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 Н-3 от 26.01.2012 г. за създаването, съдържанието, поддържането, съхраняването и използването на Националния документален архив на Националния институт за недвижимото културно наследство и научния архив на музеите;</w:t>
      </w:r>
    </w:p>
    <w:p w14:paraId="46147B92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 Н-9 от 27 април 2012 г. за реда за създаването и управлението на обществените колекции;</w:t>
      </w:r>
    </w:p>
    <w:p w14:paraId="1AD5726C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 Н-12 от 21 ноември 2012 г. за реда за идентифициране, деклариране, предоставяне на статут и за определяне на категорията на недвижимите културни ценности, за достъпа и подлежащите на вписване обстоятелства в националния регистър на недвижимите културни ценности; </w:t>
      </w:r>
    </w:p>
    <w:p w14:paraId="09935FAC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 1 от 8 май 2013 г. за реда за водене на регистъра на нематериалното културно наследство на Република България;</w:t>
      </w:r>
    </w:p>
    <w:p w14:paraId="75C9F311" w14:textId="04D2A0A1" w:rsid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lastRenderedPageBreak/>
        <w:t xml:space="preserve"> Наредба № Н-3 от 8 октомври 2013 г. за водене на Регистър на музеите и за обстоятелствата, подлежащи на вписване в него</w:t>
      </w:r>
      <w:r>
        <w:rPr>
          <w:rFonts w:ascii="Times New Roman" w:hAnsi="Times New Roman"/>
          <w:sz w:val="24"/>
          <w:szCs w:val="24"/>
        </w:rPr>
        <w:t>.</w:t>
      </w:r>
    </w:p>
    <w:p w14:paraId="7DB062AA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Наредба № Н-4 от 8 октомври 2013 г. за условията и реда за представяне на културните ценности; </w:t>
      </w:r>
    </w:p>
    <w:p w14:paraId="72C5FE4E" w14:textId="778E281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2 от 25 февруари 2014 г. за реда за издаване на разрешения за износ, временен износ и временно изнасяне на движими културни ценности и на сертификата по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128, 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3 от Закона за културното наследство за изнасяне и временно изнасяне; </w:t>
      </w:r>
    </w:p>
    <w:p w14:paraId="30B9DB91" w14:textId="23A4F04B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4 от 12 юни 2015 г. за условията и реда за осъществяване на дейностите по консервация и реставрация на движими културни ценности; </w:t>
      </w:r>
    </w:p>
    <w:p w14:paraId="65290C6F" w14:textId="5760EEDF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Правилник за структурния състав и организацията на работа на Специализирания експертен съвет по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>99, 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FE">
        <w:rPr>
          <w:rFonts w:ascii="Times New Roman" w:hAnsi="Times New Roman"/>
          <w:sz w:val="24"/>
          <w:szCs w:val="24"/>
        </w:rPr>
        <w:t xml:space="preserve">2 от Закона за културното наследство; </w:t>
      </w:r>
    </w:p>
    <w:p w14:paraId="72CEF874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 Правилника за устройството, организацията на работата и финансирането на Специализирания експертен съвет за опазване на недвижимите културни ценности; </w:t>
      </w:r>
    </w:p>
    <w:p w14:paraId="091E7D32" w14:textId="77777777" w:rsidR="002D37FE" w:rsidRPr="002D37FE" w:rsidRDefault="002D37FE" w:rsidP="002D37F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FE">
        <w:rPr>
          <w:rFonts w:ascii="Times New Roman" w:hAnsi="Times New Roman"/>
          <w:sz w:val="24"/>
          <w:szCs w:val="24"/>
        </w:rPr>
        <w:t xml:space="preserve">Правилник за състава, функциите и дейността на Националния съвет за нематериално културно наследство към министъра на културата и др. </w:t>
      </w:r>
    </w:p>
    <w:p w14:paraId="0E77E55D" w14:textId="52037D4E" w:rsidR="002D37FE" w:rsidRDefault="008B6ED7" w:rsidP="0029342E">
      <w:pPr>
        <w:pStyle w:val="ListParagraph"/>
        <w:spacing w:before="120" w:after="120"/>
        <w:ind w:left="0" w:firstLine="680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342E">
        <w:rPr>
          <w:rFonts w:ascii="Times New Roman" w:hAnsi="Times New Roman"/>
          <w:i/>
          <w:iCs/>
          <w:sz w:val="24"/>
          <w:szCs w:val="24"/>
        </w:rPr>
        <w:t>Допълващи документи на Европейския съюз по отношение на културното наследство:</w:t>
      </w:r>
    </w:p>
    <w:p w14:paraId="324E37D7" w14:textId="3B97E812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Декларация на ръководителите на 27 държави членки и на Европейския съвет, ЕП и ЕК – Римска декларация (2017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7DC0F052" w14:textId="19CB3BFD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Решение на ЕП и на Съвета относно Европейската година на културното наследство – 2018 г. (2017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6DD062FC" w14:textId="270DD88F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Заключения на Съвета относно стратегически подход на ЕС към международните културни отношения (2017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6E725EA5" w14:textId="6AE42EE5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Заключения на Съвета относно ролята на Europeana за цифровия достъп, видимостта и използването на европейското културно наследство (2016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34A5DEF2" w14:textId="67AF660C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Заключения на Съвета и на представителите на правителствата на държавите членки, заседаващи в рамките на Съвета, относно работния план за културата за периода 2015- 2018 г. (2014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5A66BF42" w14:textId="6C67164B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Решение на ЕП и на Съвета за установяване на действие на Съюза „Европейска столица на културата” за 2020-2033 г. (2014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32C41C8C" w14:textId="24B5E36B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Директива на ЕП и на Съвета за връщане на незаконно изнесените паметници на културата (2014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2887EAF9" w14:textId="565BA5F7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lastRenderedPageBreak/>
        <w:t>Заключения на Съвета относно основано на участието управление на културното наследство (2014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014E0A35" w14:textId="62007E24" w:rsidR="0029342E" w:rsidRP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Заключения на Съвета относно културното наследство като стратегически ресурс за устойчива Европа (2014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29342E">
        <w:rPr>
          <w:rFonts w:ascii="Times New Roman" w:hAnsi="Times New Roman"/>
          <w:sz w:val="24"/>
          <w:szCs w:val="24"/>
        </w:rPr>
        <w:t xml:space="preserve">   </w:t>
      </w:r>
    </w:p>
    <w:p w14:paraId="29EA4C20" w14:textId="301A9ADC" w:rsidR="0029342E" w:rsidRDefault="0029342E" w:rsidP="0029342E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42E">
        <w:rPr>
          <w:rFonts w:ascii="Times New Roman" w:hAnsi="Times New Roman"/>
          <w:sz w:val="24"/>
          <w:szCs w:val="24"/>
        </w:rPr>
        <w:t>Съобщение на Комисията „За интегриран подход към културното наследство на Европа“ (2014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934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317812ED" w14:textId="3CEBF31C" w:rsidR="0029342E" w:rsidRDefault="0029342E" w:rsidP="00801A8B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9342E">
        <w:rPr>
          <w:rFonts w:ascii="Times New Roman" w:hAnsi="Times New Roman"/>
          <w:b/>
          <w:bCs/>
          <w:sz w:val="24"/>
          <w:szCs w:val="24"/>
        </w:rPr>
        <w:t xml:space="preserve">Компонент 3 - </w:t>
      </w:r>
      <w:r w:rsidRPr="003F6CA9">
        <w:rPr>
          <w:rFonts w:ascii="Times New Roman" w:hAnsi="Times New Roman"/>
          <w:b/>
          <w:bCs/>
          <w:sz w:val="24"/>
          <w:szCs w:val="24"/>
        </w:rPr>
        <w:t>Европейски политики в областта на културно-историческото наследство:</w:t>
      </w:r>
    </w:p>
    <w:p w14:paraId="29292796" w14:textId="06A5E83A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5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26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www.coe.int/en/web/culture-and-heritage/strategy-21-good-practices</w:t>
        </w:r>
      </w:hyperlink>
    </w:p>
    <w:p w14:paraId="2AE07E5C" w14:textId="25CAB278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7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28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ec.europa.eu/info/priorities-and-goals_bg</w:t>
        </w:r>
      </w:hyperlink>
    </w:p>
    <w:p w14:paraId="015C533C" w14:textId="23881029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29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30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ec.europa.eu/culture/creative-Europe</w:t>
        </w:r>
      </w:hyperlink>
    </w:p>
    <w:p w14:paraId="4DF1E708" w14:textId="35E0BA5B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1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https://creativeeurope.bg</w:t>
        </w:r>
      </w:hyperlink>
      <w:hyperlink r:id="rId32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/</w:t>
        </w:r>
      </w:hyperlink>
    </w:p>
    <w:p w14:paraId="54390DA0" w14:textId="38F2EE1F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3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34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classic.europeana.eu/portal/bg</w:t>
        </w:r>
      </w:hyperlink>
    </w:p>
    <w:p w14:paraId="2BCC91C3" w14:textId="5E856BBE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5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</w:t>
        </w:r>
      </w:hyperlink>
      <w:hyperlink r:id="rId36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://</w:t>
        </w:r>
      </w:hyperlink>
      <w:hyperlink r:id="rId37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bulgariaich.com/index.php?act=content&amp;rec=59</w:t>
        </w:r>
      </w:hyperlink>
    </w:p>
    <w:p w14:paraId="6200A920" w14:textId="64EC4E68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38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39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ich.unesco.org/en/lists</w:t>
        </w:r>
      </w:hyperlink>
      <w:r w:rsidRPr="004C483B">
        <w:rPr>
          <w:rStyle w:val="Hyperlink"/>
          <w:rFonts w:ascii="Times New Roman" w:hAnsi="Times New Roman"/>
          <w:sz w:val="24"/>
          <w:szCs w:val="24"/>
          <w:u w:val="none"/>
          <w:lang w:val="en-US"/>
        </w:rPr>
        <w:t xml:space="preserve"> </w:t>
      </w:r>
    </w:p>
    <w:p w14:paraId="4E650ECF" w14:textId="292DA52A" w:rsidR="004C483B" w:rsidRPr="004C483B" w:rsidRDefault="004C483B" w:rsidP="004C483B">
      <w:pPr>
        <w:pStyle w:val="ListParagraph"/>
        <w:numPr>
          <w:ilvl w:val="0"/>
          <w:numId w:val="22"/>
        </w:numPr>
        <w:spacing w:before="120" w:after="120"/>
        <w:contextualSpacing w:val="0"/>
        <w:rPr>
          <w:rStyle w:val="Hyperlink"/>
          <w:rFonts w:ascii="Times New Roman" w:hAnsi="Times New Roman"/>
          <w:sz w:val="24"/>
          <w:szCs w:val="24"/>
          <w:u w:val="none"/>
          <w:lang w:val="en-US"/>
        </w:rPr>
      </w:pPr>
      <w:hyperlink r:id="rId40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https://</w:t>
        </w:r>
      </w:hyperlink>
      <w:hyperlink r:id="rId41" w:history="1">
        <w:r w:rsidRPr="004C483B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www.eeagrants.bg/programi/kultura</w:t>
        </w:r>
      </w:hyperlink>
    </w:p>
    <w:p w14:paraId="42DA52B6" w14:textId="77777777" w:rsidR="001E042C" w:rsidRDefault="001E042C" w:rsidP="00CB2E4A">
      <w:pPr>
        <w:pStyle w:val="ListParagraph"/>
        <w:spacing w:before="120" w:after="120"/>
        <w:ind w:left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B3AC03" w14:textId="667AEAC8" w:rsidR="0029342E" w:rsidRPr="0029342E" w:rsidRDefault="0029342E" w:rsidP="0029342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AEB0D06" w14:textId="77777777" w:rsidR="0029342E" w:rsidRPr="0029342E" w:rsidRDefault="0029342E" w:rsidP="0029342E">
      <w:pPr>
        <w:pStyle w:val="ListParagraph"/>
        <w:spacing w:before="120" w:after="120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71D328" w14:textId="77777777" w:rsidR="00DD361A" w:rsidRPr="00DD361A" w:rsidRDefault="00DD361A" w:rsidP="00DD361A">
      <w:pPr>
        <w:pStyle w:val="ListParagraph"/>
        <w:spacing w:before="120" w:after="120"/>
        <w:ind w:left="425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4857D107" w14:textId="158DFF1B" w:rsidR="00977A92" w:rsidRPr="00DD361A" w:rsidRDefault="00977A92" w:rsidP="00DD361A">
      <w:pPr>
        <w:pStyle w:val="ListParagraph"/>
        <w:spacing w:before="120" w:after="12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91F836E" w14:textId="77777777" w:rsidR="000E024D" w:rsidRPr="000E024D" w:rsidRDefault="000E024D" w:rsidP="00334D8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0E024D" w:rsidRPr="000E024D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D24C" w14:textId="77777777" w:rsidR="00F04E3F" w:rsidRDefault="00F04E3F" w:rsidP="00E6090D">
      <w:pPr>
        <w:spacing w:after="0" w:line="240" w:lineRule="auto"/>
      </w:pPr>
      <w:r>
        <w:separator/>
      </w:r>
    </w:p>
  </w:endnote>
  <w:endnote w:type="continuationSeparator" w:id="0">
    <w:p w14:paraId="495005E2" w14:textId="77777777" w:rsidR="00F04E3F" w:rsidRDefault="00F04E3F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F04E3F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63B0" w14:textId="77777777" w:rsidR="00F04E3F" w:rsidRDefault="00F04E3F" w:rsidP="00E6090D">
      <w:pPr>
        <w:spacing w:after="0" w:line="240" w:lineRule="auto"/>
      </w:pPr>
      <w:r>
        <w:separator/>
      </w:r>
    </w:p>
  </w:footnote>
  <w:footnote w:type="continuationSeparator" w:id="0">
    <w:p w14:paraId="430B1639" w14:textId="77777777" w:rsidR="00F04E3F" w:rsidRDefault="00F04E3F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AF3" w14:textId="473F4303" w:rsidR="006E0E69" w:rsidRDefault="006E0E69">
    <w:pPr>
      <w:pStyle w:val="Header"/>
      <w:rPr>
        <w:noProof/>
      </w:rPr>
    </w:pPr>
    <w:r>
      <w:rPr>
        <w:noProof/>
        <w:lang w:eastAsia="bg-BG"/>
      </w:rPr>
      <w:drawing>
        <wp:inline distT="0" distB="0" distL="0" distR="0" wp14:anchorId="15D18E32" wp14:editId="2348C698">
          <wp:extent cx="1706880" cy="60452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9F77210" wp14:editId="64DF962B">
          <wp:extent cx="989739" cy="629729"/>
          <wp:effectExtent l="0" t="0" r="127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7090DEF6" wp14:editId="00C6806D">
          <wp:extent cx="1277897" cy="625000"/>
          <wp:effectExtent l="0" t="0" r="0" b="381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A92C5" w14:textId="77777777" w:rsidR="002D37FE" w:rsidRDefault="002D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362"/>
    <w:multiLevelType w:val="hybridMultilevel"/>
    <w:tmpl w:val="0136F770"/>
    <w:lvl w:ilvl="0" w:tplc="FAD0A82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364"/>
    <w:multiLevelType w:val="hybridMultilevel"/>
    <w:tmpl w:val="66AE9E20"/>
    <w:lvl w:ilvl="0" w:tplc="445CEC4A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33D14"/>
    <w:multiLevelType w:val="hybridMultilevel"/>
    <w:tmpl w:val="A086D512"/>
    <w:lvl w:ilvl="0" w:tplc="1B8ADCC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605A1"/>
    <w:multiLevelType w:val="hybridMultilevel"/>
    <w:tmpl w:val="D17AC0D0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8E4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3D5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A84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E8B3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0DE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E578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EF79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4EFE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F564D"/>
    <w:multiLevelType w:val="hybridMultilevel"/>
    <w:tmpl w:val="04D6F834"/>
    <w:lvl w:ilvl="0" w:tplc="2CAAFDA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23158"/>
    <w:multiLevelType w:val="hybridMultilevel"/>
    <w:tmpl w:val="362C8AA2"/>
    <w:lvl w:ilvl="0" w:tplc="388A5AD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297A9F"/>
    <w:multiLevelType w:val="hybridMultilevel"/>
    <w:tmpl w:val="952AEBF2"/>
    <w:lvl w:ilvl="0" w:tplc="C12A122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7"/>
  </w:num>
  <w:num w:numId="5">
    <w:abstractNumId w:val="19"/>
  </w:num>
  <w:num w:numId="6">
    <w:abstractNumId w:val="20"/>
  </w:num>
  <w:num w:numId="7">
    <w:abstractNumId w:val="10"/>
  </w:num>
  <w:num w:numId="8">
    <w:abstractNumId w:val="18"/>
  </w:num>
  <w:num w:numId="9">
    <w:abstractNumId w:val="0"/>
  </w:num>
  <w:num w:numId="10">
    <w:abstractNumId w:val="15"/>
  </w:num>
  <w:num w:numId="11">
    <w:abstractNumId w:val="1"/>
  </w:num>
  <w:num w:numId="12">
    <w:abstractNumId w:val="24"/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22"/>
  </w:num>
  <w:num w:numId="18">
    <w:abstractNumId w:val="11"/>
  </w:num>
  <w:num w:numId="19">
    <w:abstractNumId w:val="7"/>
  </w:num>
  <w:num w:numId="20">
    <w:abstractNumId w:val="21"/>
  </w:num>
  <w:num w:numId="21">
    <w:abstractNumId w:val="23"/>
  </w:num>
  <w:num w:numId="22">
    <w:abstractNumId w:val="2"/>
  </w:num>
  <w:num w:numId="23">
    <w:abstractNumId w:val="16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E024D"/>
    <w:rsid w:val="001D1728"/>
    <w:rsid w:val="001E042C"/>
    <w:rsid w:val="00286DD8"/>
    <w:rsid w:val="0029342E"/>
    <w:rsid w:val="002B252A"/>
    <w:rsid w:val="002D37FE"/>
    <w:rsid w:val="002E2484"/>
    <w:rsid w:val="002E666D"/>
    <w:rsid w:val="00334D86"/>
    <w:rsid w:val="003B202C"/>
    <w:rsid w:val="003E0EA9"/>
    <w:rsid w:val="0040059A"/>
    <w:rsid w:val="004207DF"/>
    <w:rsid w:val="004C483B"/>
    <w:rsid w:val="004F29F2"/>
    <w:rsid w:val="00524A17"/>
    <w:rsid w:val="00633A00"/>
    <w:rsid w:val="006A76A4"/>
    <w:rsid w:val="006E0E69"/>
    <w:rsid w:val="0073259A"/>
    <w:rsid w:val="00801A8B"/>
    <w:rsid w:val="0083784B"/>
    <w:rsid w:val="00846A5B"/>
    <w:rsid w:val="0089013F"/>
    <w:rsid w:val="008B07BF"/>
    <w:rsid w:val="008B6ED7"/>
    <w:rsid w:val="008F7378"/>
    <w:rsid w:val="0096008F"/>
    <w:rsid w:val="00977A92"/>
    <w:rsid w:val="009C7007"/>
    <w:rsid w:val="009E698E"/>
    <w:rsid w:val="00AB3F66"/>
    <w:rsid w:val="00C50495"/>
    <w:rsid w:val="00CB2E4A"/>
    <w:rsid w:val="00D61F68"/>
    <w:rsid w:val="00DA3D2B"/>
    <w:rsid w:val="00DD361A"/>
    <w:rsid w:val="00E6090D"/>
    <w:rsid w:val="00EC2BE5"/>
    <w:rsid w:val="00EF3F2B"/>
    <w:rsid w:val="00F04E3F"/>
    <w:rsid w:val="00F6524C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E6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840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00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04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9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68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864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11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31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13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90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00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07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31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633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80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67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61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8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50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16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93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government.bg/" TargetMode="External"/><Relationship Id="rId13" Type="http://schemas.openxmlformats.org/officeDocument/2006/relationships/hyperlink" Target="https://www.coe.int/en/web/culture-and-heritage/herein-heritage-network" TargetMode="External"/><Relationship Id="rId18" Type="http://schemas.openxmlformats.org/officeDocument/2006/relationships/hyperlink" Target="http://icomos-bg.org/" TargetMode="External"/><Relationship Id="rId26" Type="http://schemas.openxmlformats.org/officeDocument/2006/relationships/hyperlink" Target="https://www.coe.int/en/web/culture-and-heritage/strategy-21-good-practices" TargetMode="External"/><Relationship Id="rId39" Type="http://schemas.openxmlformats.org/officeDocument/2006/relationships/hyperlink" Target="https://ich.unesco.org/en/lis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p.icomos-bg.org/" TargetMode="External"/><Relationship Id="rId34" Type="http://schemas.openxmlformats.org/officeDocument/2006/relationships/hyperlink" Target="https://classic.europeana.eu/portal/bg" TargetMode="External"/><Relationship Id="rId42" Type="http://schemas.openxmlformats.org/officeDocument/2006/relationships/header" Target="header1.xml"/><Relationship Id="rId7" Type="http://schemas.openxmlformats.org/officeDocument/2006/relationships/hyperlink" Target="http" TargetMode="External"/><Relationship Id="rId12" Type="http://schemas.openxmlformats.org/officeDocument/2006/relationships/hyperlink" Target="https://www.coe.int/en/web/portal/home" TargetMode="External"/><Relationship Id="rId17" Type="http://schemas.openxmlformats.org/officeDocument/2006/relationships/hyperlink" Target="http://openarchive.icomos.org/" TargetMode="External"/><Relationship Id="rId25" Type="http://schemas.openxmlformats.org/officeDocument/2006/relationships/hyperlink" Target="NULL" TargetMode="External"/><Relationship Id="rId33" Type="http://schemas.openxmlformats.org/officeDocument/2006/relationships/hyperlink" Target="https://classic.europeana.eu/portal/bg" TargetMode="External"/><Relationship Id="rId38" Type="http://schemas.openxmlformats.org/officeDocument/2006/relationships/hyperlink" Target="https://ich.unesco.org/en/lists" TargetMode="External"/><Relationship Id="rId2" Type="http://schemas.openxmlformats.org/officeDocument/2006/relationships/styles" Target="styles.xml"/><Relationship Id="rId16" Type="http://schemas.openxmlformats.org/officeDocument/2006/relationships/hyperlink" Target="http://openarchive.icomos.org/" TargetMode="External"/><Relationship Id="rId20" Type="http://schemas.openxmlformats.org/officeDocument/2006/relationships/hyperlink" Target="http://icomos-bg.org/" TargetMode="External"/><Relationship Id="rId29" Type="http://schemas.openxmlformats.org/officeDocument/2006/relationships/hyperlink" Target="https://ec.europa.eu/culture/creative-Europe" TargetMode="External"/><Relationship Id="rId41" Type="http://schemas.openxmlformats.org/officeDocument/2006/relationships/hyperlink" Target="https://www.eeagrants.bg/programi/kultu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e.int/en/web/portal/home" TargetMode="External"/><Relationship Id="rId24" Type="http://schemas.openxmlformats.org/officeDocument/2006/relationships/hyperlink" Target="https://www.europarl.europa.eu/RegData/etudes/BRIE/2018/621876/EPRS_BRI(2018)621876_EN.pdf" TargetMode="External"/><Relationship Id="rId32" Type="http://schemas.openxmlformats.org/officeDocument/2006/relationships/hyperlink" Target="https://creativeeurope.bg/" TargetMode="External"/><Relationship Id="rId37" Type="http://schemas.openxmlformats.org/officeDocument/2006/relationships/hyperlink" Target="https://bulgariaich.com/index.php?act=content&amp;rec=59" TargetMode="External"/><Relationship Id="rId40" Type="http://schemas.openxmlformats.org/officeDocument/2006/relationships/hyperlink" Target="https://www.eeagrants.bg/programi/kultur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m.coe.int/16806f6a03" TargetMode="External"/><Relationship Id="rId23" Type="http://schemas.openxmlformats.org/officeDocument/2006/relationships/hyperlink" Target="https://www.europarl.europa.eu/RegData/etudes/BRIE/2018/621876/EPRS_BRI(2018)621876_EN.pdf" TargetMode="External"/><Relationship Id="rId28" Type="http://schemas.openxmlformats.org/officeDocument/2006/relationships/hyperlink" Target="https://ec.europa.eu/info/priorities-and-goals_bg" TargetMode="External"/><Relationship Id="rId36" Type="http://schemas.openxmlformats.org/officeDocument/2006/relationships/hyperlink" Target="https://bulgariaich.com/index.php?act=content&amp;rec=59" TargetMode="External"/><Relationship Id="rId10" Type="http://schemas.openxmlformats.org/officeDocument/2006/relationships/hyperlink" Target="https://ec.europa.eu/culture/cultural-heritage/cultural-heritage-eu-policies" TargetMode="External"/><Relationship Id="rId19" Type="http://schemas.openxmlformats.org/officeDocument/2006/relationships/hyperlink" Target="http://icomos-bg.org/" TargetMode="External"/><Relationship Id="rId31" Type="http://schemas.openxmlformats.org/officeDocument/2006/relationships/hyperlink" Target="https://creativeeurope.bg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culture/cultural-heritage/cultural-heritage-eu-policies" TargetMode="External"/><Relationship Id="rId14" Type="http://schemas.openxmlformats.org/officeDocument/2006/relationships/hyperlink" Target="https://www.coe.int/en/web/culture-and-heritage/herein-heritage-network" TargetMode="External"/><Relationship Id="rId22" Type="http://schemas.openxmlformats.org/officeDocument/2006/relationships/hyperlink" Target="http://webp.icomos-bg.org/" TargetMode="External"/><Relationship Id="rId27" Type="http://schemas.openxmlformats.org/officeDocument/2006/relationships/hyperlink" Target="https://ec.europa.eu/info/priorities-and-goals_bg" TargetMode="External"/><Relationship Id="rId30" Type="http://schemas.openxmlformats.org/officeDocument/2006/relationships/hyperlink" Target="https://ec.europa.eu/culture/creative-Europe" TargetMode="External"/><Relationship Id="rId35" Type="http://schemas.openxmlformats.org/officeDocument/2006/relationships/hyperlink" Target="https://bulgariaich.com/index.php?act=content&amp;rec=59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2021-08-09T08:18:00Z</dcterms:modified>
</cp:coreProperties>
</file>