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4970" w14:textId="77777777" w:rsidR="00C50495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3E14A" w14:textId="2C12E036" w:rsidR="00E6090D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8BEAA7" w14:textId="77777777" w:rsidR="006F4D88" w:rsidRPr="00325B4A" w:rsidRDefault="006F4D88" w:rsidP="003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ТЕМА 1:</w:t>
      </w:r>
    </w:p>
    <w:p w14:paraId="1EB5F46B" w14:textId="77777777" w:rsidR="006F4D88" w:rsidRPr="00325B4A" w:rsidRDefault="006F4D88" w:rsidP="003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„ЕВРОПЕЙСКИ ПОЛИТИКИ И РЕГЛАМЕНТИ В ОБЛАСТТА НА ОПАЗВАНЕ НА КУЛТУРНО-ИСТОРИЧЕСКОТО НАСЛЕДСТВО. АКТУАЛНИ ПРОМЕНИ В ЗАКОНА ЗА КУЛТУРНОТО НАСЛЕДСТВО</w:t>
      </w:r>
      <w:r w:rsidRPr="00325B4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14:paraId="6BC8402A" w14:textId="77777777" w:rsidR="0083784B" w:rsidRDefault="0083784B" w:rsidP="003F6CA9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B8BB4E" w14:textId="711145D8" w:rsidR="00CB57CE" w:rsidRDefault="00A50D62" w:rsidP="003F6CA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E38">
        <w:rPr>
          <w:rFonts w:ascii="Times New Roman" w:hAnsi="Times New Roman" w:cs="Times New Roman"/>
          <w:sz w:val="24"/>
          <w:szCs w:val="24"/>
        </w:rPr>
        <w:t>Настоящата тема е разделена на три основни компонента:</w:t>
      </w:r>
    </w:p>
    <w:p w14:paraId="3EB1736B" w14:textId="4698A9D7" w:rsidR="00641E38" w:rsidRPr="003F6CA9" w:rsidRDefault="00984E00" w:rsidP="003F6CA9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6CA9">
        <w:rPr>
          <w:rFonts w:ascii="Times New Roman" w:hAnsi="Times New Roman"/>
          <w:b/>
          <w:bCs/>
          <w:sz w:val="24"/>
          <w:szCs w:val="24"/>
        </w:rPr>
        <w:t>Юридическа защита и правна рамка в сферата на опазване на културно-историческото наследство (КИН):</w:t>
      </w:r>
    </w:p>
    <w:p w14:paraId="69B87B23" w14:textId="1210DF51" w:rsidR="00984E00" w:rsidRDefault="003F6CA9" w:rsidP="003F6CA9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Културното наследство, разгледано в контекста на европейската и националната правна рамка. Основни понятия, термини, хипотези и постулати по отношение на опазването на културното наследство. За да се ориентират експертите, чиято работа е пряко свързана с юридическата защита на паметниците на културата и тяхното опазване, </w:t>
      </w:r>
      <w:r>
        <w:rPr>
          <w:rFonts w:ascii="Times New Roman" w:hAnsi="Times New Roman"/>
          <w:sz w:val="24"/>
          <w:szCs w:val="24"/>
        </w:rPr>
        <w:t>са разгледани следните въпроси:</w:t>
      </w:r>
    </w:p>
    <w:p w14:paraId="1F0021DC" w14:textId="474E479A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Нормативни постановки на различните закони, наредби и конвенции по отношение на културното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631FAC38" w14:textId="0E0A1464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Термини и определения според приложимата нормативна уредба</w:t>
      </w:r>
      <w:r>
        <w:rPr>
          <w:rFonts w:ascii="Times New Roman" w:hAnsi="Times New Roman"/>
          <w:sz w:val="24"/>
          <w:szCs w:val="24"/>
        </w:rPr>
        <w:t>.</w:t>
      </w:r>
    </w:p>
    <w:p w14:paraId="511EBC21" w14:textId="73970F5C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Основни международни организации, осъществяващи и регламентиращи дейности по опазването на културното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23242B63" w14:textId="61E8AB65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Основни приоритети и области на работа на различните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3DA12FEF" w14:textId="5B8369D2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Ролята на международните организации за опазването на културното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6BB8BBCA" w14:textId="5B7F8118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Адаптирана световна практика в опазването, приложима у нас</w:t>
      </w:r>
      <w:r>
        <w:rPr>
          <w:rFonts w:ascii="Times New Roman" w:hAnsi="Times New Roman"/>
          <w:sz w:val="24"/>
          <w:szCs w:val="24"/>
        </w:rPr>
        <w:t>.</w:t>
      </w:r>
    </w:p>
    <w:p w14:paraId="2C53D82E" w14:textId="5BC821EC" w:rsidR="003F6CA9" w:rsidRPr="003F6CA9" w:rsidRDefault="003F6CA9" w:rsidP="003F6CA9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6CA9">
        <w:rPr>
          <w:rFonts w:ascii="Times New Roman" w:hAnsi="Times New Roman"/>
          <w:b/>
          <w:bCs/>
          <w:sz w:val="24"/>
          <w:szCs w:val="24"/>
        </w:rPr>
        <w:t>Приложима нормативна уредба в сферата на опазване на културно-историческото наследство (КИН):</w:t>
      </w:r>
    </w:p>
    <w:p w14:paraId="27CA5219" w14:textId="7CAA4EA5" w:rsidR="003F6CA9" w:rsidRDefault="003F6CA9" w:rsidP="003F6CA9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Кои са нормативните документи, които най-често използваме за да гарантираме юридическата защита на паметниците на културата, какъв е световния</w:t>
      </w:r>
      <w:r>
        <w:rPr>
          <w:rFonts w:ascii="Times New Roman" w:hAnsi="Times New Roman"/>
          <w:sz w:val="24"/>
          <w:szCs w:val="24"/>
        </w:rPr>
        <w:t>т</w:t>
      </w:r>
      <w:r w:rsidRPr="003F6CA9">
        <w:rPr>
          <w:rFonts w:ascii="Times New Roman" w:hAnsi="Times New Roman"/>
          <w:sz w:val="24"/>
          <w:szCs w:val="24"/>
        </w:rPr>
        <w:t xml:space="preserve"> и европейски опит в превенцията и защитата на паметниците? Именно </w:t>
      </w:r>
      <w:r>
        <w:rPr>
          <w:rFonts w:ascii="Times New Roman" w:hAnsi="Times New Roman"/>
          <w:sz w:val="24"/>
          <w:szCs w:val="24"/>
        </w:rPr>
        <w:t>затова са разгледани следните въпроси:</w:t>
      </w:r>
    </w:p>
    <w:p w14:paraId="379D8914" w14:textId="77777777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Приложимата нормативна уредба в международното право.</w:t>
      </w:r>
    </w:p>
    <w:p w14:paraId="31A0860E" w14:textId="2E75F207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lastRenderedPageBreak/>
        <w:t>Европейските конвенции, касаещи опазването на ПК</w:t>
      </w:r>
      <w:r>
        <w:rPr>
          <w:rFonts w:ascii="Times New Roman" w:hAnsi="Times New Roman"/>
          <w:sz w:val="24"/>
          <w:szCs w:val="24"/>
        </w:rPr>
        <w:t>.</w:t>
      </w:r>
    </w:p>
    <w:p w14:paraId="76438CFE" w14:textId="18B6F220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Международните конвенции, касаещи опазването на ПК</w:t>
      </w:r>
      <w:r>
        <w:rPr>
          <w:rFonts w:ascii="Times New Roman" w:hAnsi="Times New Roman"/>
          <w:sz w:val="24"/>
          <w:szCs w:val="24"/>
        </w:rPr>
        <w:t>.</w:t>
      </w:r>
    </w:p>
    <w:p w14:paraId="1884D82C" w14:textId="11264A04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Международни харти и принципи за опазване и реставрация</w:t>
      </w:r>
      <w:r>
        <w:rPr>
          <w:rFonts w:ascii="Times New Roman" w:hAnsi="Times New Roman"/>
          <w:sz w:val="24"/>
          <w:szCs w:val="24"/>
        </w:rPr>
        <w:t>.</w:t>
      </w:r>
    </w:p>
    <w:p w14:paraId="3B65D90A" w14:textId="59B4757E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Механизми за превенция и защита на паметниците</w:t>
      </w:r>
      <w:r>
        <w:rPr>
          <w:rFonts w:ascii="Times New Roman" w:hAnsi="Times New Roman"/>
          <w:sz w:val="24"/>
          <w:szCs w:val="24"/>
        </w:rPr>
        <w:t>.</w:t>
      </w:r>
    </w:p>
    <w:p w14:paraId="4D44324B" w14:textId="23FBF0FB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Нематериално културно наследство – области, цели и насоки</w:t>
      </w:r>
      <w:r>
        <w:rPr>
          <w:rFonts w:ascii="Times New Roman" w:hAnsi="Times New Roman"/>
          <w:sz w:val="24"/>
          <w:szCs w:val="24"/>
        </w:rPr>
        <w:t>.</w:t>
      </w:r>
    </w:p>
    <w:p w14:paraId="4C4A4308" w14:textId="456F2384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Същност на „опазването” на ПК</w:t>
      </w:r>
      <w:r>
        <w:rPr>
          <w:rFonts w:ascii="Times New Roman" w:hAnsi="Times New Roman"/>
          <w:sz w:val="24"/>
          <w:szCs w:val="24"/>
        </w:rPr>
        <w:t>.</w:t>
      </w:r>
    </w:p>
    <w:p w14:paraId="57FA774D" w14:textId="7A4A8955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Приложимата национална нормативна уредба</w:t>
      </w:r>
      <w:r>
        <w:rPr>
          <w:rFonts w:ascii="Times New Roman" w:hAnsi="Times New Roman"/>
          <w:sz w:val="24"/>
          <w:szCs w:val="24"/>
        </w:rPr>
        <w:t>.</w:t>
      </w:r>
    </w:p>
    <w:p w14:paraId="3EBFA64E" w14:textId="0570506B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Проблеми и предизвикателства в Закона за културното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595BD64D" w14:textId="1869673D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 Национална система по опазване  на културното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33392B41" w14:textId="08AAEC46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Национална система „Живи човешки съкровища” -  критерии за номинации, критерии за оценки, процедури</w:t>
      </w:r>
      <w:r>
        <w:rPr>
          <w:rFonts w:ascii="Times New Roman" w:hAnsi="Times New Roman"/>
          <w:sz w:val="24"/>
          <w:szCs w:val="24"/>
        </w:rPr>
        <w:t>.</w:t>
      </w:r>
    </w:p>
    <w:p w14:paraId="333D29F1" w14:textId="34493649" w:rsid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Възпроизвеждане на културни ценности</w:t>
      </w:r>
      <w:r>
        <w:rPr>
          <w:rFonts w:ascii="Times New Roman" w:hAnsi="Times New Roman"/>
          <w:sz w:val="24"/>
          <w:szCs w:val="24"/>
        </w:rPr>
        <w:t>.</w:t>
      </w:r>
    </w:p>
    <w:p w14:paraId="77B44BCF" w14:textId="5C269160" w:rsidR="003F6CA9" w:rsidRDefault="003F6CA9" w:rsidP="003F6CA9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6CA9">
        <w:rPr>
          <w:rFonts w:ascii="Times New Roman" w:hAnsi="Times New Roman"/>
          <w:b/>
          <w:bCs/>
          <w:sz w:val="24"/>
          <w:szCs w:val="24"/>
        </w:rPr>
        <w:t>Европейски политики в областта на културно-историческото наследство:</w:t>
      </w:r>
    </w:p>
    <w:p w14:paraId="4EA3E930" w14:textId="5717FB96" w:rsidR="003F6CA9" w:rsidRDefault="003F6CA9" w:rsidP="003F6CA9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 xml:space="preserve">Като стожер и застъпник на десетилетни традиции в опазването на културното наследство, Европейския съюз има съществена роля, както в Европа, така и в света, за развитието на политики и механизми за опазване на паметниците на културата. Именно, в помощ на служителите, чиито ангажименти са пряко свързани с дейностите по опазване, </w:t>
      </w:r>
      <w:r>
        <w:rPr>
          <w:rFonts w:ascii="Times New Roman" w:hAnsi="Times New Roman"/>
          <w:sz w:val="24"/>
          <w:szCs w:val="24"/>
        </w:rPr>
        <w:t>са разгледани следните въпроси:</w:t>
      </w:r>
    </w:p>
    <w:p w14:paraId="0FBB82BD" w14:textId="77777777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Как Европа постави културното наследство в ролята на движеща сила за културния и творческия сектор?</w:t>
      </w:r>
    </w:p>
    <w:p w14:paraId="27933F77" w14:textId="55B21C1D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Правния</w:t>
      </w:r>
      <w:r>
        <w:rPr>
          <w:rFonts w:ascii="Times New Roman" w:hAnsi="Times New Roman"/>
          <w:sz w:val="24"/>
          <w:szCs w:val="24"/>
        </w:rPr>
        <w:t>т</w:t>
      </w:r>
      <w:r w:rsidRPr="003F6CA9">
        <w:rPr>
          <w:rFonts w:ascii="Times New Roman" w:hAnsi="Times New Roman"/>
          <w:sz w:val="24"/>
          <w:szCs w:val="24"/>
        </w:rPr>
        <w:t xml:space="preserve"> регламент на действията на ЕС в областта на културата</w:t>
      </w:r>
      <w:r>
        <w:rPr>
          <w:rFonts w:ascii="Times New Roman" w:hAnsi="Times New Roman"/>
          <w:sz w:val="24"/>
          <w:szCs w:val="24"/>
        </w:rPr>
        <w:t>.</w:t>
      </w:r>
    </w:p>
    <w:p w14:paraId="56F6718D" w14:textId="2A24D0B8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Новите приоритети на Европейската комисия за периода 2019 –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CA9">
        <w:rPr>
          <w:rFonts w:ascii="Times New Roman" w:hAnsi="Times New Roman"/>
          <w:sz w:val="24"/>
          <w:szCs w:val="24"/>
        </w:rPr>
        <w:t>г.</w:t>
      </w:r>
    </w:p>
    <w:p w14:paraId="476F0657" w14:textId="6C52E2E2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Стратегическата рамка на ЕС за културно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09530276" w14:textId="4A06B0D8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Участие на общности, групи и отделни лица</w:t>
      </w:r>
      <w:r>
        <w:rPr>
          <w:rFonts w:ascii="Times New Roman" w:hAnsi="Times New Roman"/>
          <w:sz w:val="24"/>
          <w:szCs w:val="24"/>
        </w:rPr>
        <w:t>.</w:t>
      </w:r>
    </w:p>
    <w:p w14:paraId="50922DF3" w14:textId="10764B55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Приложими инструменти за опазване</w:t>
      </w:r>
      <w:r>
        <w:rPr>
          <w:rFonts w:ascii="Times New Roman" w:hAnsi="Times New Roman"/>
          <w:sz w:val="24"/>
          <w:szCs w:val="24"/>
        </w:rPr>
        <w:t>.</w:t>
      </w:r>
    </w:p>
    <w:p w14:paraId="12F9AF41" w14:textId="7012D4EB" w:rsidR="003F6CA9" w:rsidRPr="003F6CA9" w:rsidRDefault="003F6CA9" w:rsidP="003F6CA9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6CA9">
        <w:rPr>
          <w:rFonts w:ascii="Times New Roman" w:hAnsi="Times New Roman"/>
          <w:sz w:val="24"/>
          <w:szCs w:val="24"/>
        </w:rPr>
        <w:t>Нематериално културно наследство като инструмент за устойчиво развитие – българските обекти, включении в списъците на ЮНЕСКО</w:t>
      </w:r>
      <w:r>
        <w:rPr>
          <w:rFonts w:ascii="Times New Roman" w:hAnsi="Times New Roman"/>
          <w:sz w:val="24"/>
          <w:szCs w:val="24"/>
        </w:rPr>
        <w:t>.</w:t>
      </w:r>
    </w:p>
    <w:p w14:paraId="4E1B7B63" w14:textId="77777777" w:rsidR="003F6CA9" w:rsidRPr="003F6CA9" w:rsidRDefault="003F6CA9" w:rsidP="003F6CA9">
      <w:pPr>
        <w:pStyle w:val="ListParagraph"/>
        <w:spacing w:before="120" w:after="120"/>
        <w:ind w:left="6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C98062E" w14:textId="77777777" w:rsidR="003F6CA9" w:rsidRPr="00641E38" w:rsidRDefault="003F6CA9" w:rsidP="003F6CA9">
      <w:pPr>
        <w:pStyle w:val="ListParagraph"/>
        <w:spacing w:before="120" w:after="120"/>
        <w:ind w:left="68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3F6CA9" w:rsidRPr="00641E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5329" w14:textId="77777777" w:rsidR="008009E5" w:rsidRDefault="008009E5" w:rsidP="00E6090D">
      <w:pPr>
        <w:spacing w:after="0" w:line="240" w:lineRule="auto"/>
      </w:pPr>
      <w:r>
        <w:separator/>
      </w:r>
    </w:p>
  </w:endnote>
  <w:endnote w:type="continuationSeparator" w:id="0">
    <w:p w14:paraId="46EC36FD" w14:textId="77777777" w:rsidR="008009E5" w:rsidRDefault="008009E5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8009E5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7C97" w14:textId="77777777" w:rsidR="008009E5" w:rsidRDefault="008009E5" w:rsidP="00E6090D">
      <w:pPr>
        <w:spacing w:after="0" w:line="240" w:lineRule="auto"/>
      </w:pPr>
      <w:r>
        <w:separator/>
      </w:r>
    </w:p>
  </w:footnote>
  <w:footnote w:type="continuationSeparator" w:id="0">
    <w:p w14:paraId="14F36876" w14:textId="77777777" w:rsidR="008009E5" w:rsidRDefault="008009E5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642E0EEA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FF0EB5" w14:textId="77777777" w:rsidR="003F6CA9" w:rsidRDefault="003F6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897"/>
    <w:multiLevelType w:val="hybridMultilevel"/>
    <w:tmpl w:val="3D16BF40"/>
    <w:lvl w:ilvl="0" w:tplc="AB8C923A">
      <w:start w:val="1"/>
      <w:numFmt w:val="bullet"/>
      <w:suff w:val="space"/>
      <w:lvlText w:val=""/>
      <w:lvlJc w:val="left"/>
      <w:pPr>
        <w:ind w:left="0" w:firstLine="96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2EF9"/>
    <w:multiLevelType w:val="hybridMultilevel"/>
    <w:tmpl w:val="14AA2BC0"/>
    <w:lvl w:ilvl="0" w:tplc="40EE7782">
      <w:start w:val="1"/>
      <w:numFmt w:val="bullet"/>
      <w:suff w:val="space"/>
      <w:lvlText w:val="o"/>
      <w:lvlJc w:val="left"/>
      <w:pPr>
        <w:ind w:left="0" w:firstLine="6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762"/>
    <w:multiLevelType w:val="hybridMultilevel"/>
    <w:tmpl w:val="80A264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8"/>
  </w:num>
  <w:num w:numId="5">
    <w:abstractNumId w:val="20"/>
  </w:num>
  <w:num w:numId="6">
    <w:abstractNumId w:val="21"/>
  </w:num>
  <w:num w:numId="7">
    <w:abstractNumId w:val="9"/>
  </w:num>
  <w:num w:numId="8">
    <w:abstractNumId w:val="19"/>
  </w:num>
  <w:num w:numId="9">
    <w:abstractNumId w:val="0"/>
  </w:num>
  <w:num w:numId="10">
    <w:abstractNumId w:val="17"/>
  </w:num>
  <w:num w:numId="11">
    <w:abstractNumId w:val="1"/>
  </w:num>
  <w:num w:numId="12">
    <w:abstractNumId w:val="23"/>
  </w:num>
  <w:num w:numId="13">
    <w:abstractNumId w:val="16"/>
  </w:num>
  <w:num w:numId="14">
    <w:abstractNumId w:val="4"/>
  </w:num>
  <w:num w:numId="15">
    <w:abstractNumId w:val="7"/>
  </w:num>
  <w:num w:numId="16">
    <w:abstractNumId w:val="3"/>
  </w:num>
  <w:num w:numId="17">
    <w:abstractNumId w:val="22"/>
  </w:num>
  <w:num w:numId="18">
    <w:abstractNumId w:val="11"/>
  </w:num>
  <w:num w:numId="19">
    <w:abstractNumId w:val="15"/>
  </w:num>
  <w:num w:numId="20">
    <w:abstractNumId w:val="13"/>
  </w:num>
  <w:num w:numId="21">
    <w:abstractNumId w:val="2"/>
  </w:num>
  <w:num w:numId="22">
    <w:abstractNumId w:val="8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D4861"/>
    <w:rsid w:val="00181878"/>
    <w:rsid w:val="001D1728"/>
    <w:rsid w:val="002B252A"/>
    <w:rsid w:val="002E2484"/>
    <w:rsid w:val="002E666D"/>
    <w:rsid w:val="00334D86"/>
    <w:rsid w:val="003B202C"/>
    <w:rsid w:val="003E0EA9"/>
    <w:rsid w:val="003F6CA9"/>
    <w:rsid w:val="0040059A"/>
    <w:rsid w:val="004F29F2"/>
    <w:rsid w:val="005B7A18"/>
    <w:rsid w:val="00633A00"/>
    <w:rsid w:val="00641E38"/>
    <w:rsid w:val="00683E1F"/>
    <w:rsid w:val="006A76A4"/>
    <w:rsid w:val="006E0E69"/>
    <w:rsid w:val="006F4D88"/>
    <w:rsid w:val="0073259A"/>
    <w:rsid w:val="008009E5"/>
    <w:rsid w:val="0083784B"/>
    <w:rsid w:val="008B07BF"/>
    <w:rsid w:val="008F7378"/>
    <w:rsid w:val="0096008F"/>
    <w:rsid w:val="009601DA"/>
    <w:rsid w:val="00984E00"/>
    <w:rsid w:val="009C7007"/>
    <w:rsid w:val="00A50D62"/>
    <w:rsid w:val="00A56351"/>
    <w:rsid w:val="00A65D05"/>
    <w:rsid w:val="00AB3F66"/>
    <w:rsid w:val="00C50495"/>
    <w:rsid w:val="00CB57CE"/>
    <w:rsid w:val="00CE1C34"/>
    <w:rsid w:val="00D35014"/>
    <w:rsid w:val="00D52486"/>
    <w:rsid w:val="00D61F68"/>
    <w:rsid w:val="00DA3D2B"/>
    <w:rsid w:val="00E554BC"/>
    <w:rsid w:val="00E6090D"/>
    <w:rsid w:val="00E9215B"/>
    <w:rsid w:val="00E971CA"/>
    <w:rsid w:val="00EC2BE5"/>
    <w:rsid w:val="00EF3F2B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2021-08-09T07:01:00Z</dcterms:modified>
</cp:coreProperties>
</file>