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DF1" w:rsidRPr="00CE3DF1" w:rsidRDefault="00CE3DF1" w:rsidP="00DA0297">
      <w:pPr>
        <w:widowControl w:val="0"/>
        <w:pBdr>
          <w:top w:val="single" w:sz="4" w:space="1" w:color="auto"/>
          <w:left w:val="single" w:sz="4" w:space="4" w:color="auto"/>
          <w:bottom w:val="single" w:sz="4" w:space="1" w:color="auto"/>
          <w:right w:val="single" w:sz="4" w:space="4" w:color="auto"/>
        </w:pBdr>
        <w:shd w:val="clear" w:color="auto" w:fill="A8D08D" w:themeFill="accent6" w:themeFillTint="99"/>
        <w:spacing w:after="0" w:line="276" w:lineRule="auto"/>
        <w:jc w:val="both"/>
        <w:outlineLvl w:val="0"/>
        <w:rPr>
          <w:rFonts w:ascii="Times New Roman" w:eastAsia="Calibri" w:hAnsi="Times New Roman" w:cs="Times New Roman"/>
          <w:b/>
          <w:sz w:val="24"/>
          <w:szCs w:val="24"/>
          <w:lang w:val="x-none" w:eastAsia="x-none"/>
        </w:rPr>
      </w:pPr>
      <w:bookmarkStart w:id="0" w:name="_Toc68698379"/>
      <w:r w:rsidRPr="00CE3DF1">
        <w:rPr>
          <w:rFonts w:ascii="Times New Roman" w:eastAsia="Calibri" w:hAnsi="Times New Roman" w:cs="Times New Roman"/>
          <w:b/>
          <w:sz w:val="24"/>
          <w:szCs w:val="24"/>
          <w:lang w:val="x-none" w:eastAsia="x-none"/>
        </w:rPr>
        <w:t>ТЕМА 2: ИЗИСКВАНИЯ, ОРГАНИЗАЦИЯ И НАЧИНИ НА ФИНАНСИРАНЕ ЗА РАЗДЕЛНО СЪБИРАНЕ И СЪХРАНЯВАНЕ НА БИТОВИ ОТПАДЪЦИ ПРИ СПАЗВАНЕТО ЙЕРАРХИЯТА ЗА УПРАВЛЕНИЕ НА ОТПАДЪЦИТЕ. РЕГИОНАЛНИ АСОЦИАЦИИ</w:t>
      </w:r>
      <w:bookmarkEnd w:id="0"/>
    </w:p>
    <w:p w:rsidR="00CE3DF1" w:rsidRPr="00CE3DF1" w:rsidRDefault="00CE3DF1" w:rsidP="00CE3DF1">
      <w:pPr>
        <w:spacing w:after="0" w:line="276" w:lineRule="auto"/>
        <w:rPr>
          <w:rFonts w:ascii="Times New Roman" w:eastAsia="Calibri" w:hAnsi="Times New Roman" w:cs="Times New Roman"/>
          <w:bCs/>
          <w:sz w:val="24"/>
          <w:szCs w:val="24"/>
        </w:rPr>
      </w:pPr>
    </w:p>
    <w:p w:rsidR="00CE3DF1" w:rsidRPr="00CE3DF1" w:rsidRDefault="00CE3DF1" w:rsidP="00CE3DF1">
      <w:pPr>
        <w:spacing w:after="0" w:line="276" w:lineRule="auto"/>
        <w:jc w:val="both"/>
        <w:rPr>
          <w:rFonts w:ascii="Times New Roman" w:eastAsia="Calibri" w:hAnsi="Times New Roman" w:cs="Times New Roman"/>
          <w:b/>
          <w:sz w:val="24"/>
          <w:szCs w:val="24"/>
        </w:rPr>
      </w:pPr>
    </w:p>
    <w:p w:rsidR="00CE3DF1" w:rsidRPr="00CE3DF1" w:rsidRDefault="00CE3DF1" w:rsidP="0079159B">
      <w:pPr>
        <w:spacing w:after="0" w:line="276" w:lineRule="auto"/>
        <w:ind w:firstLine="708"/>
        <w:jc w:val="both"/>
        <w:rPr>
          <w:rFonts w:ascii="Times New Roman" w:eastAsia="Calibri" w:hAnsi="Times New Roman" w:cs="Times New Roman"/>
          <w:b/>
          <w:sz w:val="24"/>
          <w:szCs w:val="24"/>
        </w:rPr>
      </w:pPr>
      <w:r w:rsidRPr="00CE3DF1">
        <w:rPr>
          <w:rFonts w:ascii="Times New Roman" w:eastAsia="Calibri" w:hAnsi="Times New Roman" w:cs="Times New Roman"/>
          <w:b/>
          <w:sz w:val="24"/>
          <w:szCs w:val="24"/>
        </w:rPr>
        <w:t>Съдържание</w:t>
      </w:r>
    </w:p>
    <w:p w:rsidR="00CE3DF1" w:rsidRPr="00CE3DF1" w:rsidRDefault="00CE3DF1" w:rsidP="00CE3DF1">
      <w:p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1.Йерархия при управление на отпадъците;</w:t>
      </w:r>
    </w:p>
    <w:p w:rsidR="00CE3DF1" w:rsidRPr="00CE3DF1" w:rsidRDefault="00CE3DF1" w:rsidP="00CE3DF1">
      <w:p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2.Отговорности и изисквания на общините за разделно събиране на битови отпадъци, съгласно ЗУО;</w:t>
      </w:r>
    </w:p>
    <w:p w:rsidR="00CE3DF1" w:rsidRPr="00CE3DF1" w:rsidRDefault="00CE3DF1" w:rsidP="00CE3DF1">
      <w:p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 xml:space="preserve">3.Организация на дейностите по разделно събиране и съхраняване на битови отпадъци, вкл. добри общински практики </w:t>
      </w:r>
    </w:p>
    <w:p w:rsidR="00CE3DF1" w:rsidRDefault="00CE3DF1" w:rsidP="00CE3DF1">
      <w:p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 xml:space="preserve">4.Начин на финансиране за изпълнение на дейностите </w:t>
      </w:r>
    </w:p>
    <w:p w:rsidR="0079159B" w:rsidRPr="00CE3DF1" w:rsidRDefault="0079159B" w:rsidP="00CE3DF1">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79159B">
        <w:rPr>
          <w:rFonts w:ascii="Times New Roman" w:eastAsia="Calibri" w:hAnsi="Times New Roman" w:cs="Times New Roman"/>
          <w:bCs/>
          <w:color w:val="5B9BD5" w:themeColor="accent1"/>
          <w:sz w:val="24"/>
          <w:szCs w:val="24"/>
          <w:lang w:eastAsia="ar-SA"/>
        </w:rPr>
        <w:t xml:space="preserve"> </w:t>
      </w:r>
      <w:r w:rsidRPr="001D2671">
        <w:rPr>
          <w:rFonts w:ascii="Times New Roman" w:eastAsia="Calibri" w:hAnsi="Times New Roman" w:cs="Times New Roman"/>
          <w:bCs/>
          <w:color w:val="5B9BD5" w:themeColor="accent1"/>
          <w:sz w:val="24"/>
          <w:szCs w:val="24"/>
          <w:lang w:eastAsia="ar-SA"/>
        </w:rPr>
        <w:t>Програми за финансиране извън бюджетните средства на общините</w:t>
      </w:r>
    </w:p>
    <w:p w:rsidR="00CE3DF1" w:rsidRPr="00CE3DF1" w:rsidRDefault="0079159B" w:rsidP="00CE3DF1">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CE3DF1" w:rsidRPr="00CE3DF1">
        <w:rPr>
          <w:rFonts w:ascii="Times New Roman" w:eastAsia="Calibri" w:hAnsi="Times New Roman" w:cs="Times New Roman"/>
          <w:sz w:val="24"/>
          <w:szCs w:val="24"/>
        </w:rPr>
        <w:t>.Регионални асоциации</w:t>
      </w:r>
    </w:p>
    <w:p w:rsidR="001D2671" w:rsidRPr="0079159B" w:rsidRDefault="0079159B" w:rsidP="0079159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CE3DF1" w:rsidRPr="00CE3DF1">
        <w:rPr>
          <w:rFonts w:ascii="Times New Roman" w:eastAsia="Calibri" w:hAnsi="Times New Roman" w:cs="Times New Roman"/>
          <w:sz w:val="24"/>
          <w:szCs w:val="24"/>
        </w:rPr>
        <w:t>Взаимодействие със заинтересовани страни за организация на конкретни дейности</w:t>
      </w:r>
    </w:p>
    <w:p w:rsidR="00CE3DF1" w:rsidRPr="00CE3DF1" w:rsidRDefault="00CE3DF1" w:rsidP="001D2671">
      <w:pPr>
        <w:spacing w:after="0" w:line="276" w:lineRule="auto"/>
        <w:jc w:val="both"/>
        <w:rPr>
          <w:rFonts w:ascii="Times New Roman" w:eastAsia="Calibri" w:hAnsi="Times New Roman" w:cs="Times New Roman"/>
          <w:sz w:val="24"/>
          <w:szCs w:val="24"/>
          <w:highlight w:val="yellow"/>
        </w:rPr>
      </w:pPr>
    </w:p>
    <w:p w:rsidR="00CE3DF1" w:rsidRPr="00CE3DF1" w:rsidRDefault="00CE3DF1" w:rsidP="00CE3DF1">
      <w:pPr>
        <w:spacing w:after="0" w:line="276" w:lineRule="auto"/>
        <w:ind w:firstLine="708"/>
        <w:jc w:val="both"/>
        <w:rPr>
          <w:rFonts w:ascii="Times New Roman" w:eastAsia="Calibri" w:hAnsi="Times New Roman" w:cs="Times New Roman"/>
          <w:b/>
          <w:sz w:val="24"/>
          <w:szCs w:val="24"/>
        </w:rPr>
      </w:pPr>
      <w:r w:rsidRPr="00CE3DF1">
        <w:rPr>
          <w:rFonts w:ascii="Times New Roman" w:eastAsia="Calibri" w:hAnsi="Times New Roman" w:cs="Times New Roman"/>
          <w:b/>
          <w:sz w:val="24"/>
          <w:szCs w:val="24"/>
        </w:rPr>
        <w:t>Цел на обучението</w:t>
      </w:r>
    </w:p>
    <w:p w:rsidR="00CE3DF1" w:rsidRPr="00CE3DF1" w:rsidRDefault="00CE3DF1" w:rsidP="00CE3DF1">
      <w:p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Целта на обучението е обучаемите да се запознаят със:</w:t>
      </w:r>
    </w:p>
    <w:p w:rsidR="00CE3DF1" w:rsidRPr="00CE3DF1" w:rsidRDefault="00CE3DF1" w:rsidP="00CE3DF1">
      <w:pPr>
        <w:numPr>
          <w:ilvl w:val="0"/>
          <w:numId w:val="20"/>
        </w:num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Същност и изисквания при прилагане на йерархията за управление на отпадъците;</w:t>
      </w:r>
    </w:p>
    <w:p w:rsidR="00CE3DF1" w:rsidRPr="00CE3DF1" w:rsidRDefault="00203EE1" w:rsidP="00CE3DF1">
      <w:pPr>
        <w:numPr>
          <w:ilvl w:val="0"/>
          <w:numId w:val="20"/>
        </w:num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Отговорностите</w:t>
      </w:r>
      <w:r w:rsidR="00CE3DF1" w:rsidRPr="00CE3DF1">
        <w:rPr>
          <w:rFonts w:ascii="Times New Roman" w:eastAsia="Calibri" w:hAnsi="Times New Roman" w:cs="Times New Roman"/>
          <w:sz w:val="24"/>
          <w:szCs w:val="24"/>
        </w:rPr>
        <w:t xml:space="preserve"> и изискванията на общините за раздел</w:t>
      </w:r>
      <w:r>
        <w:rPr>
          <w:rFonts w:ascii="Times New Roman" w:eastAsia="Calibri" w:hAnsi="Times New Roman" w:cs="Times New Roman"/>
          <w:sz w:val="24"/>
          <w:szCs w:val="24"/>
        </w:rPr>
        <w:t>но събиране на битови отпадъци</w:t>
      </w:r>
      <w:r w:rsidR="00CE3DF1" w:rsidRPr="00CE3DF1">
        <w:rPr>
          <w:rFonts w:ascii="Times New Roman" w:eastAsia="Calibri" w:hAnsi="Times New Roman" w:cs="Times New Roman"/>
          <w:sz w:val="24"/>
          <w:szCs w:val="24"/>
        </w:rPr>
        <w:t>, съгласно ЗУО;</w:t>
      </w:r>
    </w:p>
    <w:p w:rsidR="00CE3DF1" w:rsidRPr="00CE3DF1" w:rsidRDefault="00CE3DF1" w:rsidP="00CE3DF1">
      <w:pPr>
        <w:numPr>
          <w:ilvl w:val="0"/>
          <w:numId w:val="20"/>
        </w:num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Организация на дейностите по разделно събиране и съхраняване на битови отпадъци, вкл. добри общински практики;</w:t>
      </w:r>
    </w:p>
    <w:p w:rsidR="00CE3DF1" w:rsidRPr="00CE3DF1" w:rsidRDefault="00CE3DF1" w:rsidP="00CE3DF1">
      <w:pPr>
        <w:numPr>
          <w:ilvl w:val="0"/>
          <w:numId w:val="20"/>
        </w:num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Начини на финансиране за изпълнение на дейностите;</w:t>
      </w:r>
    </w:p>
    <w:p w:rsidR="00CE3DF1" w:rsidRPr="00CE3DF1" w:rsidRDefault="00CE3DF1" w:rsidP="00CE3DF1">
      <w:pPr>
        <w:numPr>
          <w:ilvl w:val="0"/>
          <w:numId w:val="20"/>
        </w:num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Взаимодействие със заинтересовани страни за организация на конкретни дейности</w:t>
      </w:r>
    </w:p>
    <w:p w:rsidR="00CE3DF1" w:rsidRPr="00CE3DF1" w:rsidRDefault="00CE3DF1" w:rsidP="00CE3DF1">
      <w:pPr>
        <w:spacing w:after="0" w:line="276" w:lineRule="auto"/>
        <w:jc w:val="both"/>
        <w:rPr>
          <w:rFonts w:ascii="Times New Roman" w:eastAsia="Calibri" w:hAnsi="Times New Roman" w:cs="Times New Roman"/>
          <w:b/>
          <w:sz w:val="24"/>
          <w:szCs w:val="24"/>
        </w:rPr>
      </w:pPr>
    </w:p>
    <w:p w:rsidR="00CE3DF1" w:rsidRPr="00DA0297" w:rsidRDefault="00CE3DF1" w:rsidP="00CE3DF1">
      <w:pPr>
        <w:numPr>
          <w:ilvl w:val="0"/>
          <w:numId w:val="1"/>
        </w:numPr>
        <w:tabs>
          <w:tab w:val="left" w:pos="426"/>
        </w:tabs>
        <w:spacing w:after="0" w:line="276" w:lineRule="auto"/>
        <w:jc w:val="both"/>
        <w:rPr>
          <w:rFonts w:ascii="Times New Roman" w:eastAsia="Calibri" w:hAnsi="Times New Roman" w:cs="Times New Roman"/>
          <w:b/>
          <w:sz w:val="28"/>
          <w:szCs w:val="28"/>
        </w:rPr>
      </w:pPr>
      <w:r w:rsidRPr="00DA0297">
        <w:rPr>
          <w:rFonts w:ascii="Times New Roman" w:eastAsia="Calibri" w:hAnsi="Times New Roman" w:cs="Times New Roman"/>
          <w:b/>
          <w:sz w:val="28"/>
          <w:szCs w:val="28"/>
        </w:rPr>
        <w:t>Йерархия при  управление на отпадъците</w:t>
      </w:r>
    </w:p>
    <w:p w:rsidR="00CE3DF1" w:rsidRPr="00CE3DF1" w:rsidRDefault="00CE3DF1" w:rsidP="00CE3DF1">
      <w:pPr>
        <w:spacing w:after="0" w:line="276" w:lineRule="auto"/>
        <w:ind w:firstLine="360"/>
        <w:jc w:val="both"/>
        <w:rPr>
          <w:rFonts w:ascii="Times New Roman" w:eastAsia="Calibri" w:hAnsi="Times New Roman" w:cs="Times New Roman"/>
          <w:sz w:val="24"/>
          <w:szCs w:val="24"/>
          <w:lang w:val="ru-RU"/>
        </w:rPr>
      </w:pPr>
      <w:r w:rsidRPr="00CE3DF1">
        <w:rPr>
          <w:rFonts w:ascii="Times New Roman" w:eastAsia="Calibri" w:hAnsi="Times New Roman" w:cs="Times New Roman"/>
          <w:sz w:val="24"/>
          <w:szCs w:val="24"/>
        </w:rPr>
        <w:t>Рамко</w:t>
      </w:r>
      <w:r w:rsidR="00203EE1">
        <w:rPr>
          <w:rFonts w:ascii="Times New Roman" w:eastAsia="Calibri" w:hAnsi="Times New Roman" w:cs="Times New Roman"/>
          <w:sz w:val="24"/>
          <w:szCs w:val="24"/>
        </w:rPr>
        <w:t>вата директива за отпадъци (чл.</w:t>
      </w:r>
      <w:r w:rsidRPr="00CE3DF1">
        <w:rPr>
          <w:rFonts w:ascii="Times New Roman" w:eastAsia="Calibri" w:hAnsi="Times New Roman" w:cs="Times New Roman"/>
          <w:sz w:val="24"/>
          <w:szCs w:val="24"/>
        </w:rPr>
        <w:t>4</w:t>
      </w:r>
      <w:r w:rsidR="00203EE1">
        <w:rPr>
          <w:rFonts w:ascii="Times New Roman" w:eastAsia="Calibri" w:hAnsi="Times New Roman" w:cs="Times New Roman"/>
          <w:sz w:val="24"/>
          <w:szCs w:val="24"/>
        </w:rPr>
        <w:t xml:space="preserve"> </w:t>
      </w:r>
      <w:r w:rsidRPr="00CE3DF1">
        <w:rPr>
          <w:rFonts w:ascii="Times New Roman" w:eastAsia="Calibri" w:hAnsi="Times New Roman" w:cs="Times New Roman"/>
          <w:sz w:val="24"/>
          <w:szCs w:val="24"/>
        </w:rPr>
        <w:t>от РДО) определя пет стъпки за управление на отпадъците, класифицирани според въздействието им върху околната среда, обединени под общото наименование „йерархия за отпадъците“</w:t>
      </w:r>
      <w:r w:rsidRPr="00CE3DF1">
        <w:rPr>
          <w:rFonts w:ascii="Times New Roman" w:eastAsia="Calibri" w:hAnsi="Times New Roman" w:cs="Times New Roman"/>
          <w:sz w:val="24"/>
          <w:szCs w:val="24"/>
          <w:lang w:val="ru-RU"/>
        </w:rPr>
        <w:t>:</w:t>
      </w:r>
    </w:p>
    <w:p w:rsidR="00CE3DF1" w:rsidRPr="00CE3DF1" w:rsidRDefault="00CE3DF1" w:rsidP="00CE3DF1">
      <w:pPr>
        <w:numPr>
          <w:ilvl w:val="0"/>
          <w:numId w:val="2"/>
        </w:num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Предотвратяване на образуването на отпадъци;</w:t>
      </w:r>
    </w:p>
    <w:p w:rsidR="00CE3DF1" w:rsidRPr="00CE3DF1" w:rsidRDefault="00CE3DF1" w:rsidP="00CE3DF1">
      <w:pPr>
        <w:numPr>
          <w:ilvl w:val="0"/>
          <w:numId w:val="2"/>
        </w:num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Подготовка за повторна употреба;</w:t>
      </w:r>
    </w:p>
    <w:p w:rsidR="00CE3DF1" w:rsidRPr="00CE3DF1" w:rsidRDefault="00CE3DF1" w:rsidP="00CE3DF1">
      <w:pPr>
        <w:numPr>
          <w:ilvl w:val="0"/>
          <w:numId w:val="2"/>
        </w:num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Рециклиране;</w:t>
      </w:r>
    </w:p>
    <w:p w:rsidR="00CE3DF1" w:rsidRPr="00CE3DF1" w:rsidRDefault="00CE3DF1" w:rsidP="00CE3DF1">
      <w:pPr>
        <w:numPr>
          <w:ilvl w:val="0"/>
          <w:numId w:val="2"/>
        </w:num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Друго оползотворяване, например оползотворяване за получаване на енергия;</w:t>
      </w:r>
    </w:p>
    <w:p w:rsidR="00CE3DF1" w:rsidRPr="00CE3DF1" w:rsidRDefault="00CE3DF1" w:rsidP="00CE3DF1">
      <w:pPr>
        <w:numPr>
          <w:ilvl w:val="0"/>
          <w:numId w:val="2"/>
        </w:num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Обезвреждане;</w:t>
      </w:r>
    </w:p>
    <w:p w:rsidR="00CE3DF1" w:rsidRPr="00CE3DF1" w:rsidRDefault="00CE3DF1" w:rsidP="00CE3DF1">
      <w:p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 xml:space="preserve">Предотвратяване образуването на отпадъци предлага най-добрите резултати за околната </w:t>
      </w:r>
      <w:r w:rsidRPr="00D30D6A">
        <w:rPr>
          <w:rFonts w:ascii="Times New Roman" w:eastAsia="Calibri" w:hAnsi="Times New Roman" w:cs="Times New Roman"/>
          <w:sz w:val="24"/>
          <w:szCs w:val="24"/>
        </w:rPr>
        <w:t xml:space="preserve">среда, и е най </w:t>
      </w:r>
      <w:r w:rsidR="00D30D6A" w:rsidRPr="00D30D6A">
        <w:rPr>
          <w:rFonts w:ascii="Times New Roman" w:eastAsia="Calibri" w:hAnsi="Times New Roman" w:cs="Times New Roman"/>
          <w:sz w:val="24"/>
          <w:szCs w:val="24"/>
        </w:rPr>
        <w:t>–</w:t>
      </w:r>
      <w:r w:rsidRPr="00D30D6A">
        <w:rPr>
          <w:rFonts w:ascii="Times New Roman" w:eastAsia="Calibri" w:hAnsi="Times New Roman" w:cs="Times New Roman"/>
          <w:sz w:val="24"/>
          <w:szCs w:val="24"/>
        </w:rPr>
        <w:t xml:space="preserve"> приоритетна</w:t>
      </w:r>
      <w:r w:rsidR="00D30D6A" w:rsidRPr="00D30D6A">
        <w:rPr>
          <w:rFonts w:ascii="Times New Roman" w:eastAsia="Calibri" w:hAnsi="Times New Roman" w:cs="Times New Roman"/>
          <w:sz w:val="24"/>
          <w:szCs w:val="24"/>
        </w:rPr>
        <w:t>та стъпка, следван</w:t>
      </w:r>
      <w:r w:rsidRPr="00D30D6A">
        <w:rPr>
          <w:rFonts w:ascii="Times New Roman" w:eastAsia="Calibri" w:hAnsi="Times New Roman" w:cs="Times New Roman"/>
          <w:sz w:val="24"/>
          <w:szCs w:val="24"/>
        </w:rPr>
        <w:t>а</w:t>
      </w:r>
      <w:r w:rsidRPr="00CE3DF1">
        <w:rPr>
          <w:rFonts w:ascii="Times New Roman" w:eastAsia="Calibri" w:hAnsi="Times New Roman" w:cs="Times New Roman"/>
          <w:sz w:val="24"/>
          <w:szCs w:val="24"/>
        </w:rPr>
        <w:t xml:space="preserve"> от подготовка за повторна употреба, рециклиране, друго оползотворяване и обезв</w:t>
      </w:r>
      <w:r w:rsidR="00D30D6A">
        <w:rPr>
          <w:rFonts w:ascii="Times New Roman" w:eastAsia="Calibri" w:hAnsi="Times New Roman" w:cs="Times New Roman"/>
          <w:sz w:val="24"/>
          <w:szCs w:val="24"/>
        </w:rPr>
        <w:t>реждане, в йерархията за управление на отпадъците.</w:t>
      </w:r>
    </w:p>
    <w:p w:rsidR="00CE3DF1" w:rsidRPr="00CE3DF1" w:rsidRDefault="00CE3DF1" w:rsidP="00CE3DF1">
      <w:p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 xml:space="preserve">Чл. 6, ал. 2 и 3 от ЗУО определя, че отклонения от йерархията се допускат само за специфични потоци отпадъци, когато това се основава на съображения, свързани с </w:t>
      </w:r>
      <w:r w:rsidRPr="00CE3DF1">
        <w:rPr>
          <w:rFonts w:ascii="Times New Roman" w:eastAsia="Calibri" w:hAnsi="Times New Roman" w:cs="Times New Roman"/>
          <w:sz w:val="24"/>
          <w:szCs w:val="24"/>
        </w:rPr>
        <w:lastRenderedPageBreak/>
        <w:t>жизнения цикъл на отпадъците, във връзка с цялостното въздействие на образуването и управлението на такива отпадъци.</w:t>
      </w:r>
    </w:p>
    <w:p w:rsidR="00CE3DF1" w:rsidRPr="00CE3DF1" w:rsidRDefault="00CE3DF1" w:rsidP="00CE3DF1">
      <w:p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При прилагането на йерархията се вземат предвид общите принципи за опазване на околната среда, като предпазни мерки и устойчивост, техническата осъществимост и икономическата приложимост, опазване на ресурсите, както и цялостното въздействие върху околната среда, човешкото здраве, икономиката и обществото в съответствие с общата цел да се предотврати или намали вредното въздействие от отпадъците върху човешкото здраве и околната среда при спазване изискванията на нормативните актове относно:</w:t>
      </w:r>
    </w:p>
    <w:p w:rsidR="00CE3DF1" w:rsidRPr="00CE3DF1" w:rsidRDefault="00CE3DF1" w:rsidP="00CE3DF1">
      <w:pPr>
        <w:numPr>
          <w:ilvl w:val="0"/>
          <w:numId w:val="3"/>
        </w:num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Опазване на водата, въздуха, почвата, растенията и животните;</w:t>
      </w:r>
    </w:p>
    <w:p w:rsidR="00CE3DF1" w:rsidRPr="00CE3DF1" w:rsidRDefault="00CE3DF1" w:rsidP="00CE3DF1">
      <w:pPr>
        <w:numPr>
          <w:ilvl w:val="0"/>
          <w:numId w:val="3"/>
        </w:num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Шума и миризмите, и</w:t>
      </w:r>
    </w:p>
    <w:p w:rsidR="00CE3DF1" w:rsidRPr="00CE3DF1" w:rsidRDefault="00CE3DF1" w:rsidP="00CE3DF1">
      <w:pPr>
        <w:numPr>
          <w:ilvl w:val="0"/>
          <w:numId w:val="3"/>
        </w:num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Опазване на природната среда, които са обект на специална защита.</w:t>
      </w:r>
    </w:p>
    <w:p w:rsidR="00CE3DF1" w:rsidRPr="00CE3DF1" w:rsidRDefault="00CE3DF1" w:rsidP="00CE3DF1">
      <w:pPr>
        <w:spacing w:after="0" w:line="276" w:lineRule="auto"/>
        <w:jc w:val="both"/>
        <w:rPr>
          <w:rFonts w:ascii="Times New Roman" w:eastAsia="Calibri" w:hAnsi="Times New Roman" w:cs="Times New Roman"/>
          <w:sz w:val="24"/>
          <w:szCs w:val="24"/>
        </w:rPr>
      </w:pPr>
    </w:p>
    <w:p w:rsidR="00CE3DF1" w:rsidRPr="00DA0297" w:rsidRDefault="00CE3DF1" w:rsidP="00CE3DF1">
      <w:pPr>
        <w:spacing w:after="0" w:line="276" w:lineRule="auto"/>
        <w:jc w:val="both"/>
        <w:rPr>
          <w:rFonts w:ascii="Times New Roman" w:eastAsia="Calibri" w:hAnsi="Times New Roman" w:cs="Times New Roman"/>
          <w:b/>
          <w:i/>
          <w:color w:val="70AD47" w:themeColor="accent6"/>
          <w:sz w:val="24"/>
          <w:szCs w:val="24"/>
        </w:rPr>
      </w:pPr>
      <w:r w:rsidRPr="00DA0297">
        <w:rPr>
          <w:rFonts w:ascii="Times New Roman" w:eastAsia="Calibri" w:hAnsi="Times New Roman" w:cs="Times New Roman"/>
          <w:b/>
          <w:i/>
          <w:color w:val="70AD47" w:themeColor="accent6"/>
          <w:sz w:val="24"/>
          <w:szCs w:val="24"/>
        </w:rPr>
        <w:t xml:space="preserve">Предотвратяване </w:t>
      </w:r>
    </w:p>
    <w:p w:rsidR="00CE3DF1" w:rsidRPr="00CE3DF1" w:rsidRDefault="00CE3DF1" w:rsidP="00CE3DF1">
      <w:p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 xml:space="preserve">Чл. 3 (12) от РДО дава следното определение за предотвратяване: </w:t>
      </w:r>
    </w:p>
    <w:p w:rsidR="00CE3DF1" w:rsidRPr="00CE3DF1" w:rsidRDefault="00CE3DF1" w:rsidP="00CE3DF1">
      <w:p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 xml:space="preserve">„Мерките, взети преди веществото, материалът или продуктът да стане отпадък, с  което се намалява: </w:t>
      </w:r>
    </w:p>
    <w:p w:rsidR="00CE3DF1" w:rsidRPr="00CE3DF1" w:rsidRDefault="00203EE1" w:rsidP="00CE3DF1">
      <w:pPr>
        <w:numPr>
          <w:ilvl w:val="0"/>
          <w:numId w:val="6"/>
        </w:num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количеството </w:t>
      </w:r>
      <w:r w:rsidR="00CE3DF1" w:rsidRPr="00CE3DF1">
        <w:rPr>
          <w:rFonts w:ascii="Times New Roman" w:eastAsia="Calibri" w:hAnsi="Times New Roman" w:cs="Times New Roman"/>
          <w:sz w:val="24"/>
          <w:szCs w:val="24"/>
        </w:rPr>
        <w:t xml:space="preserve">отпадъци, включително  чрез повторната употреба на продуктите  или удължаването на жизнения им цикъл; </w:t>
      </w:r>
    </w:p>
    <w:p w:rsidR="00CE3DF1" w:rsidRPr="00CE3DF1" w:rsidRDefault="00CE3DF1" w:rsidP="00CE3DF1">
      <w:pPr>
        <w:numPr>
          <w:ilvl w:val="0"/>
          <w:numId w:val="6"/>
        </w:num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 xml:space="preserve">вредното въздействие  от образуваните  отпадъци върху околната  среда и човешкото здраве; или </w:t>
      </w:r>
    </w:p>
    <w:p w:rsidR="00CE3DF1" w:rsidRPr="00CE3DF1" w:rsidRDefault="00CE3DF1" w:rsidP="00CE3DF1">
      <w:pPr>
        <w:numPr>
          <w:ilvl w:val="0"/>
          <w:numId w:val="6"/>
        </w:num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съдържанието на вредни вещества в материалите и продуктите”</w:t>
      </w:r>
      <w:r w:rsidRPr="00CE3DF1">
        <w:rPr>
          <w:rFonts w:ascii="Times New Roman" w:eastAsia="Calibri" w:hAnsi="Times New Roman" w:cs="Times New Roman"/>
          <w:sz w:val="24"/>
          <w:szCs w:val="24"/>
          <w:lang w:val="ru-RU"/>
        </w:rPr>
        <w:t>;</w:t>
      </w:r>
    </w:p>
    <w:p w:rsidR="00CE3DF1" w:rsidRPr="00CE3DF1" w:rsidRDefault="00CE3DF1" w:rsidP="00CE3DF1">
      <w:p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Предотвратяване е хоризонтална мярка, която обхваща всички фази на потока от материали – добив, производство, разпространение и потребление.</w:t>
      </w:r>
    </w:p>
    <w:p w:rsidR="00CE3DF1" w:rsidRPr="00CE3DF1" w:rsidRDefault="00CE3DF1" w:rsidP="00CE3DF1">
      <w:pPr>
        <w:spacing w:after="0" w:line="276" w:lineRule="auto"/>
        <w:jc w:val="both"/>
        <w:rPr>
          <w:rFonts w:ascii="Times New Roman" w:eastAsia="Calibri" w:hAnsi="Times New Roman" w:cs="Times New Roman"/>
          <w:sz w:val="24"/>
          <w:szCs w:val="24"/>
        </w:rPr>
      </w:pPr>
    </w:p>
    <w:p w:rsidR="00CE3DF1" w:rsidRPr="00DA0297" w:rsidRDefault="00CE3DF1" w:rsidP="00CE3DF1">
      <w:pPr>
        <w:spacing w:after="0" w:line="276" w:lineRule="auto"/>
        <w:jc w:val="both"/>
        <w:rPr>
          <w:rFonts w:ascii="Times New Roman" w:eastAsia="Calibri" w:hAnsi="Times New Roman" w:cs="Times New Roman"/>
          <w:b/>
          <w:i/>
          <w:color w:val="70AD47" w:themeColor="accent6"/>
          <w:sz w:val="24"/>
          <w:szCs w:val="24"/>
        </w:rPr>
      </w:pPr>
      <w:r w:rsidRPr="00DA0297">
        <w:rPr>
          <w:rFonts w:ascii="Times New Roman" w:eastAsia="Calibri" w:hAnsi="Times New Roman" w:cs="Times New Roman"/>
          <w:b/>
          <w:i/>
          <w:color w:val="70AD47" w:themeColor="accent6"/>
          <w:sz w:val="24"/>
          <w:szCs w:val="24"/>
        </w:rPr>
        <w:t xml:space="preserve">Подготовка за повторна употреба </w:t>
      </w:r>
    </w:p>
    <w:p w:rsidR="00CE3DF1" w:rsidRPr="00CE3DF1" w:rsidRDefault="00CE3DF1" w:rsidP="00CE3DF1">
      <w:p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 xml:space="preserve">Чл. 3 (16) от РДО, респ. §1, т.25 от ДР на ЗУО дава следното определение за подготовка за повторна употреба: „Проверка, почистване или ремонт, операции по оползотворяване посредством които продуктите или компонентите на продуктите, които са станали отпадък се подготвят, така че да бъдат повторно използвани без всякаква друга предварителна обработка. </w:t>
      </w:r>
    </w:p>
    <w:p w:rsidR="00CE3DF1" w:rsidRPr="00CE3DF1" w:rsidRDefault="00CE3DF1" w:rsidP="00CE3DF1">
      <w:pPr>
        <w:spacing w:after="0" w:line="276" w:lineRule="auto"/>
        <w:jc w:val="both"/>
        <w:rPr>
          <w:rFonts w:ascii="Times New Roman" w:eastAsia="Calibri" w:hAnsi="Times New Roman" w:cs="Times New Roman"/>
          <w:b/>
          <w:sz w:val="24"/>
          <w:szCs w:val="24"/>
        </w:rPr>
      </w:pPr>
      <w:r w:rsidRPr="00CE3DF1">
        <w:rPr>
          <w:rFonts w:ascii="Times New Roman" w:eastAsia="Calibri" w:hAnsi="Times New Roman" w:cs="Times New Roman"/>
          <w:sz w:val="24"/>
          <w:szCs w:val="24"/>
        </w:rPr>
        <w:t>По дефиниция подготовка за повторна употреба е специфичен случай на оползотворяване. Основната разлика между „повторна употреба“ и „подготовка за повторна употреба“ е, че в първия случай материала или предмета не е станал отпадък, докато в случаите на „подготовка за повторна употреба“, въпросният материал е станал отпадък по смисъла на определението за отпадъци. Примери за подготовка за повторна употреба включват ремонт на велосипеди, мебели или електрическо или електронно оборудване, от които притежателите им са се освободили.</w:t>
      </w:r>
    </w:p>
    <w:p w:rsidR="00CE3DF1" w:rsidRPr="00CE3DF1" w:rsidRDefault="00CE3DF1" w:rsidP="00CE3DF1">
      <w:pPr>
        <w:spacing w:after="0" w:line="276" w:lineRule="auto"/>
        <w:jc w:val="both"/>
        <w:rPr>
          <w:rFonts w:ascii="Times New Roman" w:eastAsia="Calibri" w:hAnsi="Times New Roman" w:cs="Times New Roman"/>
          <w:b/>
          <w:sz w:val="24"/>
          <w:szCs w:val="24"/>
        </w:rPr>
      </w:pPr>
    </w:p>
    <w:p w:rsidR="00CE3DF1" w:rsidRPr="00DA0297" w:rsidRDefault="00CE3DF1" w:rsidP="00CE3DF1">
      <w:pPr>
        <w:spacing w:after="0" w:line="276" w:lineRule="auto"/>
        <w:jc w:val="both"/>
        <w:rPr>
          <w:rFonts w:ascii="Times New Roman" w:eastAsia="Calibri" w:hAnsi="Times New Roman" w:cs="Times New Roman"/>
          <w:b/>
          <w:i/>
          <w:color w:val="70AD47" w:themeColor="accent6"/>
          <w:sz w:val="24"/>
          <w:szCs w:val="24"/>
        </w:rPr>
      </w:pPr>
      <w:r w:rsidRPr="00DA0297">
        <w:rPr>
          <w:rFonts w:ascii="Times New Roman" w:eastAsia="Calibri" w:hAnsi="Times New Roman" w:cs="Times New Roman"/>
          <w:b/>
          <w:i/>
          <w:color w:val="70AD47" w:themeColor="accent6"/>
          <w:sz w:val="24"/>
          <w:szCs w:val="24"/>
        </w:rPr>
        <w:t>Рециклиране</w:t>
      </w:r>
    </w:p>
    <w:p w:rsidR="00CE3DF1" w:rsidRPr="00CE3DF1" w:rsidRDefault="00CE3DF1" w:rsidP="00CE3DF1">
      <w:p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 xml:space="preserve">Член 3 (17) от РДО, респ. в §1. т.37 от ДР на ЗУО дава следното определение: „Всяка дейност по оползотворяване, посредством която отпадъчните материали се преработват в продукти, материали или вещества, за първоначалната им цел или за други цели. То включва преработването на органични материали, но не включва оползотворяване за </w:t>
      </w:r>
      <w:r w:rsidRPr="00CE3DF1">
        <w:rPr>
          <w:rFonts w:ascii="Times New Roman" w:eastAsia="Calibri" w:hAnsi="Times New Roman" w:cs="Times New Roman"/>
          <w:sz w:val="24"/>
          <w:szCs w:val="24"/>
        </w:rPr>
        <w:lastRenderedPageBreak/>
        <w:t xml:space="preserve">получаване на енергия и преработване в материали, които ще се използват като горива или за насипни дейности“. </w:t>
      </w:r>
    </w:p>
    <w:p w:rsidR="00CE3DF1" w:rsidRPr="00CE3DF1" w:rsidRDefault="00CE3DF1" w:rsidP="00CE3DF1">
      <w:p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Подхода при рециклирането е, че един материал се преработва с цел да се променят неговите физико-химични характеристики и да се оползотворят повторно за същите или за други цели.</w:t>
      </w:r>
    </w:p>
    <w:p w:rsidR="00CE3DF1" w:rsidRPr="00CE3DF1" w:rsidRDefault="00CE3DF1" w:rsidP="00CE3DF1">
      <w:pPr>
        <w:spacing w:after="0" w:line="276" w:lineRule="auto"/>
        <w:jc w:val="both"/>
        <w:rPr>
          <w:rFonts w:ascii="Times New Roman" w:eastAsia="Calibri" w:hAnsi="Times New Roman" w:cs="Times New Roman"/>
          <w:sz w:val="24"/>
          <w:szCs w:val="24"/>
        </w:rPr>
      </w:pPr>
    </w:p>
    <w:p w:rsidR="00CE3DF1" w:rsidRPr="00DA0297" w:rsidRDefault="00CE3DF1" w:rsidP="00CE3DF1">
      <w:pPr>
        <w:spacing w:after="0" w:line="276" w:lineRule="auto"/>
        <w:jc w:val="both"/>
        <w:rPr>
          <w:rFonts w:ascii="Times New Roman" w:eastAsia="Calibri" w:hAnsi="Times New Roman" w:cs="Times New Roman"/>
          <w:b/>
          <w:i/>
          <w:color w:val="70AD47" w:themeColor="accent6"/>
          <w:sz w:val="24"/>
          <w:szCs w:val="24"/>
        </w:rPr>
      </w:pPr>
      <w:r w:rsidRPr="00DA0297">
        <w:rPr>
          <w:rFonts w:ascii="Times New Roman" w:eastAsia="Calibri" w:hAnsi="Times New Roman" w:cs="Times New Roman"/>
          <w:b/>
          <w:i/>
          <w:color w:val="70AD47" w:themeColor="accent6"/>
          <w:sz w:val="24"/>
          <w:szCs w:val="24"/>
        </w:rPr>
        <w:t>Друго оползотворяване</w:t>
      </w:r>
    </w:p>
    <w:p w:rsidR="00CE3DF1" w:rsidRPr="00CE3DF1" w:rsidRDefault="00CE3DF1" w:rsidP="00CE3DF1">
      <w:p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„Всяка дейност, която отговаря на определението „оползотворяване“ съгласно РДО, но която не отговаря на специфичните изисквания за подготовка за повторна употреба или за рециклиране“</w:t>
      </w:r>
    </w:p>
    <w:p w:rsidR="00CE3DF1" w:rsidRPr="00CE3DF1" w:rsidRDefault="00CE3DF1" w:rsidP="00CE3DF1">
      <w:p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Примери за друго оползотворяване са:</w:t>
      </w:r>
    </w:p>
    <w:p w:rsidR="00CE3DF1" w:rsidRPr="00CE3DF1" w:rsidRDefault="00CE3DF1" w:rsidP="00CE3DF1">
      <w:pPr>
        <w:numPr>
          <w:ilvl w:val="0"/>
          <w:numId w:val="6"/>
        </w:num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 xml:space="preserve">изгарянето или съвместното изгаряне, когато основното използване на отпадъците е като гориво или друг начин за получаване на енергия. Това е операция по управление на отпадъците с оползотворяване на енергията, класифицирана като R1 в приложение II към РДО. Това контрастира с изгарянето на отпадъци без оползотворяване на енергия, класифицирано като операция по обезвреждане D10 в приложение I към РДО, респективно D10 в приложение 1 към § 1, т.11 на ЗУО; </w:t>
      </w:r>
    </w:p>
    <w:p w:rsidR="00CE3DF1" w:rsidRPr="00CE3DF1" w:rsidRDefault="00CE3DF1" w:rsidP="00CE3DF1">
      <w:pPr>
        <w:numPr>
          <w:ilvl w:val="0"/>
          <w:numId w:val="6"/>
        </w:num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насипни дейности, отговарящи на дефиницията за оползотворяване, съгласно § 1, т.10 от ДР на ЗУО, като: „Дейност по оползотворяване, при която подходящи отпадъци се използват за рекултивационни цели в разкопани участъци или за инженерни цели в строителството на депа и където отпадъкът е заместител на неотпадъчни материали“;</w:t>
      </w:r>
    </w:p>
    <w:p w:rsidR="00CE3DF1" w:rsidRPr="00CE3DF1" w:rsidRDefault="00CE3DF1" w:rsidP="00CE3DF1">
      <w:pPr>
        <w:spacing w:after="0" w:line="276" w:lineRule="auto"/>
        <w:jc w:val="both"/>
        <w:rPr>
          <w:rFonts w:ascii="Times New Roman" w:eastAsia="Calibri" w:hAnsi="Times New Roman" w:cs="Times New Roman"/>
          <w:sz w:val="24"/>
          <w:szCs w:val="24"/>
        </w:rPr>
      </w:pPr>
    </w:p>
    <w:p w:rsidR="00CE3DF1" w:rsidRPr="00DA0297" w:rsidRDefault="00CE3DF1" w:rsidP="00CE3DF1">
      <w:pPr>
        <w:spacing w:after="0" w:line="276" w:lineRule="auto"/>
        <w:jc w:val="both"/>
        <w:rPr>
          <w:rFonts w:ascii="Times New Roman" w:eastAsia="Calibri" w:hAnsi="Times New Roman" w:cs="Times New Roman"/>
          <w:b/>
          <w:i/>
          <w:color w:val="70AD47" w:themeColor="accent6"/>
          <w:sz w:val="24"/>
          <w:szCs w:val="24"/>
        </w:rPr>
      </w:pPr>
      <w:r w:rsidRPr="00DA0297">
        <w:rPr>
          <w:rFonts w:ascii="Times New Roman" w:eastAsia="Calibri" w:hAnsi="Times New Roman" w:cs="Times New Roman"/>
          <w:b/>
          <w:i/>
          <w:color w:val="70AD47" w:themeColor="accent6"/>
          <w:sz w:val="24"/>
          <w:szCs w:val="24"/>
        </w:rPr>
        <w:t>Обезвреждане</w:t>
      </w:r>
    </w:p>
    <w:p w:rsidR="00CE3DF1" w:rsidRPr="00CE3DF1" w:rsidRDefault="00CE3DF1" w:rsidP="00CE3DF1">
      <w:p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Чл. 3 (19) от РДО, респ. §1, т.11 от ДР на ЗУО, дава следното определение: „Всяка дейност, която не е оползотворяване, дори когато дейността има като вторична последица възстановяването на вещества или енергия“.</w:t>
      </w:r>
    </w:p>
    <w:p w:rsidR="00CE3DF1" w:rsidRPr="00CE3DF1" w:rsidRDefault="00CE3DF1" w:rsidP="00CE3DF1">
      <w:pPr>
        <w:spacing w:after="0" w:line="276" w:lineRule="auto"/>
        <w:jc w:val="both"/>
        <w:rPr>
          <w:rFonts w:ascii="Times New Roman" w:eastAsia="Calibri" w:hAnsi="Times New Roman" w:cs="Times New Roman"/>
          <w:color w:val="000000"/>
          <w:sz w:val="24"/>
          <w:szCs w:val="24"/>
          <w:shd w:val="clear" w:color="auto" w:fill="FFFFFF"/>
        </w:rPr>
      </w:pPr>
    </w:p>
    <w:p w:rsidR="00CE3DF1" w:rsidRPr="00CE3DF1" w:rsidRDefault="00CE3DF1" w:rsidP="00CE3DF1">
      <w:pPr>
        <w:spacing w:after="0" w:line="276" w:lineRule="auto"/>
        <w:jc w:val="both"/>
        <w:rPr>
          <w:rFonts w:ascii="Times New Roman" w:eastAsia="Calibri" w:hAnsi="Times New Roman" w:cs="Times New Roman"/>
          <w:bCs/>
          <w:sz w:val="24"/>
          <w:szCs w:val="24"/>
          <w:lang w:eastAsia="ar-SA"/>
        </w:rPr>
      </w:pPr>
      <w:r w:rsidRPr="00CE3DF1">
        <w:rPr>
          <w:rFonts w:ascii="Times New Roman" w:eastAsia="Calibri" w:hAnsi="Times New Roman" w:cs="Times New Roman"/>
          <w:bCs/>
          <w:sz w:val="24"/>
          <w:szCs w:val="24"/>
          <w:lang w:eastAsia="ar-SA"/>
        </w:rPr>
        <w:t xml:space="preserve">Европейските стратегически документи от последните години променят философията и подхода към отпадъците, от фактора, увреждащ околната среда, към политика на предотвратяване на тяхното образуване и ефективното им използване като ресурс. От приетата преди почти 40 г. първа европейска рамкова директива за отпадъците, законодателството на ЕС, търпи бурно развитие. От по общите разпоредби през 70те години на </w:t>
      </w:r>
      <w:r w:rsidRPr="00CE3DF1">
        <w:rPr>
          <w:rFonts w:ascii="Times New Roman" w:eastAsia="Calibri" w:hAnsi="Times New Roman" w:cs="Times New Roman"/>
          <w:bCs/>
          <w:sz w:val="24"/>
          <w:szCs w:val="24"/>
          <w:lang w:val="en-US" w:eastAsia="ar-SA"/>
        </w:rPr>
        <w:t>XX</w:t>
      </w:r>
      <w:r w:rsidRPr="00CE3DF1">
        <w:rPr>
          <w:rFonts w:ascii="Times New Roman" w:eastAsia="Calibri" w:hAnsi="Times New Roman" w:cs="Times New Roman"/>
          <w:bCs/>
          <w:sz w:val="24"/>
          <w:szCs w:val="24"/>
          <w:lang w:val="ru-RU" w:eastAsia="ar-SA"/>
        </w:rPr>
        <w:t xml:space="preserve"> </w:t>
      </w:r>
      <w:r w:rsidRPr="00CE3DF1">
        <w:rPr>
          <w:rFonts w:ascii="Times New Roman" w:eastAsia="Calibri" w:hAnsi="Times New Roman" w:cs="Times New Roman"/>
          <w:bCs/>
          <w:sz w:val="24"/>
          <w:szCs w:val="24"/>
          <w:lang w:eastAsia="ar-SA"/>
        </w:rPr>
        <w:t xml:space="preserve">век, фокусирани главно върху намаляването на вредното въздействие на отпадъците върху околната среда, в днешно време законодателния пакет съдържа конкретни мерки за: </w:t>
      </w:r>
    </w:p>
    <w:p w:rsidR="00CE3DF1" w:rsidRPr="00CE3DF1" w:rsidRDefault="00CE3DF1" w:rsidP="00CE3DF1">
      <w:pPr>
        <w:numPr>
          <w:ilvl w:val="0"/>
          <w:numId w:val="6"/>
        </w:numPr>
        <w:spacing w:after="0" w:line="276" w:lineRule="auto"/>
        <w:jc w:val="both"/>
        <w:rPr>
          <w:rFonts w:ascii="Times New Roman" w:eastAsia="Calibri" w:hAnsi="Times New Roman" w:cs="Times New Roman"/>
          <w:bCs/>
          <w:sz w:val="24"/>
          <w:szCs w:val="24"/>
          <w:lang w:eastAsia="ar-SA"/>
        </w:rPr>
      </w:pPr>
      <w:r w:rsidRPr="00CE3DF1">
        <w:rPr>
          <w:rFonts w:ascii="Times New Roman" w:eastAsia="Calibri" w:hAnsi="Times New Roman" w:cs="Times New Roman"/>
          <w:bCs/>
          <w:sz w:val="24"/>
          <w:szCs w:val="24"/>
          <w:lang w:eastAsia="ar-SA"/>
        </w:rPr>
        <w:t>допълнителни ограничения свързани с депонирането на отпадъци – специални разпоредби за намаляване на употребата и предотвратяване на отпадъците, ограничения за изгаряне на отпадъци, които биха могли да бъдат рециклирани.</w:t>
      </w:r>
    </w:p>
    <w:p w:rsidR="00CE3DF1" w:rsidRPr="00CE3DF1" w:rsidRDefault="00CE3DF1" w:rsidP="00CE3DF1">
      <w:pPr>
        <w:numPr>
          <w:ilvl w:val="0"/>
          <w:numId w:val="6"/>
        </w:numPr>
        <w:spacing w:after="0" w:line="276" w:lineRule="auto"/>
        <w:jc w:val="both"/>
        <w:rPr>
          <w:rFonts w:ascii="Times New Roman" w:eastAsia="Calibri" w:hAnsi="Times New Roman" w:cs="Times New Roman"/>
          <w:bCs/>
          <w:sz w:val="24"/>
          <w:szCs w:val="24"/>
          <w:lang w:eastAsia="ar-SA"/>
        </w:rPr>
      </w:pPr>
      <w:r w:rsidRPr="00CE3DF1">
        <w:rPr>
          <w:rFonts w:ascii="Times New Roman" w:eastAsia="Calibri" w:hAnsi="Times New Roman" w:cs="Times New Roman"/>
          <w:bCs/>
          <w:sz w:val="24"/>
          <w:szCs w:val="24"/>
          <w:lang w:eastAsia="ar-SA"/>
        </w:rPr>
        <w:t>Въвеждане на по-високи цели за рециклиране на битови отпадъци;</w:t>
      </w:r>
    </w:p>
    <w:p w:rsidR="00CE3DF1" w:rsidRPr="00CE3DF1" w:rsidRDefault="00CE3DF1" w:rsidP="00CE3DF1">
      <w:pPr>
        <w:numPr>
          <w:ilvl w:val="0"/>
          <w:numId w:val="6"/>
        </w:numPr>
        <w:spacing w:after="0" w:line="276" w:lineRule="auto"/>
        <w:jc w:val="both"/>
        <w:rPr>
          <w:rFonts w:ascii="Times New Roman" w:eastAsia="Calibri" w:hAnsi="Times New Roman" w:cs="Times New Roman"/>
          <w:bCs/>
          <w:sz w:val="24"/>
          <w:szCs w:val="24"/>
          <w:lang w:eastAsia="ar-SA"/>
        </w:rPr>
      </w:pPr>
      <w:r w:rsidRPr="00CE3DF1">
        <w:rPr>
          <w:rFonts w:ascii="Times New Roman" w:eastAsia="Calibri" w:hAnsi="Times New Roman" w:cs="Times New Roman"/>
          <w:bCs/>
          <w:sz w:val="24"/>
          <w:szCs w:val="24"/>
          <w:lang w:eastAsia="ar-SA"/>
        </w:rPr>
        <w:t>По-високи цели за рециклиране на отпадъци от опаковки за лицата, които пускат на пазара опаковани стоки.</w:t>
      </w:r>
    </w:p>
    <w:p w:rsidR="00CE3DF1" w:rsidRPr="00CE3DF1" w:rsidRDefault="00CE3DF1" w:rsidP="00CE3DF1">
      <w:pPr>
        <w:spacing w:after="0" w:line="276" w:lineRule="auto"/>
        <w:jc w:val="both"/>
        <w:rPr>
          <w:rFonts w:ascii="Times New Roman" w:eastAsia="Calibri" w:hAnsi="Times New Roman" w:cs="Times New Roman"/>
          <w:bCs/>
          <w:sz w:val="24"/>
          <w:szCs w:val="24"/>
          <w:lang w:eastAsia="ar-SA"/>
        </w:rPr>
      </w:pPr>
    </w:p>
    <w:p w:rsidR="00CE3DF1" w:rsidRPr="00CE3DF1" w:rsidRDefault="00CE3DF1" w:rsidP="00CE3DF1">
      <w:pPr>
        <w:spacing w:after="0" w:line="276" w:lineRule="auto"/>
        <w:jc w:val="both"/>
        <w:rPr>
          <w:rFonts w:ascii="Times New Roman" w:eastAsia="Calibri" w:hAnsi="Times New Roman" w:cs="Times New Roman"/>
          <w:bCs/>
          <w:sz w:val="24"/>
          <w:szCs w:val="24"/>
          <w:lang w:eastAsia="ar-SA"/>
        </w:rPr>
      </w:pPr>
      <w:r w:rsidRPr="00CE3DF1">
        <w:rPr>
          <w:rFonts w:ascii="Times New Roman" w:eastAsia="Calibri" w:hAnsi="Times New Roman" w:cs="Times New Roman"/>
          <w:sz w:val="24"/>
          <w:szCs w:val="24"/>
        </w:rPr>
        <w:lastRenderedPageBreak/>
        <w:t>В България отпадъчните материали от метали, стъкло, пластмаса, хартия и картон се събират разделно предимно от частни организации, посредством програми за рециклиране, подкрепяни до голяма степен от българските общини и производителите, съобразно принципа „разширена отговорност на производителя“ (РОП).</w:t>
      </w:r>
    </w:p>
    <w:p w:rsidR="00CE3DF1" w:rsidRPr="00CE3DF1" w:rsidRDefault="00CE3DF1" w:rsidP="00CE3DF1">
      <w:pPr>
        <w:spacing w:after="0" w:line="276" w:lineRule="auto"/>
        <w:ind w:left="720"/>
        <w:contextualSpacing/>
        <w:jc w:val="both"/>
        <w:rPr>
          <w:rFonts w:ascii="Times New Roman" w:eastAsia="Calibri" w:hAnsi="Times New Roman" w:cs="Times New Roman"/>
          <w:sz w:val="24"/>
          <w:szCs w:val="24"/>
          <w:lang w:eastAsia="bg-BG"/>
        </w:rPr>
      </w:pPr>
    </w:p>
    <w:p w:rsidR="00CE3DF1" w:rsidRPr="00DA0297" w:rsidRDefault="00CE3DF1" w:rsidP="00CE3DF1">
      <w:pPr>
        <w:spacing w:after="0" w:line="276" w:lineRule="auto"/>
        <w:jc w:val="both"/>
        <w:rPr>
          <w:rFonts w:ascii="Times New Roman" w:eastAsia="Calibri" w:hAnsi="Times New Roman" w:cs="Times New Roman"/>
          <w:b/>
          <w:sz w:val="28"/>
          <w:szCs w:val="28"/>
        </w:rPr>
      </w:pPr>
      <w:r w:rsidRPr="00DA0297">
        <w:rPr>
          <w:rFonts w:ascii="Times New Roman" w:eastAsia="Calibri" w:hAnsi="Times New Roman" w:cs="Times New Roman"/>
          <w:b/>
          <w:sz w:val="28"/>
          <w:szCs w:val="28"/>
        </w:rPr>
        <w:t>2. Отговорности и изисквания на общините за разделно събиране на битови отпадъци, съгласно ЗУО</w:t>
      </w:r>
    </w:p>
    <w:p w:rsidR="00CE3DF1" w:rsidRPr="00CE3DF1" w:rsidRDefault="00CE3DF1" w:rsidP="00CE3DF1">
      <w:p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В изпълнение на изискванията на ЗУО, общините имат задължението да организират разделното събиране на следните отпадъчни потоци:</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b/>
          <w:sz w:val="24"/>
          <w:szCs w:val="24"/>
        </w:rPr>
        <w:t>а)</w:t>
      </w:r>
      <w:r w:rsidRPr="00CE3DF1">
        <w:rPr>
          <w:rFonts w:ascii="Times New Roman" w:eastAsia="Calibri" w:hAnsi="Times New Roman" w:cs="Times New Roman"/>
          <w:sz w:val="24"/>
          <w:szCs w:val="24"/>
        </w:rPr>
        <w:t xml:space="preserve"> </w:t>
      </w:r>
      <w:r w:rsidRPr="00CE3DF1">
        <w:rPr>
          <w:rFonts w:ascii="Times New Roman" w:eastAsia="Calibri" w:hAnsi="Times New Roman" w:cs="Times New Roman"/>
          <w:b/>
          <w:sz w:val="24"/>
          <w:szCs w:val="24"/>
        </w:rPr>
        <w:t>отпадъци от опаковки (ООп) и отпадъчни материали от хартия и картон, метали, пластмаси и стъкло</w:t>
      </w:r>
      <w:r w:rsidRPr="00CE3DF1">
        <w:rPr>
          <w:rFonts w:ascii="Times New Roman" w:eastAsia="Calibri" w:hAnsi="Times New Roman" w:cs="Times New Roman"/>
          <w:sz w:val="24"/>
          <w:szCs w:val="24"/>
        </w:rPr>
        <w:t>. Кметовете на общините сключват договори при условия и ред, определен с решение на общинския съ</w:t>
      </w:r>
      <w:r w:rsidR="00203EE1">
        <w:rPr>
          <w:rFonts w:ascii="Times New Roman" w:eastAsia="Calibri" w:hAnsi="Times New Roman" w:cs="Times New Roman"/>
          <w:sz w:val="24"/>
          <w:szCs w:val="24"/>
        </w:rPr>
        <w:t>вет с</w:t>
      </w:r>
      <w:r w:rsidRPr="00CE3DF1">
        <w:rPr>
          <w:rFonts w:ascii="Times New Roman" w:eastAsia="Calibri" w:hAnsi="Times New Roman" w:cs="Times New Roman"/>
          <w:sz w:val="24"/>
          <w:szCs w:val="24"/>
        </w:rPr>
        <w:t>:</w:t>
      </w:r>
    </w:p>
    <w:p w:rsidR="00CE3DF1" w:rsidRPr="00CE3DF1" w:rsidRDefault="00CE3DF1" w:rsidP="00CE3DF1">
      <w:pPr>
        <w:numPr>
          <w:ilvl w:val="0"/>
          <w:numId w:val="7"/>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организации по оползотворяване, притежаваща разрешение издадено по реда на ЗУО и/или</w:t>
      </w:r>
    </w:p>
    <w:p w:rsidR="00CE3DF1" w:rsidRPr="00CE3DF1" w:rsidRDefault="00CE3DF1" w:rsidP="00CE3DF1">
      <w:pPr>
        <w:numPr>
          <w:ilvl w:val="0"/>
          <w:numId w:val="7"/>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други лица, притежаващи разрешение или регистрационен документ, издаден по реда на ЗУО за извършване на дейности по събиране, транспортиране, рециклиране и/или оползотворяване на отпадъци.</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p>
    <w:p w:rsidR="00CE3DF1" w:rsidRPr="00CE3DF1" w:rsidRDefault="00CE3DF1" w:rsidP="00CE3DF1">
      <w:p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Системите за разделно събиране на отпадъци по чл. 19, ал. 3, т. 6 и за разделно събиране на отпадъци от опаковки обхващат не по-малко от 6 000 000 жители на територията на страната и задължително включват всички населени места с насе</w:t>
      </w:r>
      <w:r w:rsidR="00203EE1">
        <w:rPr>
          <w:rFonts w:ascii="Times New Roman" w:eastAsia="Calibri" w:hAnsi="Times New Roman" w:cs="Times New Roman"/>
          <w:sz w:val="24"/>
          <w:szCs w:val="24"/>
        </w:rPr>
        <w:t>ление, по-голямо от 5000 жители</w:t>
      </w:r>
      <w:r w:rsidRPr="00CE3DF1">
        <w:rPr>
          <w:rFonts w:ascii="Times New Roman" w:eastAsia="Calibri" w:hAnsi="Times New Roman" w:cs="Times New Roman"/>
          <w:sz w:val="24"/>
          <w:szCs w:val="24"/>
        </w:rPr>
        <w:t xml:space="preserve"> и курортните населени места. Кметът на общината може да подписва договор само с една организация по оползотворява</w:t>
      </w:r>
      <w:r w:rsidR="00203EE1">
        <w:rPr>
          <w:rFonts w:ascii="Times New Roman" w:eastAsia="Calibri" w:hAnsi="Times New Roman" w:cs="Times New Roman"/>
          <w:sz w:val="24"/>
          <w:szCs w:val="24"/>
        </w:rPr>
        <w:t>не. Изключение правят Столична</w:t>
      </w:r>
      <w:r w:rsidRPr="00CE3DF1">
        <w:rPr>
          <w:rFonts w:ascii="Times New Roman" w:eastAsia="Calibri" w:hAnsi="Times New Roman" w:cs="Times New Roman"/>
          <w:sz w:val="24"/>
          <w:szCs w:val="24"/>
        </w:rPr>
        <w:t xml:space="preserve"> община и градовете с население над 300 000 души с районно деление.</w:t>
      </w:r>
    </w:p>
    <w:p w:rsidR="00CE3DF1" w:rsidRPr="00CE3DF1" w:rsidRDefault="00CE3DF1" w:rsidP="00CE3DF1">
      <w:pPr>
        <w:spacing w:after="0" w:line="276" w:lineRule="auto"/>
        <w:jc w:val="both"/>
        <w:rPr>
          <w:rFonts w:ascii="Times New Roman" w:eastAsia="Calibri" w:hAnsi="Times New Roman" w:cs="Times New Roman"/>
          <w:sz w:val="24"/>
          <w:szCs w:val="24"/>
        </w:rPr>
      </w:pPr>
    </w:p>
    <w:p w:rsidR="00CE3DF1" w:rsidRPr="00CE3DF1" w:rsidRDefault="00CE3DF1" w:rsidP="00CE3DF1">
      <w:pPr>
        <w:spacing w:after="0" w:line="276" w:lineRule="auto"/>
        <w:jc w:val="both"/>
        <w:rPr>
          <w:rFonts w:ascii="Times New Roman" w:eastAsia="Calibri" w:hAnsi="Times New Roman" w:cs="Times New Roman"/>
          <w:b/>
          <w:sz w:val="24"/>
          <w:szCs w:val="24"/>
        </w:rPr>
      </w:pPr>
      <w:r w:rsidRPr="00CE3DF1">
        <w:rPr>
          <w:rFonts w:ascii="Times New Roman" w:eastAsia="Calibri" w:hAnsi="Times New Roman" w:cs="Times New Roman"/>
          <w:b/>
          <w:sz w:val="24"/>
          <w:szCs w:val="24"/>
        </w:rPr>
        <w:t>б) битови биоразградими отпадъци</w:t>
      </w:r>
    </w:p>
    <w:p w:rsidR="00CE3DF1" w:rsidRPr="00CE3DF1" w:rsidRDefault="00CE3DF1" w:rsidP="00CE3DF1">
      <w:p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lang w:val="ru-RU"/>
        </w:rPr>
        <w:t xml:space="preserve">В изпълнение на изискванията на чл. 19, ал. 3, т.10 от ЗУО, общините имат задължение да </w:t>
      </w:r>
      <w:r w:rsidRPr="00CE3DF1">
        <w:rPr>
          <w:rFonts w:ascii="Times New Roman" w:eastAsia="Calibri" w:hAnsi="Times New Roman" w:cs="Times New Roman"/>
          <w:sz w:val="24"/>
          <w:szCs w:val="24"/>
        </w:rPr>
        <w:t xml:space="preserve">събират разделно и съхраняват битовите биоразградими отпадъци </w:t>
      </w:r>
      <w:r w:rsidRPr="00CE3DF1">
        <w:rPr>
          <w:rFonts w:ascii="Times New Roman" w:eastAsia="Calibri" w:hAnsi="Times New Roman" w:cs="Times New Roman"/>
          <w:sz w:val="24"/>
          <w:szCs w:val="24"/>
          <w:lang w:val="ru-RU"/>
        </w:rPr>
        <w:t xml:space="preserve">от поддържане на обществени площи, паркове и градини </w:t>
      </w:r>
      <w:r w:rsidRPr="00CE3DF1">
        <w:rPr>
          <w:rFonts w:ascii="Times New Roman" w:eastAsia="Calibri" w:hAnsi="Times New Roman" w:cs="Times New Roman"/>
          <w:sz w:val="24"/>
          <w:szCs w:val="24"/>
        </w:rPr>
        <w:t>в т.ч. да определят местата за разполагане на необходимите елементи на системата за разделно събиране на отпадъци и пред</w:t>
      </w:r>
      <w:r w:rsidR="00203EE1">
        <w:rPr>
          <w:rFonts w:ascii="Times New Roman" w:eastAsia="Calibri" w:hAnsi="Times New Roman" w:cs="Times New Roman"/>
          <w:sz w:val="24"/>
          <w:szCs w:val="24"/>
        </w:rPr>
        <w:t>а</w:t>
      </w:r>
      <w:r w:rsidRPr="00CE3DF1">
        <w:rPr>
          <w:rFonts w:ascii="Times New Roman" w:eastAsia="Calibri" w:hAnsi="Times New Roman" w:cs="Times New Roman"/>
          <w:sz w:val="24"/>
          <w:szCs w:val="24"/>
        </w:rPr>
        <w:t xml:space="preserve">ването им за компостиране или анаеробно разграждане. </w:t>
      </w:r>
    </w:p>
    <w:p w:rsidR="00CE3DF1" w:rsidRPr="00CE3DF1" w:rsidRDefault="00CE3DF1" w:rsidP="00CE3DF1">
      <w:pPr>
        <w:spacing w:after="0" w:line="276" w:lineRule="auto"/>
        <w:jc w:val="both"/>
        <w:rPr>
          <w:rFonts w:ascii="Times New Roman" w:eastAsia="Calibri" w:hAnsi="Times New Roman" w:cs="Times New Roman"/>
          <w:b/>
          <w:sz w:val="24"/>
          <w:szCs w:val="24"/>
        </w:rPr>
      </w:pPr>
      <w:r w:rsidRPr="00CE3DF1">
        <w:rPr>
          <w:rFonts w:ascii="Times New Roman" w:eastAsia="Calibri" w:hAnsi="Times New Roman" w:cs="Times New Roman"/>
          <w:sz w:val="24"/>
          <w:szCs w:val="24"/>
          <w:lang w:val="ru-RU"/>
        </w:rPr>
        <w:t>Биоотпадъците от поддържане на обществени площи, паркове и градини, както и отпадъците от зелените площи към търговски обекти, производствени, стопански и административни сгради се третират чрез компостиране или анаеробно разграждане, по начин, който осигурява висока степен на защита на околната среда.</w:t>
      </w:r>
      <w:r w:rsidRPr="00CE3DF1">
        <w:rPr>
          <w:rFonts w:ascii="Times New Roman" w:eastAsia="Calibri" w:hAnsi="Times New Roman" w:cs="Times New Roman"/>
          <w:sz w:val="24"/>
          <w:szCs w:val="24"/>
          <w:lang w:val="ru-RU"/>
        </w:rPr>
        <w:cr/>
      </w:r>
    </w:p>
    <w:p w:rsidR="00CE3DF1" w:rsidRPr="00CE3DF1" w:rsidRDefault="00CE3DF1" w:rsidP="00CE3DF1">
      <w:pPr>
        <w:spacing w:after="0" w:line="276" w:lineRule="auto"/>
        <w:jc w:val="both"/>
        <w:rPr>
          <w:rFonts w:ascii="Times New Roman" w:eastAsia="Calibri" w:hAnsi="Times New Roman" w:cs="Times New Roman"/>
          <w:b/>
          <w:sz w:val="24"/>
          <w:szCs w:val="24"/>
        </w:rPr>
      </w:pPr>
      <w:r w:rsidRPr="00CE3DF1">
        <w:rPr>
          <w:rFonts w:ascii="Times New Roman" w:eastAsia="Calibri" w:hAnsi="Times New Roman" w:cs="Times New Roman"/>
          <w:b/>
          <w:sz w:val="24"/>
          <w:szCs w:val="24"/>
        </w:rPr>
        <w:t>в) масово разпространени отпадъци (МРО)</w:t>
      </w:r>
    </w:p>
    <w:p w:rsidR="00CE3DF1" w:rsidRPr="00CE3DF1" w:rsidRDefault="00CE3DF1" w:rsidP="00CE3DF1">
      <w:pPr>
        <w:spacing w:after="0" w:line="276" w:lineRule="auto"/>
        <w:jc w:val="both"/>
        <w:rPr>
          <w:rFonts w:ascii="Times New Roman" w:eastAsia="Calibri" w:hAnsi="Times New Roman" w:cs="Times New Roman"/>
          <w:b/>
          <w:sz w:val="24"/>
          <w:szCs w:val="24"/>
        </w:rPr>
      </w:pPr>
      <w:r w:rsidRPr="00CE3DF1">
        <w:rPr>
          <w:rFonts w:ascii="Times New Roman" w:eastAsia="Calibri" w:hAnsi="Times New Roman" w:cs="Times New Roman"/>
          <w:sz w:val="24"/>
          <w:szCs w:val="24"/>
          <w:lang w:val="ru-RU"/>
        </w:rPr>
        <w:t xml:space="preserve">Системата за разделно събиране </w:t>
      </w:r>
      <w:r w:rsidRPr="00CE3DF1">
        <w:rPr>
          <w:rFonts w:ascii="Times New Roman" w:eastAsia="Calibri" w:hAnsi="Times New Roman" w:cs="Times New Roman"/>
          <w:sz w:val="24"/>
          <w:szCs w:val="24"/>
        </w:rPr>
        <w:t xml:space="preserve">на МРО </w:t>
      </w:r>
      <w:r w:rsidRPr="00CE3DF1">
        <w:rPr>
          <w:rFonts w:ascii="Times New Roman" w:eastAsia="Calibri" w:hAnsi="Times New Roman" w:cs="Times New Roman"/>
          <w:sz w:val="24"/>
          <w:szCs w:val="24"/>
          <w:lang w:val="ru-RU"/>
        </w:rPr>
        <w:t>се организира в съответствие с принципа „разширена отговорност на производителя“–</w:t>
      </w:r>
      <w:r w:rsidRPr="00CE3DF1">
        <w:rPr>
          <w:rFonts w:ascii="Times New Roman" w:eastAsia="Calibri" w:hAnsi="Times New Roman" w:cs="Times New Roman"/>
          <w:sz w:val="24"/>
          <w:szCs w:val="24"/>
        </w:rPr>
        <w:t xml:space="preserve"> </w:t>
      </w:r>
      <w:r w:rsidRPr="00CE3DF1">
        <w:rPr>
          <w:rFonts w:ascii="Times New Roman" w:eastAsia="Calibri" w:hAnsi="Times New Roman" w:cs="Times New Roman"/>
          <w:sz w:val="24"/>
          <w:szCs w:val="24"/>
          <w:lang w:val="ru-RU"/>
        </w:rPr>
        <w:t>чрез сключване на договори между общината и организации по оползотворяване на опаковки, излязло от употреба електрическо и електронно оборудване (ИУЕЕО), негодни за употреба батерии и акумулатори (НУБА), излезли от употреба моторни превозни средства (ИУМПС), отработени масла, излезли от употреба гуми</w:t>
      </w:r>
      <w:r w:rsidRPr="00CE3DF1">
        <w:rPr>
          <w:rFonts w:ascii="Times New Roman" w:eastAsia="Calibri" w:hAnsi="Times New Roman" w:cs="Times New Roman"/>
          <w:sz w:val="24"/>
          <w:szCs w:val="24"/>
        </w:rPr>
        <w:t xml:space="preserve"> (чл. 19, ал. 3</w:t>
      </w:r>
      <w:r w:rsidRPr="00CE3DF1">
        <w:rPr>
          <w:rFonts w:ascii="Times New Roman" w:eastAsia="Calibri" w:hAnsi="Times New Roman" w:cs="Times New Roman"/>
          <w:sz w:val="24"/>
          <w:szCs w:val="24"/>
          <w:lang w:val="ru-RU"/>
        </w:rPr>
        <w:t xml:space="preserve">, т. </w:t>
      </w:r>
      <w:r w:rsidRPr="00CE3DF1">
        <w:rPr>
          <w:rFonts w:ascii="Times New Roman" w:eastAsia="Calibri" w:hAnsi="Times New Roman" w:cs="Times New Roman"/>
          <w:sz w:val="24"/>
          <w:szCs w:val="24"/>
        </w:rPr>
        <w:t>7)</w:t>
      </w:r>
      <w:r w:rsidR="006F468C">
        <w:rPr>
          <w:rFonts w:ascii="Times New Roman" w:eastAsia="Calibri" w:hAnsi="Times New Roman" w:cs="Times New Roman"/>
          <w:sz w:val="24"/>
          <w:szCs w:val="24"/>
        </w:rPr>
        <w:t xml:space="preserve">. </w:t>
      </w:r>
      <w:r w:rsidR="006028D1">
        <w:rPr>
          <w:rFonts w:ascii="Times New Roman" w:eastAsia="Calibri" w:hAnsi="Times New Roman" w:cs="Times New Roman"/>
          <w:sz w:val="24"/>
          <w:szCs w:val="24"/>
        </w:rPr>
        <w:t>С промяната на ЗУО, к</w:t>
      </w:r>
      <w:r w:rsidR="006F468C">
        <w:rPr>
          <w:rFonts w:ascii="Times New Roman" w:eastAsia="Calibri" w:hAnsi="Times New Roman" w:cs="Times New Roman"/>
          <w:sz w:val="24"/>
          <w:szCs w:val="24"/>
        </w:rPr>
        <w:t xml:space="preserve">ъм </w:t>
      </w:r>
      <w:r w:rsidR="006F468C">
        <w:rPr>
          <w:rFonts w:ascii="Times New Roman" w:eastAsia="Calibri" w:hAnsi="Times New Roman" w:cs="Times New Roman"/>
          <w:sz w:val="24"/>
          <w:szCs w:val="24"/>
        </w:rPr>
        <w:lastRenderedPageBreak/>
        <w:t xml:space="preserve">масово разпространени отпадъци се </w:t>
      </w:r>
      <w:r w:rsidR="00BF1438">
        <w:rPr>
          <w:rFonts w:ascii="Times New Roman" w:eastAsia="Calibri" w:hAnsi="Times New Roman" w:cs="Times New Roman"/>
          <w:sz w:val="24"/>
          <w:szCs w:val="24"/>
        </w:rPr>
        <w:t>добавя още един специфичен поток – отпадъци от текстил и обувки.</w:t>
      </w:r>
      <w:r w:rsidR="00E41BE3">
        <w:rPr>
          <w:rFonts w:ascii="Times New Roman" w:eastAsia="Calibri" w:hAnsi="Times New Roman" w:cs="Times New Roman"/>
          <w:sz w:val="24"/>
          <w:szCs w:val="24"/>
        </w:rPr>
        <w:t xml:space="preserve"> </w:t>
      </w:r>
    </w:p>
    <w:p w:rsidR="00CE3DF1" w:rsidRPr="00CE3DF1" w:rsidRDefault="00CE3DF1" w:rsidP="00CE3DF1">
      <w:pPr>
        <w:spacing w:after="0" w:line="276" w:lineRule="auto"/>
        <w:ind w:firstLine="708"/>
        <w:jc w:val="both"/>
        <w:rPr>
          <w:rFonts w:ascii="Times New Roman" w:eastAsia="Calibri" w:hAnsi="Times New Roman" w:cs="Times New Roman"/>
          <w:b/>
          <w:sz w:val="24"/>
          <w:szCs w:val="24"/>
        </w:rPr>
      </w:pPr>
    </w:p>
    <w:p w:rsidR="00CE3DF1" w:rsidRPr="00CE3DF1" w:rsidRDefault="00CE3DF1" w:rsidP="00CE3DF1">
      <w:pPr>
        <w:spacing w:after="0" w:line="276" w:lineRule="auto"/>
        <w:jc w:val="both"/>
        <w:rPr>
          <w:rFonts w:ascii="Times New Roman" w:eastAsia="Calibri" w:hAnsi="Times New Roman" w:cs="Times New Roman"/>
          <w:b/>
          <w:sz w:val="24"/>
          <w:szCs w:val="24"/>
        </w:rPr>
      </w:pPr>
      <w:r w:rsidRPr="00CE3DF1">
        <w:rPr>
          <w:rFonts w:ascii="Times New Roman" w:eastAsia="Calibri" w:hAnsi="Times New Roman" w:cs="Times New Roman"/>
          <w:b/>
          <w:sz w:val="24"/>
          <w:szCs w:val="24"/>
        </w:rPr>
        <w:t>г) опасни битови отпадъци</w:t>
      </w:r>
    </w:p>
    <w:p w:rsidR="00CE3DF1" w:rsidRPr="00CE3DF1" w:rsidRDefault="00CE3DF1" w:rsidP="00CE3DF1">
      <w:p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 xml:space="preserve">В изпълнение на изискванията на чл. 19, ал. 3, т.9 от ЗУО, общините имат ангажимент да организират разделното събиране на опасни битови отпадъци извън </w:t>
      </w:r>
      <w:r w:rsidRPr="00CE3DF1">
        <w:rPr>
          <w:rFonts w:ascii="Times New Roman" w:eastAsia="Calibri" w:hAnsi="Times New Roman" w:cs="Times New Roman"/>
          <w:sz w:val="24"/>
          <w:szCs w:val="24"/>
          <w:lang w:val="ru-RU"/>
        </w:rPr>
        <w:t>обхвата на наредбите по отношение управление на масово</w:t>
      </w:r>
      <w:r w:rsidR="00203EE1">
        <w:rPr>
          <w:rFonts w:ascii="Times New Roman" w:eastAsia="Calibri" w:hAnsi="Times New Roman" w:cs="Times New Roman"/>
          <w:sz w:val="24"/>
          <w:szCs w:val="24"/>
          <w:lang w:val="ru-RU"/>
        </w:rPr>
        <w:t xml:space="preserve"> </w:t>
      </w:r>
      <w:r w:rsidRPr="00CE3DF1">
        <w:rPr>
          <w:rFonts w:ascii="Times New Roman" w:eastAsia="Calibri" w:hAnsi="Times New Roman" w:cs="Times New Roman"/>
          <w:sz w:val="24"/>
          <w:szCs w:val="24"/>
          <w:lang w:val="ru-RU"/>
        </w:rPr>
        <w:t>разпространените отпадъци. Тези отпадъци включват бои и покрития, градински химикали, вкл. пестициди, продукти от грижи за домашни любимци, продукти от автомобили (антифриз, масла), химичните вещества и препарати, използвани в домакинствата, вкл. дезинфектанти и електрически и електронни уреди</w:t>
      </w:r>
      <w:r w:rsidRPr="00CE3DF1">
        <w:rPr>
          <w:rFonts w:ascii="Times New Roman" w:eastAsia="Calibri" w:hAnsi="Times New Roman" w:cs="Times New Roman"/>
          <w:sz w:val="24"/>
          <w:szCs w:val="24"/>
        </w:rPr>
        <w:t>.</w:t>
      </w:r>
    </w:p>
    <w:p w:rsidR="00CE3DF1" w:rsidRPr="00CE3DF1" w:rsidRDefault="00CE3DF1" w:rsidP="00CE3DF1">
      <w:pPr>
        <w:spacing w:after="0" w:line="276" w:lineRule="auto"/>
        <w:jc w:val="both"/>
        <w:rPr>
          <w:rFonts w:ascii="Times New Roman" w:eastAsia="Calibri" w:hAnsi="Times New Roman" w:cs="Times New Roman"/>
          <w:sz w:val="24"/>
          <w:szCs w:val="24"/>
        </w:rPr>
      </w:pPr>
    </w:p>
    <w:p w:rsidR="00CE3DF1" w:rsidRPr="00CE3DF1" w:rsidRDefault="00CE3DF1" w:rsidP="00CE3DF1">
      <w:p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В изпълнение на изискванията на ЗУО, кметовете на общините имат задължение да:</w:t>
      </w:r>
    </w:p>
    <w:p w:rsidR="00CE3DF1" w:rsidRPr="00CE3DF1" w:rsidRDefault="00442FE4" w:rsidP="00CE3DF1">
      <w:pPr>
        <w:tabs>
          <w:tab w:val="left" w:pos="426"/>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а</w:t>
      </w:r>
      <w:r w:rsidR="00CE3DF1" w:rsidRPr="00CE3DF1">
        <w:rPr>
          <w:rFonts w:ascii="Times New Roman" w:eastAsia="Calibri" w:hAnsi="Times New Roman" w:cs="Times New Roman"/>
          <w:b/>
          <w:sz w:val="24"/>
          <w:szCs w:val="24"/>
        </w:rPr>
        <w:t>)</w:t>
      </w:r>
      <w:r w:rsidR="00CE3DF1" w:rsidRPr="00CE3DF1">
        <w:rPr>
          <w:rFonts w:ascii="Times New Roman" w:eastAsia="Calibri" w:hAnsi="Times New Roman" w:cs="Times New Roman"/>
          <w:i/>
          <w:sz w:val="24"/>
          <w:szCs w:val="24"/>
        </w:rPr>
        <w:t xml:space="preserve"> </w:t>
      </w:r>
      <w:r w:rsidR="00CE3DF1" w:rsidRPr="00CE3DF1">
        <w:rPr>
          <w:rFonts w:ascii="Times New Roman" w:eastAsia="Calibri" w:hAnsi="Times New Roman" w:cs="Times New Roman"/>
          <w:b/>
          <w:sz w:val="24"/>
          <w:szCs w:val="24"/>
        </w:rPr>
        <w:t>осигурят площадки за безвъзмездно предаване на разделно събрани отпадъци от домакинствата</w:t>
      </w:r>
      <w:r w:rsidR="00CE3DF1" w:rsidRPr="00CE3DF1">
        <w:rPr>
          <w:rFonts w:ascii="Times New Roman" w:eastAsia="Calibri" w:hAnsi="Times New Roman" w:cs="Times New Roman"/>
          <w:sz w:val="24"/>
          <w:szCs w:val="24"/>
        </w:rPr>
        <w:t xml:space="preserve"> (чл. 19 , ал.3, т.19)</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 xml:space="preserve">В изпълнение на изискванията на ЗУО, общините имат задължението да осигурят площадки за безвъзмездно предаване на разделно събрани отпадъци от домакинствата в т.ч. едрогабаритни отпадъци, опасни отпадъци и други във всички населени места с население, по-голямо от 10 000 жители на територията на общината. </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 xml:space="preserve">На тези площадки могат да се приемат широк диапазон отпадъци, като напр. обемисти домакински отпадъци (шкафове, гардероби, легла, дивани, фотьойли, матраци и други) строителни отпадъци от ремонтна дейност, образувани от домакинствата в малки количества, биоразградими, вкл. зелени отпадъци, батерии, електрически уреди и т.н. </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p>
    <w:p w:rsidR="00CE3DF1" w:rsidRPr="00CE3DF1" w:rsidRDefault="00442FE4" w:rsidP="00CE3DF1">
      <w:pPr>
        <w:tabs>
          <w:tab w:val="left" w:pos="426"/>
        </w:tabs>
        <w:spacing w:after="0" w:line="276" w:lineRule="auto"/>
        <w:jc w:val="both"/>
        <w:rPr>
          <w:rFonts w:ascii="Times New Roman" w:eastAsia="Calibri" w:hAnsi="Times New Roman" w:cs="Times New Roman"/>
          <w:b/>
          <w:sz w:val="24"/>
          <w:szCs w:val="24"/>
          <w:highlight w:val="yellow"/>
        </w:rPr>
      </w:pPr>
      <w:r>
        <w:rPr>
          <w:rFonts w:ascii="Times New Roman" w:eastAsia="Calibri" w:hAnsi="Times New Roman" w:cs="Times New Roman"/>
          <w:b/>
          <w:sz w:val="24"/>
          <w:szCs w:val="24"/>
        </w:rPr>
        <w:t>б</w:t>
      </w:r>
      <w:r w:rsidR="00CE3DF1" w:rsidRPr="00CE3DF1">
        <w:rPr>
          <w:rFonts w:ascii="Times New Roman" w:eastAsia="Calibri" w:hAnsi="Times New Roman" w:cs="Times New Roman"/>
          <w:b/>
          <w:sz w:val="24"/>
          <w:szCs w:val="24"/>
        </w:rPr>
        <w:t xml:space="preserve">) съдействат за създаване на центрове за повторна употреба, поправка и подготовка за повторна употреба </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 xml:space="preserve">В изпълнение на изискванията на чл. 19, ал. 3, т.8, кметовете на общините имат ангажимента да съдействат за създаването на центрове за повторна употреба, поправка и подготовка за повторна употреба. За създаването на тези центрове общините могат да си партнират с частните икономически субекти. </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p>
    <w:p w:rsidR="00CE3DF1" w:rsidRPr="00CE3DF1" w:rsidRDefault="00442FE4" w:rsidP="00CE3DF1">
      <w:pPr>
        <w:tabs>
          <w:tab w:val="left" w:pos="426"/>
        </w:tabs>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в</w:t>
      </w:r>
      <w:bookmarkStart w:id="1" w:name="_GoBack"/>
      <w:bookmarkEnd w:id="1"/>
      <w:r w:rsidR="00CE3DF1" w:rsidRPr="00CE3DF1">
        <w:rPr>
          <w:rFonts w:ascii="Times New Roman" w:eastAsia="Calibri" w:hAnsi="Times New Roman" w:cs="Times New Roman"/>
          <w:b/>
          <w:sz w:val="24"/>
          <w:szCs w:val="24"/>
        </w:rPr>
        <w:t xml:space="preserve">) информационни кампании </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В изпълнение на изискванията на чл. 19, ал.3, т. 13 от ЗУО, кметовете на общините осигуряването информация на обществеността във връзка с начина на изпълнение на задълженията на кмета, както и информация относно мерките за предотвратяване образуването на отпадъци и предотвратяването на нерегламентираното изхвърляне на отпадъци чрез интернет страницата на съответната община, както и по друг подходящ начин;</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p>
    <w:p w:rsidR="00CE3DF1" w:rsidRDefault="00CE3DF1" w:rsidP="00CE3DF1">
      <w:pPr>
        <w:spacing w:after="0" w:line="276" w:lineRule="auto"/>
        <w:jc w:val="both"/>
        <w:rPr>
          <w:rFonts w:ascii="Times New Roman" w:eastAsia="Calibri" w:hAnsi="Times New Roman" w:cs="Times New Roman"/>
          <w:b/>
          <w:sz w:val="28"/>
          <w:szCs w:val="28"/>
        </w:rPr>
      </w:pPr>
      <w:r w:rsidRPr="001D2671">
        <w:rPr>
          <w:rFonts w:ascii="Times New Roman" w:eastAsia="Calibri" w:hAnsi="Times New Roman" w:cs="Times New Roman"/>
          <w:b/>
          <w:sz w:val="28"/>
          <w:szCs w:val="28"/>
        </w:rPr>
        <w:t xml:space="preserve">3.Организация на дейностите по разделно събиране и съхраняване на битови отпадъци, вкл. добри общински практики </w:t>
      </w:r>
    </w:p>
    <w:p w:rsidR="001D2671" w:rsidRPr="001D2671" w:rsidRDefault="001D2671" w:rsidP="00CE3DF1">
      <w:pPr>
        <w:spacing w:after="0" w:line="276" w:lineRule="auto"/>
        <w:jc w:val="both"/>
        <w:rPr>
          <w:rFonts w:ascii="Times New Roman" w:eastAsia="Calibri" w:hAnsi="Times New Roman" w:cs="Times New Roman"/>
          <w:b/>
          <w:sz w:val="28"/>
          <w:szCs w:val="28"/>
        </w:rPr>
      </w:pPr>
    </w:p>
    <w:p w:rsidR="00CE3DF1" w:rsidRPr="00CE3DF1" w:rsidRDefault="00CE3DF1" w:rsidP="00CE3DF1">
      <w:pPr>
        <w:numPr>
          <w:ilvl w:val="1"/>
          <w:numId w:val="3"/>
        </w:numPr>
        <w:tabs>
          <w:tab w:val="left" w:pos="426"/>
        </w:tabs>
        <w:spacing w:after="0" w:line="276" w:lineRule="auto"/>
        <w:jc w:val="both"/>
        <w:rPr>
          <w:rFonts w:ascii="Times New Roman" w:eastAsia="Calibri" w:hAnsi="Times New Roman" w:cs="Times New Roman"/>
          <w:b/>
          <w:sz w:val="24"/>
          <w:szCs w:val="24"/>
        </w:rPr>
      </w:pPr>
      <w:r w:rsidRPr="00CE3DF1">
        <w:rPr>
          <w:rFonts w:ascii="Times New Roman" w:eastAsia="Calibri" w:hAnsi="Times New Roman" w:cs="Times New Roman"/>
          <w:b/>
          <w:sz w:val="24"/>
          <w:szCs w:val="24"/>
        </w:rPr>
        <w:lastRenderedPageBreak/>
        <w:t xml:space="preserve">Управление на отпадъци от опаковки и отпадъчни материали от хартия и картон, метал, пластмаса и стъкло </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Системата за разделно събиране на тези 4 потока отпадъци може да бъде осъществена от общината:</w:t>
      </w:r>
    </w:p>
    <w:p w:rsidR="00CE3DF1" w:rsidRPr="00CE3DF1" w:rsidRDefault="00CE3DF1" w:rsidP="00CE3DF1">
      <w:pPr>
        <w:numPr>
          <w:ilvl w:val="0"/>
          <w:numId w:val="5"/>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 xml:space="preserve">самостоятелно – чрез общинско предприятие или общинско търговско дружество. </w:t>
      </w:r>
    </w:p>
    <w:p w:rsidR="00CE3DF1" w:rsidRPr="00CE3DF1" w:rsidRDefault="00CE3DF1" w:rsidP="00CE3DF1">
      <w:p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Общинското предприятие може да осъществява дейност по:</w:t>
      </w:r>
    </w:p>
    <w:p w:rsidR="00CE3DF1" w:rsidRPr="00CE3DF1" w:rsidRDefault="00CE3DF1" w:rsidP="00CE3DF1">
      <w:pPr>
        <w:numPr>
          <w:ilvl w:val="0"/>
          <w:numId w:val="4"/>
        </w:num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управление, изграждане, поддържане, ремонт и реконструкция на обекти, мрежи и съоръжения на техническата инфраструктура и други имоти – общинска собственост, както и предоставяне на свързаните с тях услуги за населението;</w:t>
      </w:r>
    </w:p>
    <w:p w:rsidR="00CE3DF1" w:rsidRPr="00CE3DF1" w:rsidRDefault="00CE3DF1" w:rsidP="00CE3DF1">
      <w:pPr>
        <w:numPr>
          <w:ilvl w:val="0"/>
          <w:numId w:val="4"/>
        </w:num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предоставяне на други услуги или осъществяване на други местни дейности, необходими за задоволяване на потребностите на общината или на нейното население, които се финансират от бюджета на общината, определени от общинския съвет (чл. 53  от Закона за общинска собственост (ЗОС).</w:t>
      </w:r>
    </w:p>
    <w:p w:rsidR="00CE3DF1" w:rsidRPr="00CE3DF1" w:rsidRDefault="00CE3DF1" w:rsidP="00CE3DF1">
      <w:pPr>
        <w:spacing w:after="0" w:line="276" w:lineRule="auto"/>
        <w:ind w:left="720"/>
        <w:jc w:val="both"/>
        <w:rPr>
          <w:rFonts w:ascii="Times New Roman" w:eastAsia="Calibri" w:hAnsi="Times New Roman" w:cs="Times New Roman"/>
          <w:sz w:val="24"/>
          <w:szCs w:val="24"/>
        </w:rPr>
      </w:pPr>
    </w:p>
    <w:p w:rsidR="00CE3DF1" w:rsidRPr="00CE3DF1" w:rsidRDefault="00CE3DF1" w:rsidP="00CE3DF1">
      <w:pPr>
        <w:numPr>
          <w:ilvl w:val="0"/>
          <w:numId w:val="5"/>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Дейностите, които не се осъществяват от общински предприятия, се възлагат, съответно предоставят, по реда на Закона за обществените поръчки, Закона закон концесиите или Закона за публично-частното партньорство (чл. 54 от ЗОС).</w:t>
      </w:r>
    </w:p>
    <w:p w:rsidR="00CE3DF1" w:rsidRPr="00CE3DF1" w:rsidRDefault="00CE3DF1" w:rsidP="00CE3DF1">
      <w:pPr>
        <w:numPr>
          <w:ilvl w:val="0"/>
          <w:numId w:val="4"/>
        </w:num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чрез сключване на договори с фирми (по реда на Закона за обществените поръчки, Закона за концесиите или Закона за публично-частното партньорство), притежаващи разрешение или регистрационен документ за извършване на дейности по събиране, транспортиране, рециклиране или оползотворяване на отпадъци на територията на общината и/или комплексно разрешително по реда на Закона за опазване на околната среда и/или в сътрудничество с организациите по оползотворяване на отпадъците. Минималните изисквания към съдържанието на договорите са посочени в чл. 20, ал.4 от ЗУО.</w:t>
      </w:r>
    </w:p>
    <w:p w:rsidR="00CE3DF1" w:rsidRPr="00CE3DF1" w:rsidRDefault="00CE3DF1" w:rsidP="00CE3DF1">
      <w:pPr>
        <w:spacing w:after="0" w:line="276" w:lineRule="auto"/>
        <w:ind w:firstLine="708"/>
        <w:jc w:val="both"/>
        <w:rPr>
          <w:rFonts w:ascii="Times New Roman" w:eastAsia="Calibri" w:hAnsi="Times New Roman" w:cs="Times New Roman"/>
          <w:sz w:val="24"/>
          <w:szCs w:val="24"/>
          <w:lang w:val="ru-RU"/>
        </w:rPr>
      </w:pPr>
    </w:p>
    <w:p w:rsidR="00CE3DF1" w:rsidRPr="00CE3DF1" w:rsidRDefault="00CE3DF1" w:rsidP="00CE3DF1">
      <w:pPr>
        <w:spacing w:after="0" w:line="276" w:lineRule="auto"/>
        <w:ind w:firstLine="708"/>
        <w:jc w:val="both"/>
        <w:rPr>
          <w:rFonts w:ascii="Times New Roman" w:eastAsia="Calibri" w:hAnsi="Times New Roman" w:cs="Times New Roman"/>
          <w:sz w:val="24"/>
          <w:szCs w:val="24"/>
          <w:lang w:val="ru-RU"/>
        </w:rPr>
      </w:pPr>
      <w:r w:rsidRPr="00CE3DF1">
        <w:rPr>
          <w:rFonts w:ascii="Times New Roman" w:eastAsia="Calibri" w:hAnsi="Times New Roman" w:cs="Times New Roman"/>
          <w:sz w:val="24"/>
          <w:szCs w:val="24"/>
          <w:lang w:val="ru-RU"/>
        </w:rPr>
        <w:t>При определяне обхвата на системата следва да се има предвид</w:t>
      </w:r>
      <w:r w:rsidR="00203EE1">
        <w:rPr>
          <w:rFonts w:ascii="Times New Roman" w:eastAsia="Calibri" w:hAnsi="Times New Roman" w:cs="Times New Roman"/>
          <w:sz w:val="24"/>
          <w:szCs w:val="24"/>
          <w:lang w:val="ru-RU"/>
        </w:rPr>
        <w:t>, че в нея влизат отпадъците с</w:t>
      </w:r>
      <w:r w:rsidRPr="00CE3DF1">
        <w:rPr>
          <w:rFonts w:ascii="Times New Roman" w:eastAsia="Calibri" w:hAnsi="Times New Roman" w:cs="Times New Roman"/>
          <w:sz w:val="24"/>
          <w:szCs w:val="24"/>
          <w:lang w:val="ru-RU"/>
        </w:rPr>
        <w:t xml:space="preserve"> кодове: </w:t>
      </w:r>
    </w:p>
    <w:p w:rsidR="00CE3DF1" w:rsidRPr="00CE3DF1" w:rsidRDefault="00CE3DF1" w:rsidP="00CE3DF1">
      <w:pPr>
        <w:numPr>
          <w:ilvl w:val="0"/>
          <w:numId w:val="4"/>
        </w:numPr>
        <w:spacing w:after="0" w:line="276" w:lineRule="auto"/>
        <w:jc w:val="both"/>
        <w:rPr>
          <w:rFonts w:ascii="Times New Roman" w:eastAsia="Calibri" w:hAnsi="Times New Roman" w:cs="Times New Roman"/>
          <w:sz w:val="24"/>
          <w:szCs w:val="24"/>
          <w:lang w:val="ru-RU"/>
        </w:rPr>
      </w:pPr>
      <w:r w:rsidRPr="00CE3DF1">
        <w:rPr>
          <w:rFonts w:ascii="Times New Roman" w:eastAsia="Calibri" w:hAnsi="Times New Roman" w:cs="Times New Roman"/>
          <w:sz w:val="24"/>
          <w:szCs w:val="24"/>
          <w:lang w:val="ru-RU"/>
        </w:rPr>
        <w:t>20 01 01 и 15 01 01</w:t>
      </w:r>
      <w:r w:rsidRPr="00CE3DF1">
        <w:rPr>
          <w:rFonts w:ascii="Times New Roman" w:eastAsia="Calibri" w:hAnsi="Times New Roman" w:cs="Times New Roman"/>
          <w:sz w:val="24"/>
          <w:szCs w:val="24"/>
        </w:rPr>
        <w:t xml:space="preserve"> </w:t>
      </w:r>
      <w:r w:rsidRPr="00CE3DF1">
        <w:rPr>
          <w:rFonts w:ascii="Times New Roman" w:eastAsia="Calibri" w:hAnsi="Times New Roman" w:cs="Times New Roman"/>
          <w:sz w:val="24"/>
          <w:szCs w:val="24"/>
          <w:lang w:val="ru-RU"/>
        </w:rPr>
        <w:t xml:space="preserve">- за хартия и картон; </w:t>
      </w:r>
    </w:p>
    <w:p w:rsidR="00CE3DF1" w:rsidRPr="00CE3DF1" w:rsidRDefault="00CE3DF1" w:rsidP="00CE3DF1">
      <w:pPr>
        <w:numPr>
          <w:ilvl w:val="0"/>
          <w:numId w:val="4"/>
        </w:numPr>
        <w:spacing w:after="0" w:line="276" w:lineRule="auto"/>
        <w:jc w:val="both"/>
        <w:rPr>
          <w:rFonts w:ascii="Times New Roman" w:eastAsia="Calibri" w:hAnsi="Times New Roman" w:cs="Times New Roman"/>
          <w:sz w:val="24"/>
          <w:szCs w:val="24"/>
          <w:lang w:val="en-US"/>
        </w:rPr>
      </w:pPr>
      <w:r w:rsidRPr="00CE3DF1">
        <w:rPr>
          <w:rFonts w:ascii="Times New Roman" w:eastAsia="Calibri" w:hAnsi="Times New Roman" w:cs="Times New Roman"/>
          <w:sz w:val="24"/>
          <w:szCs w:val="24"/>
          <w:lang w:val="en-US"/>
        </w:rPr>
        <w:t>20 01 40 и 15 01 04</w:t>
      </w:r>
      <w:r w:rsidRPr="00CE3DF1">
        <w:rPr>
          <w:rFonts w:ascii="Times New Roman" w:eastAsia="Calibri" w:hAnsi="Times New Roman" w:cs="Times New Roman"/>
          <w:sz w:val="24"/>
          <w:szCs w:val="24"/>
        </w:rPr>
        <w:t xml:space="preserve"> </w:t>
      </w:r>
      <w:r w:rsidRPr="00CE3DF1">
        <w:rPr>
          <w:rFonts w:ascii="Times New Roman" w:eastAsia="Calibri" w:hAnsi="Times New Roman" w:cs="Times New Roman"/>
          <w:sz w:val="24"/>
          <w:szCs w:val="24"/>
          <w:lang w:val="en-US"/>
        </w:rPr>
        <w:t xml:space="preserve">- за метали; </w:t>
      </w:r>
    </w:p>
    <w:p w:rsidR="00CE3DF1" w:rsidRPr="00CE3DF1" w:rsidRDefault="00203EE1" w:rsidP="00CE3DF1">
      <w:pPr>
        <w:numPr>
          <w:ilvl w:val="0"/>
          <w:numId w:val="4"/>
        </w:numPr>
        <w:spacing w:after="0" w:line="276"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20 01 39 и 15 01 02 - </w:t>
      </w:r>
      <w:r w:rsidR="00CE3DF1" w:rsidRPr="00CE3DF1">
        <w:rPr>
          <w:rFonts w:ascii="Times New Roman" w:eastAsia="Calibri" w:hAnsi="Times New Roman" w:cs="Times New Roman"/>
          <w:sz w:val="24"/>
          <w:szCs w:val="24"/>
          <w:lang w:val="en-US"/>
        </w:rPr>
        <w:t xml:space="preserve">за пластмаса; </w:t>
      </w:r>
    </w:p>
    <w:p w:rsidR="00CE3DF1" w:rsidRPr="00CE3DF1" w:rsidRDefault="00203EE1" w:rsidP="00CE3DF1">
      <w:pPr>
        <w:numPr>
          <w:ilvl w:val="0"/>
          <w:numId w:val="4"/>
        </w:numPr>
        <w:spacing w:after="0" w:line="276"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20 01 02 и 15 01 07 - </w:t>
      </w:r>
      <w:r w:rsidR="00CE3DF1" w:rsidRPr="00CE3DF1">
        <w:rPr>
          <w:rFonts w:ascii="Times New Roman" w:eastAsia="Calibri" w:hAnsi="Times New Roman" w:cs="Times New Roman"/>
          <w:sz w:val="24"/>
          <w:szCs w:val="24"/>
          <w:lang w:val="en-US"/>
        </w:rPr>
        <w:t xml:space="preserve">за стъкло. </w:t>
      </w:r>
    </w:p>
    <w:p w:rsidR="00CE3DF1" w:rsidRPr="00CE3DF1" w:rsidRDefault="00CE3DF1" w:rsidP="00CE3DF1">
      <w:pPr>
        <w:spacing w:after="0" w:line="276" w:lineRule="auto"/>
        <w:jc w:val="both"/>
        <w:rPr>
          <w:rFonts w:ascii="Times New Roman" w:eastAsia="Calibri" w:hAnsi="Times New Roman" w:cs="Times New Roman"/>
          <w:sz w:val="24"/>
          <w:szCs w:val="24"/>
          <w:lang w:val="en-US"/>
        </w:rPr>
      </w:pP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Отговорностите на общината във връзка с разделното събиране и съхраняване на ООп и отпадъчни материали от хартия и картон, пластмаса и стъкло, условно може да бъдат разделени в следните групи:</w:t>
      </w:r>
    </w:p>
    <w:p w:rsidR="00CE3DF1" w:rsidRPr="00CE3DF1" w:rsidRDefault="00CE3DF1" w:rsidP="00CE3DF1">
      <w:pPr>
        <w:numPr>
          <w:ilvl w:val="0"/>
          <w:numId w:val="4"/>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 xml:space="preserve">Да определя местата за разполагане на контейнерите за разделно събиране на отпадъци от опаковки върху елементи от общинската инфраструктура в т.ч. изготвя списък с разположението на елементите на събирателната инфраструктура, утвърден от кмета на общината. </w:t>
      </w:r>
    </w:p>
    <w:p w:rsidR="00CE3DF1" w:rsidRPr="00CE3DF1" w:rsidRDefault="00CE3DF1" w:rsidP="00CE3DF1">
      <w:pPr>
        <w:numPr>
          <w:ilvl w:val="0"/>
          <w:numId w:val="4"/>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Осигурява и организира прилагането на подходящи мерки за недопускане на посегателства и кражби на отпадъците от съдовете за разделно събиране на отпадъци от опаковки;</w:t>
      </w:r>
    </w:p>
    <w:p w:rsidR="00CE3DF1" w:rsidRPr="00CE3DF1" w:rsidRDefault="00CE3DF1" w:rsidP="00CE3DF1">
      <w:pPr>
        <w:numPr>
          <w:ilvl w:val="0"/>
          <w:numId w:val="4"/>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lastRenderedPageBreak/>
        <w:t>Съдейства и участва при подготовка и провеждане на разяснителни кампании за разделно събиране на отпадъци от опаковки;</w:t>
      </w:r>
    </w:p>
    <w:p w:rsidR="00CE3DF1" w:rsidRPr="00CE3DF1" w:rsidRDefault="00CE3DF1" w:rsidP="00CE3DF1">
      <w:pPr>
        <w:numPr>
          <w:ilvl w:val="0"/>
          <w:numId w:val="4"/>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Отговаря контейнерите за битови отпадъци, различни от тези за отпадъци от опаковки да не бъдат в жълт или зелен цвят (син цвят).</w:t>
      </w:r>
    </w:p>
    <w:p w:rsidR="00CE3DF1" w:rsidRPr="00CE3DF1" w:rsidRDefault="00F606DA" w:rsidP="00CE3DF1">
      <w:pPr>
        <w:numPr>
          <w:ilvl w:val="0"/>
          <w:numId w:val="4"/>
        </w:numPr>
        <w:tabs>
          <w:tab w:val="left" w:pos="426"/>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Сътрудничи</w:t>
      </w:r>
      <w:r w:rsidR="00CE3DF1" w:rsidRPr="00CE3DF1">
        <w:rPr>
          <w:rFonts w:ascii="Times New Roman" w:eastAsia="Calibri" w:hAnsi="Times New Roman" w:cs="Times New Roman"/>
          <w:sz w:val="24"/>
          <w:szCs w:val="24"/>
        </w:rPr>
        <w:t xml:space="preserve"> на организациите по оползотворяване или на лица, притежаващи регистрационен документ по чл. 35, за изпълнение на поставените цели в програмите за рециклиране;</w:t>
      </w:r>
    </w:p>
    <w:p w:rsidR="00CE3DF1" w:rsidRPr="00CE3DF1" w:rsidRDefault="00CE3DF1" w:rsidP="00CE3DF1">
      <w:pPr>
        <w:numPr>
          <w:ilvl w:val="0"/>
          <w:numId w:val="4"/>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А</w:t>
      </w:r>
      <w:r w:rsidR="00F606DA">
        <w:rPr>
          <w:rFonts w:ascii="Times New Roman" w:eastAsia="Calibri" w:hAnsi="Times New Roman" w:cs="Times New Roman"/>
          <w:sz w:val="24"/>
          <w:szCs w:val="24"/>
        </w:rPr>
        <w:t>ктуализира общинските наредби</w:t>
      </w:r>
      <w:r w:rsidRPr="00CE3DF1">
        <w:rPr>
          <w:rFonts w:ascii="Times New Roman" w:eastAsia="Calibri" w:hAnsi="Times New Roman" w:cs="Times New Roman"/>
          <w:sz w:val="24"/>
          <w:szCs w:val="24"/>
        </w:rPr>
        <w:t xml:space="preserve"> за управление на отпадъците по чл. 22 от ЗУО.</w:t>
      </w:r>
    </w:p>
    <w:p w:rsidR="00CE3DF1" w:rsidRPr="00CE3DF1" w:rsidRDefault="00CE3DF1" w:rsidP="00CE3DF1">
      <w:pPr>
        <w:numPr>
          <w:ilvl w:val="0"/>
          <w:numId w:val="4"/>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Осъществява контрол и санкционира нарушителите, в изпълнение на разпоредбите залегнали в националното законодателство и общинската нормативна уредба в сферата на управление на отпадъците от опаковки на територията на общината;</w:t>
      </w:r>
    </w:p>
    <w:p w:rsidR="00CE3DF1" w:rsidRPr="00CE3DF1" w:rsidRDefault="00F606DA" w:rsidP="00CE3DF1">
      <w:pPr>
        <w:numPr>
          <w:ilvl w:val="0"/>
          <w:numId w:val="4"/>
        </w:numPr>
        <w:tabs>
          <w:tab w:val="left" w:pos="426"/>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Съдейства</w:t>
      </w:r>
      <w:r w:rsidR="00CE3DF1" w:rsidRPr="00CE3DF1">
        <w:rPr>
          <w:rFonts w:ascii="Times New Roman" w:eastAsia="Calibri" w:hAnsi="Times New Roman" w:cs="Times New Roman"/>
          <w:sz w:val="24"/>
          <w:szCs w:val="24"/>
        </w:rPr>
        <w:t xml:space="preserve"> за намаляване на кражби от контейнерите за разделно събиране на отпад</w:t>
      </w:r>
      <w:r>
        <w:rPr>
          <w:rFonts w:ascii="Times New Roman" w:eastAsia="Calibri" w:hAnsi="Times New Roman" w:cs="Times New Roman"/>
          <w:sz w:val="24"/>
          <w:szCs w:val="24"/>
        </w:rPr>
        <w:t xml:space="preserve">ъци, като същевременно изпраща </w:t>
      </w:r>
      <w:r w:rsidR="00CE3DF1" w:rsidRPr="00CE3DF1">
        <w:rPr>
          <w:rFonts w:ascii="Times New Roman" w:eastAsia="Calibri" w:hAnsi="Times New Roman" w:cs="Times New Roman"/>
          <w:sz w:val="24"/>
          <w:szCs w:val="24"/>
        </w:rPr>
        <w:t>актове за установените административни нарушения до организацията и/или лицата отговорни за разделното събиране на ООп.</w:t>
      </w:r>
    </w:p>
    <w:p w:rsidR="00CE3DF1" w:rsidRPr="00CE3DF1" w:rsidRDefault="00F606DA" w:rsidP="00CE3DF1">
      <w:pPr>
        <w:numPr>
          <w:ilvl w:val="0"/>
          <w:numId w:val="4"/>
        </w:numPr>
        <w:tabs>
          <w:tab w:val="left" w:pos="426"/>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Контролира</w:t>
      </w:r>
      <w:r w:rsidR="00CE3DF1" w:rsidRPr="00CE3DF1">
        <w:rPr>
          <w:rFonts w:ascii="Times New Roman" w:eastAsia="Calibri" w:hAnsi="Times New Roman" w:cs="Times New Roman"/>
          <w:sz w:val="24"/>
          <w:szCs w:val="24"/>
        </w:rPr>
        <w:t xml:space="preserve"> транспортирането на разделно събраните отпадъци от контейнерите по утвърдения график и спазването на другите задължения на лицата извършващи дейности по събиране и транспортиране на отпадъци от опаковки.</w:t>
      </w:r>
    </w:p>
    <w:p w:rsidR="00CE3DF1" w:rsidRPr="00CE3DF1" w:rsidRDefault="00CE3DF1" w:rsidP="00CE3DF1">
      <w:pPr>
        <w:numPr>
          <w:ilvl w:val="0"/>
          <w:numId w:val="4"/>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Организира разяснителни кампании за повишаване на общественото съзнание на потребителите на опаковани стоки, включително разработване и отпечатване на информационни материали и използването на други форми, с което ще се осигури постигането на висока степен на информираност на населението и активното му участие;</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highlight w:val="yellow"/>
        </w:rPr>
      </w:pP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Обръщаме внимание, че съгласно измененията в чл. 24 от Наредбата за опаковките и отпадъци от опаковки (изм. и доп. ДВ, бр. 2 от 8 Януари 2021 г.) при организиране на системата за разделно събиране на отпадъци от опаковки от домакинствата е необходимо съдовете за събиране да осигурят минимален обем, както следва:</w:t>
      </w:r>
    </w:p>
    <w:p w:rsidR="00CE3DF1" w:rsidRPr="00CE3DF1" w:rsidRDefault="00CE3DF1" w:rsidP="00CE3DF1">
      <w:pPr>
        <w:numPr>
          <w:ilvl w:val="0"/>
          <w:numId w:val="8"/>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За населени места с под 50 000 жители, за всеки 350 жители – съдове с минимален общ обем 3300 л;</w:t>
      </w:r>
    </w:p>
    <w:p w:rsidR="00CE3DF1" w:rsidRPr="00CE3DF1" w:rsidRDefault="00CE3DF1" w:rsidP="00CE3DF1">
      <w:pPr>
        <w:numPr>
          <w:ilvl w:val="0"/>
          <w:numId w:val="8"/>
        </w:numPr>
        <w:shd w:val="clear" w:color="auto" w:fill="FEFEFE"/>
        <w:spacing w:after="0" w:line="276" w:lineRule="auto"/>
        <w:contextualSpacing/>
        <w:jc w:val="both"/>
        <w:rPr>
          <w:rFonts w:ascii="Times New Roman" w:eastAsia="Times New Roman" w:hAnsi="Times New Roman" w:cs="Times New Roman"/>
          <w:color w:val="000000"/>
          <w:sz w:val="24"/>
          <w:szCs w:val="24"/>
          <w:lang w:val="ru-RU" w:eastAsia="en-GB"/>
        </w:rPr>
      </w:pPr>
      <w:r w:rsidRPr="00CE3DF1">
        <w:rPr>
          <w:rFonts w:ascii="Times New Roman" w:eastAsia="Times New Roman" w:hAnsi="Times New Roman" w:cs="Times New Roman"/>
          <w:color w:val="000000"/>
          <w:sz w:val="24"/>
          <w:szCs w:val="24"/>
          <w:lang w:eastAsia="en-GB"/>
        </w:rPr>
        <w:t>з</w:t>
      </w:r>
      <w:r w:rsidRPr="00CE3DF1">
        <w:rPr>
          <w:rFonts w:ascii="Times New Roman" w:eastAsia="Times New Roman" w:hAnsi="Times New Roman" w:cs="Times New Roman"/>
          <w:color w:val="000000"/>
          <w:sz w:val="24"/>
          <w:szCs w:val="24"/>
          <w:lang w:val="ru-RU" w:eastAsia="en-GB"/>
        </w:rPr>
        <w:t>а населени места от 50 000 до 100 000 жители, за всеки 550 жители - съдове с минимален общ обем 3300 л;</w:t>
      </w:r>
    </w:p>
    <w:p w:rsidR="00CE3DF1" w:rsidRPr="00CE3DF1" w:rsidRDefault="00CE3DF1" w:rsidP="00CE3DF1">
      <w:pPr>
        <w:numPr>
          <w:ilvl w:val="0"/>
          <w:numId w:val="8"/>
        </w:numPr>
        <w:shd w:val="clear" w:color="auto" w:fill="FEFEFE"/>
        <w:spacing w:after="0" w:line="276" w:lineRule="auto"/>
        <w:contextualSpacing/>
        <w:jc w:val="both"/>
        <w:rPr>
          <w:rFonts w:ascii="Times New Roman" w:eastAsia="Times New Roman" w:hAnsi="Times New Roman" w:cs="Times New Roman"/>
          <w:color w:val="000000"/>
          <w:sz w:val="24"/>
          <w:szCs w:val="24"/>
          <w:lang w:val="ru-RU" w:eastAsia="en-GB"/>
        </w:rPr>
      </w:pPr>
      <w:r w:rsidRPr="00CE3DF1">
        <w:rPr>
          <w:rFonts w:ascii="Times New Roman" w:eastAsia="Times New Roman" w:hAnsi="Times New Roman" w:cs="Times New Roman"/>
          <w:color w:val="000000"/>
          <w:sz w:val="24"/>
          <w:szCs w:val="24"/>
          <w:lang w:val="ru-RU" w:eastAsia="en-GB"/>
        </w:rPr>
        <w:t>населени места над 100 000 жители, за всеки 750 жители - съдове с минимален общ обем 3300 л;</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highlight w:val="yellow"/>
        </w:rPr>
      </w:pP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u w:val="single"/>
        </w:rPr>
      </w:pPr>
      <w:r w:rsidRPr="00CE3DF1">
        <w:rPr>
          <w:rFonts w:ascii="Times New Roman" w:eastAsia="Calibri" w:hAnsi="Times New Roman" w:cs="Times New Roman"/>
          <w:sz w:val="24"/>
          <w:szCs w:val="24"/>
          <w:u w:val="single"/>
        </w:rPr>
        <w:t>Препоръки:</w:t>
      </w:r>
    </w:p>
    <w:p w:rsidR="00CE3DF1" w:rsidRPr="00CE3DF1" w:rsidRDefault="00CE3DF1" w:rsidP="00CE3DF1">
      <w:pPr>
        <w:numPr>
          <w:ilvl w:val="0"/>
          <w:numId w:val="5"/>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Препоръчваме ви да извършите преглед на приетите наредби по чл. 22 от ЗУО за съответствие с последните промени в закона и при необходимост да ги актуализирате в т.ч. да провеждате задължителни информационни кампании във връзка с изискванията на чл. 19, ал. 3, т.13 от ЗУО (ДВ, бр. 19 от 5 Март 2021 г.).</w:t>
      </w:r>
    </w:p>
    <w:p w:rsidR="00CE3DF1" w:rsidRPr="00CE3DF1" w:rsidRDefault="00CE3DF1" w:rsidP="00CE3DF1">
      <w:pPr>
        <w:numPr>
          <w:ilvl w:val="0"/>
          <w:numId w:val="5"/>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color w:val="000000"/>
          <w:sz w:val="24"/>
          <w:szCs w:val="24"/>
          <w:shd w:val="clear" w:color="auto" w:fill="FFFFFF"/>
        </w:rPr>
        <w:t xml:space="preserve">Препоръчваме ви при определяне на обхвата на системата за разделно събиране на отпадъци от опаковки и отпадъчни материали от хартия и картон, пластмаса, метали и стъкло да обърнете внимание на факторите, които влияят на разделното </w:t>
      </w:r>
      <w:r w:rsidRPr="00CE3DF1">
        <w:rPr>
          <w:rFonts w:ascii="Times New Roman" w:eastAsia="Calibri" w:hAnsi="Times New Roman" w:cs="Times New Roman"/>
          <w:color w:val="000000"/>
          <w:sz w:val="24"/>
          <w:szCs w:val="24"/>
          <w:shd w:val="clear" w:color="auto" w:fill="FFFFFF"/>
        </w:rPr>
        <w:lastRenderedPageBreak/>
        <w:t xml:space="preserve">събиране на отпадъците и трябва да се вземат под внимание в т.ч. площ, гъстота и брой на населението, стандарт на живот, местно икономическо развитие и др. </w:t>
      </w:r>
    </w:p>
    <w:p w:rsidR="00CE3DF1" w:rsidRPr="00CE3DF1" w:rsidRDefault="00CE3DF1" w:rsidP="00CE3DF1">
      <w:pPr>
        <w:numPr>
          <w:ilvl w:val="0"/>
          <w:numId w:val="5"/>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color w:val="000000"/>
          <w:sz w:val="24"/>
          <w:szCs w:val="24"/>
          <w:shd w:val="clear" w:color="auto" w:fill="FFFFFF"/>
        </w:rPr>
        <w:t>За по-голяма целесъобразност при определяне на обхвата на системата ви препоръчваме да следите съдовете за битови отпадъци, които системно се препълват и имат потенциал да съдържат голямо количество рециклируеми отпадъци.</w:t>
      </w:r>
    </w:p>
    <w:p w:rsidR="00CE3DF1" w:rsidRPr="00CE3DF1" w:rsidRDefault="00CE3DF1" w:rsidP="00CE3DF1">
      <w:pPr>
        <w:numPr>
          <w:ilvl w:val="0"/>
          <w:numId w:val="5"/>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color w:val="000000"/>
          <w:sz w:val="24"/>
          <w:szCs w:val="24"/>
          <w:shd w:val="clear" w:color="auto" w:fill="FFFFFF"/>
        </w:rPr>
        <w:t>Препоръчваме ви, при и</w:t>
      </w:r>
      <w:r w:rsidR="004C7887">
        <w:rPr>
          <w:rFonts w:ascii="Times New Roman" w:eastAsia="Calibri" w:hAnsi="Times New Roman" w:cs="Times New Roman"/>
          <w:color w:val="000000"/>
          <w:sz w:val="24"/>
          <w:szCs w:val="24"/>
          <w:shd w:val="clear" w:color="auto" w:fill="FFFFFF"/>
        </w:rPr>
        <w:t>зготвяне на морфологични анализи</w:t>
      </w:r>
      <w:r w:rsidRPr="00CE3DF1">
        <w:rPr>
          <w:rFonts w:ascii="Times New Roman" w:eastAsia="Calibri" w:hAnsi="Times New Roman" w:cs="Times New Roman"/>
          <w:color w:val="000000"/>
          <w:sz w:val="24"/>
          <w:szCs w:val="24"/>
          <w:shd w:val="clear" w:color="auto" w:fill="FFFFFF"/>
        </w:rPr>
        <w:t xml:space="preserve"> в бъдеще да бъдат обхванати по-голям брой райони в общината, с което да се определят различията в морфологичния състав и нормата на натрупване за различните населени места/райони. По този начин системата за разделно събиране на отпадъци от опакови може да бъде оптимизирана, в зависимост от морфологията на отпадъците и техните количества. </w:t>
      </w:r>
    </w:p>
    <w:p w:rsidR="00CE3DF1" w:rsidRPr="00CE3DF1" w:rsidRDefault="00CE3DF1" w:rsidP="00CE3DF1">
      <w:pPr>
        <w:numPr>
          <w:ilvl w:val="0"/>
          <w:numId w:val="5"/>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Стъпки</w:t>
      </w:r>
      <w:r w:rsidR="004C7887">
        <w:rPr>
          <w:rFonts w:ascii="Times New Roman" w:eastAsia="Calibri" w:hAnsi="Times New Roman" w:cs="Times New Roman"/>
          <w:sz w:val="24"/>
          <w:szCs w:val="24"/>
        </w:rPr>
        <w:t>те</w:t>
      </w:r>
      <w:r w:rsidRPr="00CE3DF1">
        <w:rPr>
          <w:rFonts w:ascii="Times New Roman" w:eastAsia="Calibri" w:hAnsi="Times New Roman" w:cs="Times New Roman"/>
          <w:sz w:val="24"/>
          <w:szCs w:val="24"/>
        </w:rPr>
        <w:t xml:space="preserve"> за предотвратяване и намаляване изхвърлянето на хартия и картон в смесените битови отпадъци трябва да са насочени и към институциите, върху които общината има възможност за пряко въздействие: училища, детски градини, общински сгради, административни и търговски обекти, учреждения, офиси, и др. обекти, където се образуват отпадъци от кашони, кутии, офис хартия и др. Примерни мерки: употреба на електронна комуникация винаги, когато е възможно, например чрез използване на информационна система за придвижване, споделяне и архивиране на документи в рамките на общинската администрация, вкл. и при предоставяне на услуги и информация на граждани.</w:t>
      </w:r>
    </w:p>
    <w:p w:rsidR="00CE3DF1" w:rsidRPr="00CE3DF1" w:rsidRDefault="00CE3DF1" w:rsidP="00CE3DF1">
      <w:pPr>
        <w:tabs>
          <w:tab w:val="left" w:pos="426"/>
        </w:tabs>
        <w:spacing w:after="0" w:line="276" w:lineRule="auto"/>
        <w:jc w:val="both"/>
        <w:rPr>
          <w:rFonts w:ascii="Times New Roman" w:eastAsia="Calibri" w:hAnsi="Times New Roman" w:cs="Times New Roman"/>
          <w:color w:val="000000"/>
          <w:sz w:val="24"/>
          <w:szCs w:val="24"/>
          <w:shd w:val="clear" w:color="auto" w:fill="FFFFFF"/>
        </w:rPr>
      </w:pPr>
    </w:p>
    <w:p w:rsidR="00CE3DF1" w:rsidRPr="00CE3DF1" w:rsidRDefault="00CE3DF1" w:rsidP="00CE3DF1">
      <w:pPr>
        <w:numPr>
          <w:ilvl w:val="0"/>
          <w:numId w:val="15"/>
        </w:numPr>
        <w:tabs>
          <w:tab w:val="left" w:pos="426"/>
        </w:tabs>
        <w:spacing w:after="0" w:line="276" w:lineRule="auto"/>
        <w:jc w:val="both"/>
        <w:rPr>
          <w:rFonts w:ascii="Times New Roman" w:eastAsia="Calibri" w:hAnsi="Times New Roman" w:cs="Times New Roman"/>
          <w:b/>
          <w:i/>
          <w:sz w:val="24"/>
          <w:szCs w:val="24"/>
        </w:rPr>
      </w:pPr>
      <w:r w:rsidRPr="00CE3DF1">
        <w:rPr>
          <w:rFonts w:ascii="Times New Roman" w:eastAsia="Calibri" w:hAnsi="Times New Roman" w:cs="Times New Roman"/>
          <w:b/>
          <w:i/>
          <w:sz w:val="24"/>
          <w:szCs w:val="24"/>
        </w:rPr>
        <w:t>Добра общински практики на европейски ниво</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Любляна, Словения – „</w:t>
      </w:r>
      <w:r w:rsidRPr="00CE3DF1">
        <w:rPr>
          <w:rFonts w:ascii="Times New Roman" w:eastAsia="Calibri" w:hAnsi="Times New Roman" w:cs="Times New Roman"/>
          <w:i/>
          <w:sz w:val="24"/>
          <w:szCs w:val="24"/>
        </w:rPr>
        <w:t>Първа европейска столица, която тръгва по пътя на нулево отпадъци</w:t>
      </w:r>
      <w:r w:rsidRPr="00CE3DF1">
        <w:rPr>
          <w:rFonts w:ascii="Times New Roman" w:eastAsia="Calibri" w:hAnsi="Times New Roman" w:cs="Times New Roman"/>
          <w:sz w:val="24"/>
          <w:szCs w:val="24"/>
        </w:rPr>
        <w:t>“</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Snaga е публичното дружество, което осигурява управлението на отпадъците в Любляна и в девет околни общини (380 287 жители). Благодарение на ясно определени цели и постоянство в изпълнението на установените мерки, днес Snaga успява да събира разделно 61% от общинските битови отпадъци и да отделя едва 121 кг остатъчни отпадъци (отпадъци, които нито се рециклират, нито се компостират) на глава от населението годишно. Любляна се ангажира да намали наполовина количеството остатъци и да увеличи разделното събиране на 78% до 2025 г.</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През 2002 г. общината започва да събира разделно хартия, картон, стъкло, други опаковки и смесени (остатъчни) отпадъци в крайпътни контейнери. През 2006 г. Snaga поставя началото на промени в системата и започва да събира биоразградими (кухненски и градински) отпадъци от прага на всички домакинства.</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През 2012 г. Snaga отстранява крайпътните контейнери за хартия и опаковки и започва събиране от врата на врата по същата система, по която е започнала събирането на биоразградими отпадъци 6 години по-рано. Моделът е тестван за пръв път през 2011 г. в Брезовица - една от малките околни общини. Системата е много ефективна: в рамките на няколко месеца рециклирането на опаковки се увеличава повече от три пъти, докато остатъчните отпадъци намаляват с 29%. След този успешен тест Snaga решава да приложи модела в Любляна и всички околни общини.</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lastRenderedPageBreak/>
        <w:t>След като Любляна успешно въвежда събиране от врата на врата през 2013 г., Snaga понижава честотата на събиране на остатъчни отпадъци, като същевременно поддържа същата честота на събиране на рециклируеми и компостируеми отпадъци. За слабо населени райони (предимно еднофамилни жилища) първоначално се въвежда събиране веднъж на две седмици, но скоро периодът се увеличава до три седмици. В гъсто населени райони (главно блокове с много апартаменти) остатъчните отпадъци се събират всяка седмица, докато компостируемите и рециклируемите - по няколко пъти седмично.</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Това напълно отговаря на ключовите оперативни принципи за интензивно събиране на битови отпадъци, т.е. ако рециклируемите и компостируеми отпадъци се събират по-често от остатъчните, гражданите, които не искат да натрупват отпадъци около себе си, имат стимул да ги разделят у дома. Количеството разделно събрани отпадъци продължава да расте и през ноември 2013 г. разделното събиране достига до 55%. В същото време средните месечни разходи за управление на отпадъци на домакинствата падат, достигайки 7,96 евро през 2014 г. Разходите за домакинствата в Любляна са сред най-ниските в Словения. Средната годишна цена за цялата страна е 150 евро на домакинство, в сравнение с под 100 евро в Любляна.</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p>
    <w:p w:rsidR="00CE3DF1" w:rsidRPr="00CE3DF1" w:rsidRDefault="00CE3DF1" w:rsidP="00CE3DF1">
      <w:pPr>
        <w:numPr>
          <w:ilvl w:val="1"/>
          <w:numId w:val="8"/>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b/>
          <w:sz w:val="24"/>
          <w:szCs w:val="24"/>
        </w:rPr>
        <w:t>Управление на битови биоразградими отпадъци</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 xml:space="preserve">При управление на битовите биоотпадъци, в съответствие с изискванията на Наредбата за разделно събиране на биоотпадъци и третиране на биоразградими отпадъци (изм. и доп. ДВ бр. 2 от 8 Януари 2021 г.), кмета на общината осигурява разделното събиране и оползотворяване на биоотпадъци от поддръжка на обществени площи, паркове и градини, зелени площи към търговски обекти, производствени и административни сгради. </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Отговорностите на общината във връзка с разделното събиране и съхраняване на битови биоразградими отпадъци, условно е представено в следните групи:</w:t>
      </w:r>
    </w:p>
    <w:p w:rsidR="00CE3DF1" w:rsidRPr="00CE3DF1" w:rsidRDefault="00CE3DF1" w:rsidP="00CE3DF1">
      <w:pPr>
        <w:numPr>
          <w:ilvl w:val="0"/>
          <w:numId w:val="4"/>
        </w:numPr>
        <w:shd w:val="clear" w:color="auto" w:fill="FFFFFF"/>
        <w:spacing w:after="0" w:line="276" w:lineRule="auto"/>
        <w:jc w:val="both"/>
        <w:rPr>
          <w:rFonts w:ascii="Times New Roman" w:eastAsia="Times New Roman" w:hAnsi="Times New Roman" w:cs="Times New Roman"/>
          <w:sz w:val="24"/>
          <w:szCs w:val="24"/>
          <w:lang w:val="ru-RU" w:eastAsia="en-GB"/>
        </w:rPr>
      </w:pPr>
      <w:r w:rsidRPr="00CE3DF1">
        <w:rPr>
          <w:rFonts w:ascii="Times New Roman" w:eastAsia="Times New Roman" w:hAnsi="Times New Roman" w:cs="Times New Roman"/>
          <w:sz w:val="24"/>
          <w:szCs w:val="24"/>
          <w:lang w:eastAsia="bg-BG"/>
        </w:rPr>
        <w:t>организира о</w:t>
      </w:r>
      <w:r w:rsidRPr="00CE3DF1">
        <w:rPr>
          <w:rFonts w:ascii="Times New Roman" w:eastAsia="Times New Roman" w:hAnsi="Times New Roman" w:cs="Times New Roman"/>
          <w:sz w:val="24"/>
          <w:szCs w:val="24"/>
          <w:lang w:val="ru-RU" w:eastAsia="en-GB"/>
        </w:rPr>
        <w:t>бщинска система за разделно събиране на биоотпадъци от поддържане на обществени площи, паркове, градин</w:t>
      </w:r>
      <w:r w:rsidRPr="00CE3DF1">
        <w:rPr>
          <w:rFonts w:ascii="Times New Roman" w:eastAsia="Times New Roman" w:hAnsi="Times New Roman" w:cs="Times New Roman"/>
          <w:sz w:val="24"/>
          <w:szCs w:val="24"/>
          <w:lang w:eastAsia="en-GB"/>
        </w:rPr>
        <w:t>и</w:t>
      </w:r>
      <w:r w:rsidRPr="00CE3DF1">
        <w:rPr>
          <w:rFonts w:ascii="Times New Roman" w:eastAsia="Times New Roman" w:hAnsi="Times New Roman" w:cs="Times New Roman"/>
          <w:sz w:val="24"/>
          <w:szCs w:val="24"/>
          <w:lang w:val="ru-RU" w:eastAsia="en-GB"/>
        </w:rPr>
        <w:t xml:space="preserve"> на територията на общината;</w:t>
      </w:r>
    </w:p>
    <w:p w:rsidR="00CE3DF1" w:rsidRPr="00CE3DF1" w:rsidRDefault="00CE3DF1" w:rsidP="00CE3DF1">
      <w:pPr>
        <w:numPr>
          <w:ilvl w:val="0"/>
          <w:numId w:val="4"/>
        </w:numPr>
        <w:shd w:val="clear" w:color="auto" w:fill="FFFFFF"/>
        <w:spacing w:after="0" w:line="276" w:lineRule="auto"/>
        <w:jc w:val="both"/>
        <w:rPr>
          <w:rFonts w:ascii="Times New Roman" w:eastAsia="Times New Roman" w:hAnsi="Times New Roman" w:cs="Times New Roman"/>
          <w:sz w:val="24"/>
          <w:szCs w:val="24"/>
          <w:lang w:val="ru-RU" w:eastAsia="en-GB"/>
        </w:rPr>
      </w:pPr>
      <w:r w:rsidRPr="00CE3DF1">
        <w:rPr>
          <w:rFonts w:ascii="Times New Roman" w:eastAsia="Times New Roman" w:hAnsi="Times New Roman" w:cs="Times New Roman"/>
          <w:sz w:val="24"/>
          <w:szCs w:val="24"/>
          <w:lang w:val="ru-RU" w:eastAsia="en-GB"/>
        </w:rPr>
        <w:t>осигурява условия, при които притежателите на битови биоотпадъци, се обслужват от лица, на които е предоставено право да извършват дейности по тяхното събиране, транспортиране и предаването им за оползотворяване и/или обезвреждане.</w:t>
      </w:r>
    </w:p>
    <w:p w:rsidR="00CE3DF1" w:rsidRPr="00CE3DF1" w:rsidRDefault="00CE3DF1" w:rsidP="00CE3DF1">
      <w:pPr>
        <w:numPr>
          <w:ilvl w:val="0"/>
          <w:numId w:val="4"/>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определя местата на разделно предаване на биоотпадъци;</w:t>
      </w:r>
    </w:p>
    <w:p w:rsidR="00CE3DF1" w:rsidRPr="00CE3DF1" w:rsidRDefault="004C7887" w:rsidP="00CE3DF1">
      <w:pPr>
        <w:numPr>
          <w:ilvl w:val="0"/>
          <w:numId w:val="4"/>
        </w:numPr>
        <w:tabs>
          <w:tab w:val="left" w:pos="426"/>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разработва</w:t>
      </w:r>
      <w:r w:rsidR="00CE3DF1" w:rsidRPr="00CE3DF1">
        <w:rPr>
          <w:rFonts w:ascii="Times New Roman" w:eastAsia="Calibri" w:hAnsi="Times New Roman" w:cs="Times New Roman"/>
          <w:sz w:val="24"/>
          <w:szCs w:val="24"/>
        </w:rPr>
        <w:t xml:space="preserve"> подробен график за обслужване на съдовете за разделно събиране</w:t>
      </w:r>
      <w:r>
        <w:rPr>
          <w:rFonts w:ascii="Times New Roman" w:eastAsia="Calibri" w:hAnsi="Times New Roman" w:cs="Times New Roman"/>
          <w:sz w:val="24"/>
          <w:szCs w:val="24"/>
        </w:rPr>
        <w:t xml:space="preserve"> на биоотпадъци и го оповестява</w:t>
      </w:r>
      <w:r w:rsidR="00CE3DF1" w:rsidRPr="00CE3DF1">
        <w:rPr>
          <w:rFonts w:ascii="Times New Roman" w:eastAsia="Calibri" w:hAnsi="Times New Roman" w:cs="Times New Roman"/>
          <w:sz w:val="24"/>
          <w:szCs w:val="24"/>
        </w:rPr>
        <w:t xml:space="preserve"> на интернет страницата </w:t>
      </w:r>
      <w:r>
        <w:rPr>
          <w:rFonts w:ascii="Times New Roman" w:eastAsia="Calibri" w:hAnsi="Times New Roman" w:cs="Times New Roman"/>
          <w:sz w:val="24"/>
          <w:szCs w:val="24"/>
        </w:rPr>
        <w:t>си и/или информира</w:t>
      </w:r>
      <w:r w:rsidR="00CE3DF1" w:rsidRPr="00CE3DF1">
        <w:rPr>
          <w:rFonts w:ascii="Times New Roman" w:eastAsia="Calibri" w:hAnsi="Times New Roman" w:cs="Times New Roman"/>
          <w:sz w:val="24"/>
          <w:szCs w:val="24"/>
        </w:rPr>
        <w:t xml:space="preserve"> населението по друг подходящ начин.</w:t>
      </w:r>
    </w:p>
    <w:p w:rsidR="00CE3DF1" w:rsidRPr="00CE3DF1" w:rsidRDefault="004C7887" w:rsidP="00CE3DF1">
      <w:pPr>
        <w:numPr>
          <w:ilvl w:val="0"/>
          <w:numId w:val="4"/>
        </w:numPr>
        <w:tabs>
          <w:tab w:val="left" w:pos="426"/>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rPr>
        <w:t>оповестява</w:t>
      </w:r>
      <w:r w:rsidR="00CE3DF1" w:rsidRPr="00CE3DF1">
        <w:rPr>
          <w:rFonts w:ascii="Times New Roman" w:eastAsia="Calibri" w:hAnsi="Times New Roman" w:cs="Times New Roman"/>
          <w:sz w:val="24"/>
          <w:szCs w:val="24"/>
          <w:shd w:val="clear" w:color="auto" w:fill="FFFFFF"/>
        </w:rPr>
        <w:t xml:space="preserve"> на интернет страницата на си и/или на интернет страниците на районни</w:t>
      </w:r>
      <w:r>
        <w:rPr>
          <w:rFonts w:ascii="Times New Roman" w:eastAsia="Calibri" w:hAnsi="Times New Roman" w:cs="Times New Roman"/>
          <w:sz w:val="24"/>
          <w:szCs w:val="24"/>
          <w:shd w:val="clear" w:color="auto" w:fill="FFFFFF"/>
        </w:rPr>
        <w:t>те</w:t>
      </w:r>
      <w:r w:rsidR="00CE3DF1" w:rsidRPr="00CE3DF1">
        <w:rPr>
          <w:rFonts w:ascii="Times New Roman" w:eastAsia="Calibri" w:hAnsi="Times New Roman" w:cs="Times New Roman"/>
          <w:sz w:val="24"/>
          <w:szCs w:val="24"/>
          <w:shd w:val="clear" w:color="auto" w:fill="FFFFFF"/>
        </w:rPr>
        <w:t xml:space="preserve"> администрации, всяка промяна към системата за разделно събиране на битови биоразградими отпадъци.</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p>
    <w:p w:rsidR="00CE3DF1" w:rsidRPr="00CE3DF1" w:rsidRDefault="00CE3DF1" w:rsidP="00CE3DF1">
      <w:p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 xml:space="preserve">Системите за разделно събиране включват: </w:t>
      </w:r>
    </w:p>
    <w:p w:rsidR="00CE3DF1" w:rsidRPr="00CE3DF1" w:rsidRDefault="00CE3DF1" w:rsidP="00CE3DF1">
      <w:pPr>
        <w:numPr>
          <w:ilvl w:val="0"/>
          <w:numId w:val="21"/>
        </w:numPr>
        <w:spacing w:after="0" w:line="276" w:lineRule="auto"/>
        <w:contextualSpacing/>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 xml:space="preserve">съдове за събиране на биоотпадъците при източника на образуване; </w:t>
      </w:r>
    </w:p>
    <w:p w:rsidR="00CE3DF1" w:rsidRPr="00CE3DF1" w:rsidRDefault="00CE3DF1" w:rsidP="00CE3DF1">
      <w:pPr>
        <w:numPr>
          <w:ilvl w:val="0"/>
          <w:numId w:val="21"/>
        </w:numPr>
        <w:spacing w:after="0" w:line="276" w:lineRule="auto"/>
        <w:contextualSpacing/>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 xml:space="preserve">специализирани транспортни средства, необходими за тяхното обслужване; </w:t>
      </w:r>
    </w:p>
    <w:p w:rsidR="00CE3DF1" w:rsidRPr="00CE3DF1" w:rsidRDefault="00CE3DF1" w:rsidP="00CE3DF1">
      <w:pPr>
        <w:numPr>
          <w:ilvl w:val="0"/>
          <w:numId w:val="21"/>
        </w:numPr>
        <w:spacing w:after="0" w:line="276" w:lineRule="auto"/>
        <w:contextualSpacing/>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 xml:space="preserve">специализирана техника за раздробяване и нарязване на биоотпадъците; </w:t>
      </w:r>
    </w:p>
    <w:p w:rsidR="00CE3DF1" w:rsidRPr="00CE3DF1" w:rsidRDefault="00CE3DF1" w:rsidP="00CE3DF1">
      <w:pPr>
        <w:numPr>
          <w:ilvl w:val="0"/>
          <w:numId w:val="21"/>
        </w:numPr>
        <w:spacing w:after="0" w:line="276" w:lineRule="auto"/>
        <w:contextualSpacing/>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lastRenderedPageBreak/>
        <w:t xml:space="preserve">площадки за събиране и временно съхраняване на биоотпадъците, и/или </w:t>
      </w:r>
    </w:p>
    <w:p w:rsidR="00CE3DF1" w:rsidRPr="00CE3DF1" w:rsidRDefault="00CE3DF1" w:rsidP="00CE3DF1">
      <w:pPr>
        <w:numPr>
          <w:ilvl w:val="0"/>
          <w:numId w:val="21"/>
        </w:numPr>
        <w:spacing w:after="0" w:line="276" w:lineRule="auto"/>
        <w:contextualSpacing/>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други елементи в зависимост от вида на системата.</w:t>
      </w:r>
    </w:p>
    <w:p w:rsidR="00CE3DF1" w:rsidRPr="00CE3DF1" w:rsidRDefault="00CE3DF1" w:rsidP="00CE3DF1">
      <w:pPr>
        <w:spacing w:after="0" w:line="276" w:lineRule="auto"/>
        <w:jc w:val="both"/>
        <w:rPr>
          <w:rFonts w:ascii="Times New Roman" w:eastAsia="Times New Roman" w:hAnsi="Times New Roman" w:cs="Times New Roman"/>
          <w:sz w:val="24"/>
          <w:szCs w:val="24"/>
          <w:lang w:eastAsia="en-GB"/>
        </w:rPr>
      </w:pPr>
    </w:p>
    <w:p w:rsidR="00CE3DF1" w:rsidRPr="00CE3DF1" w:rsidRDefault="00CE3DF1" w:rsidP="00CE3DF1">
      <w:pPr>
        <w:spacing w:after="0" w:line="276" w:lineRule="auto"/>
        <w:jc w:val="both"/>
        <w:rPr>
          <w:rFonts w:ascii="Times New Roman" w:eastAsia="Times New Roman" w:hAnsi="Times New Roman" w:cs="Times New Roman"/>
          <w:sz w:val="24"/>
          <w:szCs w:val="24"/>
          <w:lang w:val="ru-RU" w:eastAsia="en-GB"/>
        </w:rPr>
      </w:pPr>
      <w:r w:rsidRPr="00CE3DF1">
        <w:rPr>
          <w:rFonts w:ascii="Times New Roman" w:eastAsia="Times New Roman" w:hAnsi="Times New Roman" w:cs="Times New Roman"/>
          <w:sz w:val="24"/>
          <w:szCs w:val="24"/>
          <w:lang w:val="ru-RU" w:eastAsia="en-GB"/>
        </w:rPr>
        <w:t>Съдове</w:t>
      </w:r>
      <w:r w:rsidR="0073678A">
        <w:rPr>
          <w:rFonts w:ascii="Times New Roman" w:eastAsia="Times New Roman" w:hAnsi="Times New Roman" w:cs="Times New Roman"/>
          <w:sz w:val="24"/>
          <w:szCs w:val="24"/>
          <w:lang w:val="ru-RU" w:eastAsia="en-GB"/>
        </w:rPr>
        <w:t>те</w:t>
      </w:r>
      <w:r w:rsidRPr="00CE3DF1">
        <w:rPr>
          <w:rFonts w:ascii="Times New Roman" w:eastAsia="Times New Roman" w:hAnsi="Times New Roman" w:cs="Times New Roman"/>
          <w:sz w:val="24"/>
          <w:szCs w:val="24"/>
          <w:lang w:val="ru-RU" w:eastAsia="en-GB"/>
        </w:rPr>
        <w:t xml:space="preserve"> за биоотпадъците </w:t>
      </w:r>
      <w:r w:rsidRPr="00CE3DF1">
        <w:rPr>
          <w:rFonts w:ascii="Times New Roman" w:eastAsia="Times New Roman" w:hAnsi="Times New Roman" w:cs="Times New Roman"/>
          <w:sz w:val="24"/>
          <w:szCs w:val="24"/>
          <w:lang w:eastAsia="en-GB"/>
        </w:rPr>
        <w:t xml:space="preserve">включват </w:t>
      </w:r>
      <w:r w:rsidRPr="00CE3DF1">
        <w:rPr>
          <w:rFonts w:ascii="Times New Roman" w:eastAsia="Times New Roman" w:hAnsi="Times New Roman" w:cs="Times New Roman"/>
          <w:sz w:val="24"/>
          <w:szCs w:val="24"/>
          <w:lang w:val="ru-RU" w:eastAsia="en-GB"/>
        </w:rPr>
        <w:t>- контейнери за многократно използване, кофи, биоразградими торби за еднократна употреба</w:t>
      </w:r>
      <w:r w:rsidRPr="00CE3DF1">
        <w:rPr>
          <w:rFonts w:ascii="Times New Roman" w:eastAsia="Times New Roman" w:hAnsi="Times New Roman" w:cs="Times New Roman"/>
          <w:sz w:val="24"/>
          <w:szCs w:val="24"/>
          <w:lang w:eastAsia="en-GB"/>
        </w:rPr>
        <w:t xml:space="preserve"> и др</w:t>
      </w:r>
      <w:r w:rsidRPr="00CE3DF1">
        <w:rPr>
          <w:rFonts w:ascii="Times New Roman" w:eastAsia="Times New Roman" w:hAnsi="Times New Roman" w:cs="Times New Roman"/>
          <w:sz w:val="24"/>
          <w:szCs w:val="24"/>
          <w:lang w:val="ru-RU" w:eastAsia="en-GB"/>
        </w:rPr>
        <w:t>.</w:t>
      </w:r>
    </w:p>
    <w:p w:rsidR="00CE3DF1" w:rsidRPr="00CE3DF1" w:rsidRDefault="00CE3DF1" w:rsidP="00CE3DF1">
      <w:pPr>
        <w:spacing w:after="0" w:line="276" w:lineRule="auto"/>
        <w:jc w:val="both"/>
        <w:rPr>
          <w:rFonts w:ascii="Times New Roman" w:eastAsia="Times New Roman" w:hAnsi="Times New Roman" w:cs="Times New Roman"/>
          <w:sz w:val="24"/>
          <w:szCs w:val="24"/>
          <w:lang w:val="ru-RU" w:eastAsia="en-GB"/>
        </w:rPr>
      </w:pPr>
      <w:r w:rsidRPr="00CE3DF1">
        <w:rPr>
          <w:rFonts w:ascii="Times New Roman" w:eastAsia="Times New Roman" w:hAnsi="Times New Roman" w:cs="Times New Roman"/>
          <w:sz w:val="24"/>
          <w:szCs w:val="24"/>
          <w:lang w:eastAsia="en-GB"/>
        </w:rPr>
        <w:t xml:space="preserve">Най-общо </w:t>
      </w:r>
      <w:r w:rsidRPr="00CE3DF1">
        <w:rPr>
          <w:rFonts w:ascii="Times New Roman" w:eastAsia="Times New Roman" w:hAnsi="Times New Roman" w:cs="Times New Roman"/>
          <w:sz w:val="24"/>
          <w:szCs w:val="24"/>
          <w:lang w:val="ru-RU" w:eastAsia="en-GB"/>
        </w:rPr>
        <w:t>съдовете за многократно използване трябва:</w:t>
      </w:r>
    </w:p>
    <w:p w:rsidR="00CE3DF1" w:rsidRPr="00CE3DF1" w:rsidRDefault="00CE3DF1" w:rsidP="00CE3DF1">
      <w:pPr>
        <w:spacing w:after="0" w:line="276" w:lineRule="auto"/>
        <w:ind w:firstLine="480"/>
        <w:jc w:val="both"/>
        <w:rPr>
          <w:rFonts w:ascii="Times New Roman" w:eastAsia="Times New Roman" w:hAnsi="Times New Roman" w:cs="Times New Roman"/>
          <w:sz w:val="24"/>
          <w:szCs w:val="24"/>
          <w:lang w:val="ru-RU" w:eastAsia="en-GB"/>
        </w:rPr>
      </w:pPr>
      <w:r w:rsidRPr="00CE3DF1">
        <w:rPr>
          <w:rFonts w:ascii="Times New Roman" w:eastAsia="Times New Roman" w:hAnsi="Times New Roman" w:cs="Times New Roman"/>
          <w:sz w:val="24"/>
          <w:szCs w:val="24"/>
          <w:lang w:val="ru-RU" w:eastAsia="en-GB"/>
        </w:rPr>
        <w:t>1. да са кафяви;</w:t>
      </w:r>
    </w:p>
    <w:p w:rsidR="00CE3DF1" w:rsidRPr="00CE3DF1" w:rsidRDefault="00CE3DF1" w:rsidP="00CE3DF1">
      <w:pPr>
        <w:spacing w:after="0" w:line="276" w:lineRule="auto"/>
        <w:ind w:firstLine="480"/>
        <w:jc w:val="both"/>
        <w:rPr>
          <w:rFonts w:ascii="Times New Roman" w:eastAsia="Times New Roman" w:hAnsi="Times New Roman" w:cs="Times New Roman"/>
          <w:sz w:val="24"/>
          <w:szCs w:val="24"/>
          <w:lang w:val="ru-RU" w:eastAsia="en-GB"/>
        </w:rPr>
      </w:pPr>
      <w:r w:rsidRPr="00CE3DF1">
        <w:rPr>
          <w:rFonts w:ascii="Times New Roman" w:eastAsia="Times New Roman" w:hAnsi="Times New Roman" w:cs="Times New Roman"/>
          <w:sz w:val="24"/>
          <w:szCs w:val="24"/>
          <w:lang w:val="ru-RU" w:eastAsia="en-GB"/>
        </w:rPr>
        <w:t>2. да са влагоустойчиви;</w:t>
      </w:r>
    </w:p>
    <w:p w:rsidR="00CE3DF1" w:rsidRPr="00CE3DF1" w:rsidRDefault="00CE3DF1" w:rsidP="00CE3DF1">
      <w:pPr>
        <w:spacing w:after="0" w:line="276" w:lineRule="auto"/>
        <w:ind w:firstLine="480"/>
        <w:jc w:val="both"/>
        <w:rPr>
          <w:rFonts w:ascii="Times New Roman" w:eastAsia="Times New Roman" w:hAnsi="Times New Roman" w:cs="Times New Roman"/>
          <w:sz w:val="24"/>
          <w:szCs w:val="24"/>
          <w:lang w:val="ru-RU" w:eastAsia="en-GB"/>
        </w:rPr>
      </w:pPr>
      <w:r w:rsidRPr="00CE3DF1">
        <w:rPr>
          <w:rFonts w:ascii="Times New Roman" w:eastAsia="Times New Roman" w:hAnsi="Times New Roman" w:cs="Times New Roman"/>
          <w:sz w:val="24"/>
          <w:szCs w:val="24"/>
          <w:lang w:val="ru-RU" w:eastAsia="en-GB"/>
        </w:rPr>
        <w:t>3. да са достатъчно здрави и устойчиви на скъсване или напукване при нормални условия на ползване;</w:t>
      </w:r>
    </w:p>
    <w:p w:rsidR="00CE3DF1" w:rsidRPr="00CE3DF1" w:rsidRDefault="00CE3DF1" w:rsidP="00CE3DF1">
      <w:pPr>
        <w:spacing w:after="0" w:line="276" w:lineRule="auto"/>
        <w:ind w:firstLine="480"/>
        <w:jc w:val="both"/>
        <w:rPr>
          <w:rFonts w:ascii="Times New Roman" w:eastAsia="Times New Roman" w:hAnsi="Times New Roman" w:cs="Times New Roman"/>
          <w:sz w:val="24"/>
          <w:szCs w:val="24"/>
          <w:lang w:val="ru-RU" w:eastAsia="en-GB"/>
        </w:rPr>
      </w:pPr>
      <w:r w:rsidRPr="00CE3DF1">
        <w:rPr>
          <w:rFonts w:ascii="Times New Roman" w:eastAsia="Times New Roman" w:hAnsi="Times New Roman" w:cs="Times New Roman"/>
          <w:sz w:val="24"/>
          <w:szCs w:val="24"/>
          <w:lang w:val="ru-RU" w:eastAsia="en-GB"/>
        </w:rPr>
        <w:t>4. да се затварят плътно;</w:t>
      </w:r>
    </w:p>
    <w:p w:rsidR="00CE3DF1" w:rsidRPr="00CE3DF1" w:rsidRDefault="00CE3DF1" w:rsidP="00CE3DF1">
      <w:pPr>
        <w:spacing w:after="0" w:line="276" w:lineRule="auto"/>
        <w:ind w:firstLine="480"/>
        <w:jc w:val="both"/>
        <w:rPr>
          <w:rFonts w:ascii="Times New Roman" w:eastAsia="Times New Roman" w:hAnsi="Times New Roman" w:cs="Times New Roman"/>
          <w:sz w:val="24"/>
          <w:szCs w:val="24"/>
          <w:lang w:val="ru-RU" w:eastAsia="en-GB"/>
        </w:rPr>
      </w:pPr>
      <w:r w:rsidRPr="00CE3DF1">
        <w:rPr>
          <w:rFonts w:ascii="Times New Roman" w:eastAsia="Times New Roman" w:hAnsi="Times New Roman" w:cs="Times New Roman"/>
          <w:sz w:val="24"/>
          <w:szCs w:val="24"/>
          <w:lang w:val="ru-RU" w:eastAsia="en-GB"/>
        </w:rPr>
        <w:t>5. да се почистват лесно;</w:t>
      </w:r>
    </w:p>
    <w:p w:rsidR="00CE3DF1" w:rsidRPr="00CE3DF1" w:rsidRDefault="00CE3DF1" w:rsidP="00CE3DF1">
      <w:pPr>
        <w:spacing w:after="0" w:line="276" w:lineRule="auto"/>
        <w:ind w:firstLine="480"/>
        <w:jc w:val="both"/>
        <w:rPr>
          <w:rFonts w:ascii="Times New Roman" w:eastAsia="Times New Roman" w:hAnsi="Times New Roman" w:cs="Times New Roman"/>
          <w:sz w:val="24"/>
          <w:szCs w:val="24"/>
          <w:lang w:val="ru-RU" w:eastAsia="en-GB"/>
        </w:rPr>
      </w:pPr>
      <w:r w:rsidRPr="00CE3DF1">
        <w:rPr>
          <w:rFonts w:ascii="Times New Roman" w:eastAsia="Times New Roman" w:hAnsi="Times New Roman" w:cs="Times New Roman"/>
          <w:sz w:val="24"/>
          <w:szCs w:val="24"/>
          <w:lang w:val="ru-RU" w:eastAsia="en-GB"/>
        </w:rPr>
        <w:t>6. да са обозначени с ясно видим и незаличим надпис, съдържащ информация за вида на събираните в тях биоотпадъци.</w:t>
      </w:r>
    </w:p>
    <w:p w:rsidR="00CE3DF1" w:rsidRPr="00CE3DF1" w:rsidRDefault="00CE3DF1" w:rsidP="00CE3DF1">
      <w:pPr>
        <w:spacing w:after="0" w:line="276" w:lineRule="auto"/>
        <w:ind w:firstLine="480"/>
        <w:jc w:val="both"/>
        <w:rPr>
          <w:rFonts w:ascii="Times New Roman" w:eastAsia="Times New Roman" w:hAnsi="Times New Roman" w:cs="Times New Roman"/>
          <w:sz w:val="24"/>
          <w:szCs w:val="24"/>
          <w:lang w:val="ru-RU" w:eastAsia="en-GB"/>
        </w:rPr>
      </w:pPr>
    </w:p>
    <w:p w:rsidR="00CE3DF1" w:rsidRPr="00CE3DF1" w:rsidRDefault="00CE3DF1" w:rsidP="00CE3DF1">
      <w:pPr>
        <w:spacing w:after="0" w:line="276" w:lineRule="auto"/>
        <w:jc w:val="both"/>
        <w:rPr>
          <w:rFonts w:ascii="Times New Roman" w:eastAsia="Times New Roman" w:hAnsi="Times New Roman" w:cs="Times New Roman"/>
          <w:sz w:val="24"/>
          <w:szCs w:val="24"/>
          <w:lang w:val="ru-RU" w:eastAsia="en-GB"/>
        </w:rPr>
      </w:pPr>
      <w:r w:rsidRPr="00CE3DF1">
        <w:rPr>
          <w:rFonts w:ascii="Times New Roman" w:eastAsia="Times New Roman" w:hAnsi="Times New Roman" w:cs="Times New Roman"/>
          <w:sz w:val="24"/>
          <w:szCs w:val="24"/>
          <w:lang w:eastAsia="en-GB"/>
        </w:rPr>
        <w:t>Общинската с</w:t>
      </w:r>
      <w:r w:rsidRPr="00CE3DF1">
        <w:rPr>
          <w:rFonts w:ascii="Times New Roman" w:eastAsia="Times New Roman" w:hAnsi="Times New Roman" w:cs="Times New Roman"/>
          <w:sz w:val="24"/>
          <w:szCs w:val="24"/>
          <w:lang w:val="ru-RU" w:eastAsia="en-GB"/>
        </w:rPr>
        <w:t xml:space="preserve">истемата </w:t>
      </w:r>
      <w:r w:rsidRPr="00CE3DF1">
        <w:rPr>
          <w:rFonts w:ascii="Times New Roman" w:eastAsia="Times New Roman" w:hAnsi="Times New Roman" w:cs="Times New Roman"/>
          <w:sz w:val="24"/>
          <w:szCs w:val="24"/>
          <w:lang w:eastAsia="en-GB"/>
        </w:rPr>
        <w:t xml:space="preserve">по разделно събиране на битови биооразградими отпадъци </w:t>
      </w:r>
      <w:r w:rsidRPr="00CE3DF1">
        <w:rPr>
          <w:rFonts w:ascii="Times New Roman" w:eastAsia="Times New Roman" w:hAnsi="Times New Roman" w:cs="Times New Roman"/>
          <w:sz w:val="24"/>
          <w:szCs w:val="24"/>
          <w:lang w:val="ru-RU" w:eastAsia="en-GB"/>
        </w:rPr>
        <w:t>се въвежда със заповед на кмета на община</w:t>
      </w:r>
      <w:r w:rsidRPr="00CE3DF1">
        <w:rPr>
          <w:rFonts w:ascii="Times New Roman" w:eastAsia="Times New Roman" w:hAnsi="Times New Roman" w:cs="Times New Roman"/>
          <w:sz w:val="24"/>
          <w:szCs w:val="24"/>
          <w:lang w:eastAsia="en-GB"/>
        </w:rPr>
        <w:t>та</w:t>
      </w:r>
      <w:r w:rsidRPr="00CE3DF1">
        <w:rPr>
          <w:rFonts w:ascii="Times New Roman" w:eastAsia="Times New Roman" w:hAnsi="Times New Roman" w:cs="Times New Roman"/>
          <w:sz w:val="24"/>
          <w:szCs w:val="24"/>
          <w:lang w:val="ru-RU" w:eastAsia="en-GB"/>
        </w:rPr>
        <w:t xml:space="preserve">, като в нея се включват всички училища, детски градини, заведения за обществено хранене, пазари, търговски обекти и др. в </w:t>
      </w:r>
      <w:r w:rsidRPr="00CE3DF1">
        <w:rPr>
          <w:rFonts w:ascii="Times New Roman" w:eastAsia="Times New Roman" w:hAnsi="Times New Roman" w:cs="Times New Roman"/>
          <w:sz w:val="24"/>
          <w:szCs w:val="24"/>
          <w:lang w:eastAsia="en-GB"/>
        </w:rPr>
        <w:t xml:space="preserve">които се </w:t>
      </w:r>
      <w:r w:rsidRPr="00CE3DF1">
        <w:rPr>
          <w:rFonts w:ascii="Times New Roman" w:eastAsia="Times New Roman" w:hAnsi="Times New Roman" w:cs="Times New Roman"/>
          <w:sz w:val="24"/>
          <w:szCs w:val="24"/>
          <w:lang w:val="ru-RU" w:eastAsia="en-GB"/>
        </w:rPr>
        <w:t>образуват биоотпадъци.</w:t>
      </w:r>
    </w:p>
    <w:p w:rsidR="00CE3DF1" w:rsidRPr="00CE3DF1" w:rsidRDefault="00CE3DF1" w:rsidP="00CE3DF1">
      <w:pPr>
        <w:spacing w:after="0" w:line="276" w:lineRule="auto"/>
        <w:jc w:val="both"/>
        <w:rPr>
          <w:rFonts w:ascii="Times New Roman" w:eastAsia="Times New Roman" w:hAnsi="Times New Roman" w:cs="Times New Roman"/>
          <w:sz w:val="24"/>
          <w:szCs w:val="24"/>
          <w:lang w:val="ru-RU" w:eastAsia="en-GB"/>
        </w:rPr>
      </w:pPr>
      <w:r w:rsidRPr="00CE3DF1">
        <w:rPr>
          <w:rFonts w:ascii="Times New Roman" w:eastAsia="Times New Roman" w:hAnsi="Times New Roman" w:cs="Times New Roman"/>
          <w:sz w:val="24"/>
          <w:szCs w:val="24"/>
          <w:lang w:val="ru-RU" w:eastAsia="en-GB"/>
        </w:rPr>
        <w:t xml:space="preserve">Обхватът на системата </w:t>
      </w:r>
      <w:r w:rsidRPr="00CE3DF1">
        <w:rPr>
          <w:rFonts w:ascii="Times New Roman" w:eastAsia="Times New Roman" w:hAnsi="Times New Roman" w:cs="Times New Roman"/>
          <w:sz w:val="24"/>
          <w:szCs w:val="24"/>
          <w:lang w:eastAsia="en-GB"/>
        </w:rPr>
        <w:t xml:space="preserve">се </w:t>
      </w:r>
      <w:r w:rsidRPr="00CE3DF1">
        <w:rPr>
          <w:rFonts w:ascii="Times New Roman" w:eastAsia="Times New Roman" w:hAnsi="Times New Roman" w:cs="Times New Roman"/>
          <w:sz w:val="24"/>
          <w:szCs w:val="24"/>
          <w:lang w:val="ru-RU" w:eastAsia="en-GB"/>
        </w:rPr>
        <w:t>определя със заповед на кмета община</w:t>
      </w:r>
      <w:r w:rsidRPr="00CE3DF1">
        <w:rPr>
          <w:rFonts w:ascii="Times New Roman" w:eastAsia="Times New Roman" w:hAnsi="Times New Roman" w:cs="Times New Roman"/>
          <w:sz w:val="24"/>
          <w:szCs w:val="24"/>
          <w:lang w:eastAsia="en-GB"/>
        </w:rPr>
        <w:t>та</w:t>
      </w:r>
      <w:r w:rsidRPr="00CE3DF1">
        <w:rPr>
          <w:rFonts w:ascii="Times New Roman" w:eastAsia="Times New Roman" w:hAnsi="Times New Roman" w:cs="Times New Roman"/>
          <w:sz w:val="24"/>
          <w:szCs w:val="24"/>
          <w:lang w:val="ru-RU" w:eastAsia="en-GB"/>
        </w:rPr>
        <w:t xml:space="preserve">. </w:t>
      </w:r>
      <w:r w:rsidRPr="00CE3DF1">
        <w:rPr>
          <w:rFonts w:ascii="Times New Roman" w:eastAsia="Times New Roman" w:hAnsi="Times New Roman" w:cs="Times New Roman"/>
          <w:sz w:val="24"/>
          <w:szCs w:val="24"/>
          <w:lang w:eastAsia="en-GB"/>
        </w:rPr>
        <w:t xml:space="preserve">Към системата могат да бъдат включени и </w:t>
      </w:r>
      <w:r w:rsidRPr="00CE3DF1">
        <w:rPr>
          <w:rFonts w:ascii="Times New Roman" w:eastAsia="Times New Roman" w:hAnsi="Times New Roman" w:cs="Times New Roman"/>
          <w:sz w:val="24"/>
          <w:szCs w:val="24"/>
          <w:lang w:val="ru-RU" w:eastAsia="en-GB"/>
        </w:rPr>
        <w:t>собственици на имоти и управители на регистрирани сгради в режим на етажна собственост.</w:t>
      </w:r>
    </w:p>
    <w:p w:rsidR="00CE3DF1" w:rsidRPr="00CE3DF1" w:rsidRDefault="00CE3DF1" w:rsidP="00CE3DF1">
      <w:pPr>
        <w:spacing w:after="0" w:line="276" w:lineRule="auto"/>
        <w:jc w:val="both"/>
        <w:rPr>
          <w:rFonts w:ascii="Times New Roman" w:eastAsia="Times New Roman" w:hAnsi="Times New Roman" w:cs="Times New Roman"/>
          <w:sz w:val="24"/>
          <w:szCs w:val="24"/>
          <w:lang w:val="ru-RU" w:eastAsia="en-GB"/>
        </w:rPr>
      </w:pP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 xml:space="preserve">Като неразделна част от програмата за управление на околната среда по чл. 52 от ЗУО, кметовете на общините следва да включват мерки за предотвратяване образуването на биоотпадъци, разделно събиране и оползотворяване на биоотпадъци на територията на общината, отчитайки специфичните условия на отделните населени места (големина, тип, брой жители и др.) </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Тук обръщаме</w:t>
      </w:r>
      <w:r w:rsidR="0073678A">
        <w:rPr>
          <w:rFonts w:ascii="Times New Roman" w:eastAsia="Calibri" w:hAnsi="Times New Roman" w:cs="Times New Roman"/>
          <w:sz w:val="24"/>
          <w:szCs w:val="24"/>
        </w:rPr>
        <w:t xml:space="preserve"> внимание </w:t>
      </w:r>
      <w:r w:rsidRPr="00CE3DF1">
        <w:rPr>
          <w:rFonts w:ascii="Times New Roman" w:eastAsia="Calibri" w:hAnsi="Times New Roman" w:cs="Times New Roman"/>
          <w:sz w:val="24"/>
          <w:szCs w:val="24"/>
        </w:rPr>
        <w:t xml:space="preserve"> на мерките към програмите за управление на отпадъците, които трябва да включите във вашите ПУО и по-специално тези, които са въведени с последните изменения на законодателството в областта: </w:t>
      </w:r>
    </w:p>
    <w:p w:rsidR="00CE3DF1" w:rsidRPr="00CE3DF1" w:rsidRDefault="00CE3DF1" w:rsidP="00CE3DF1">
      <w:pPr>
        <w:numPr>
          <w:ilvl w:val="0"/>
          <w:numId w:val="9"/>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поетапно въвеждане на разделно събиране и оползотворяване на биоотпадъците, събирани чрез общинските системи за разделно събиране, както и изчисляване на броя на домакинствата и на населението на всяка община, обслужвани от общинската система за разделно събиране;</w:t>
      </w:r>
    </w:p>
    <w:p w:rsidR="00CE3DF1" w:rsidRPr="00CE3DF1" w:rsidRDefault="00CE3DF1" w:rsidP="00CE3DF1">
      <w:pPr>
        <w:numPr>
          <w:ilvl w:val="0"/>
          <w:numId w:val="9"/>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разделно събиране и оползотворяване на биоотпадъците от обществени зелени площи, паркове и градини;</w:t>
      </w:r>
    </w:p>
    <w:p w:rsidR="00CE3DF1" w:rsidRPr="00CE3DF1" w:rsidRDefault="00CE3DF1" w:rsidP="00CE3DF1">
      <w:pPr>
        <w:numPr>
          <w:ilvl w:val="0"/>
          <w:numId w:val="9"/>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план за изграждане на съоръженията за оползотворяване на биоотпадъците, когато такива са предвидени на територията на общината, съгласно решението по чл. 26, ал. 1, т. 4 ЗУО, в т.ч. определяне на местоположението, необходимия капацитет и технология за третиране;</w:t>
      </w:r>
    </w:p>
    <w:p w:rsidR="00CE3DF1" w:rsidRPr="00CE3DF1" w:rsidRDefault="00CE3DF1" w:rsidP="00CE3DF1">
      <w:pPr>
        <w:numPr>
          <w:ilvl w:val="0"/>
          <w:numId w:val="9"/>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b/>
          <w:sz w:val="24"/>
          <w:szCs w:val="24"/>
          <w:u w:val="single"/>
        </w:rPr>
        <w:t>насърчаване компостирането на място, в т.ч. домашното компостиране</w:t>
      </w:r>
      <w:r w:rsidRPr="00CE3DF1">
        <w:rPr>
          <w:rFonts w:ascii="Times New Roman" w:eastAsia="Calibri" w:hAnsi="Times New Roman" w:cs="Times New Roman"/>
          <w:sz w:val="24"/>
          <w:szCs w:val="24"/>
        </w:rPr>
        <w:t xml:space="preserve"> (доп. - ДВ, бр. 2 от 2021 г.);</w:t>
      </w:r>
    </w:p>
    <w:p w:rsidR="00CE3DF1" w:rsidRPr="00CE3DF1" w:rsidRDefault="00CE3DF1" w:rsidP="00CE3DF1">
      <w:pPr>
        <w:numPr>
          <w:ilvl w:val="0"/>
          <w:numId w:val="9"/>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lastRenderedPageBreak/>
        <w:t xml:space="preserve">повишаване информираността на населението за ползите и изискванията за разделното събиране и третиране на биоотпадъците; </w:t>
      </w:r>
    </w:p>
    <w:p w:rsidR="00CE3DF1" w:rsidRPr="00CE3DF1" w:rsidRDefault="00CE3DF1" w:rsidP="00CE3DF1">
      <w:pPr>
        <w:numPr>
          <w:ilvl w:val="0"/>
          <w:numId w:val="9"/>
        </w:numPr>
        <w:tabs>
          <w:tab w:val="left" w:pos="426"/>
        </w:tabs>
        <w:spacing w:after="0" w:line="276" w:lineRule="auto"/>
        <w:jc w:val="both"/>
        <w:rPr>
          <w:rFonts w:ascii="Times New Roman" w:eastAsia="Calibri" w:hAnsi="Times New Roman" w:cs="Times New Roman"/>
          <w:sz w:val="24"/>
          <w:szCs w:val="24"/>
          <w:u w:val="single"/>
        </w:rPr>
      </w:pPr>
      <w:r w:rsidRPr="00CE3DF1">
        <w:rPr>
          <w:rFonts w:ascii="Times New Roman" w:eastAsia="Calibri" w:hAnsi="Times New Roman" w:cs="Times New Roman"/>
          <w:b/>
          <w:sz w:val="24"/>
          <w:szCs w:val="24"/>
          <w:u w:val="single"/>
        </w:rPr>
        <w:t>насърчаване на рециклирането, включително компостиране, и разграждането на биологичните отпадъци по начин, който осигурява високо равнище на опазване на околната среда и води до резултати, отговарящи на съответните стандарти за високо качество</w:t>
      </w:r>
      <w:r w:rsidRPr="00CE3DF1">
        <w:rPr>
          <w:rFonts w:ascii="Times New Roman" w:eastAsia="Calibri" w:hAnsi="Times New Roman" w:cs="Times New Roman"/>
          <w:sz w:val="24"/>
          <w:szCs w:val="24"/>
          <w:u w:val="single"/>
        </w:rPr>
        <w:t xml:space="preserve"> (доп. - ДВ, бр. 2 от 2021 г.) ; </w:t>
      </w:r>
    </w:p>
    <w:p w:rsidR="00CE3DF1" w:rsidRPr="00CE3DF1" w:rsidRDefault="00CE3DF1" w:rsidP="00CE3DF1">
      <w:pPr>
        <w:numPr>
          <w:ilvl w:val="0"/>
          <w:numId w:val="9"/>
        </w:numPr>
        <w:tabs>
          <w:tab w:val="left" w:pos="426"/>
        </w:tabs>
        <w:spacing w:after="0" w:line="276" w:lineRule="auto"/>
        <w:jc w:val="both"/>
        <w:rPr>
          <w:rFonts w:ascii="Times New Roman" w:eastAsia="Calibri" w:hAnsi="Times New Roman" w:cs="Times New Roman"/>
          <w:sz w:val="24"/>
          <w:szCs w:val="24"/>
          <w:u w:val="single"/>
        </w:rPr>
      </w:pPr>
      <w:r w:rsidRPr="00CE3DF1">
        <w:rPr>
          <w:rFonts w:ascii="Times New Roman" w:eastAsia="Calibri" w:hAnsi="Times New Roman" w:cs="Times New Roman"/>
          <w:b/>
          <w:sz w:val="24"/>
          <w:szCs w:val="24"/>
          <w:u w:val="single"/>
        </w:rPr>
        <w:t>насърчаване използването на безопасни материали, произведени от биологични отпадъци</w:t>
      </w:r>
      <w:r w:rsidRPr="00CE3DF1">
        <w:rPr>
          <w:rFonts w:ascii="Times New Roman" w:eastAsia="Calibri" w:hAnsi="Times New Roman" w:cs="Times New Roman"/>
          <w:sz w:val="24"/>
          <w:szCs w:val="24"/>
          <w:u w:val="single"/>
        </w:rPr>
        <w:t xml:space="preserve"> (доп. - ДВ, бр. 2 от 2021 г.)</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highlight w:val="yellow"/>
        </w:rPr>
      </w:pPr>
    </w:p>
    <w:p w:rsidR="00CE3DF1" w:rsidRPr="00CE3DF1" w:rsidRDefault="00CE3DF1" w:rsidP="00CE3DF1">
      <w:pPr>
        <w:tabs>
          <w:tab w:val="left" w:pos="426"/>
        </w:tabs>
        <w:spacing w:after="0" w:line="276" w:lineRule="auto"/>
        <w:jc w:val="both"/>
        <w:rPr>
          <w:rFonts w:ascii="Times New Roman" w:eastAsia="Calibri" w:hAnsi="Times New Roman" w:cs="Times New Roman"/>
          <w:b/>
          <w:i/>
          <w:sz w:val="24"/>
          <w:szCs w:val="24"/>
        </w:rPr>
      </w:pPr>
      <w:r w:rsidRPr="00CE3DF1">
        <w:rPr>
          <w:rFonts w:ascii="Times New Roman" w:eastAsia="Calibri" w:hAnsi="Times New Roman" w:cs="Times New Roman"/>
          <w:b/>
          <w:i/>
          <w:sz w:val="24"/>
          <w:szCs w:val="24"/>
        </w:rPr>
        <w:t>Добри общински практика:</w:t>
      </w:r>
    </w:p>
    <w:p w:rsidR="00CE3DF1" w:rsidRPr="00CE3DF1" w:rsidRDefault="00CE3DF1" w:rsidP="00CE3DF1">
      <w:pPr>
        <w:tabs>
          <w:tab w:val="left" w:pos="426"/>
        </w:tabs>
        <w:spacing w:after="0" w:line="276" w:lineRule="auto"/>
        <w:jc w:val="both"/>
        <w:rPr>
          <w:rFonts w:ascii="Times New Roman" w:eastAsia="Calibri" w:hAnsi="Times New Roman" w:cs="Times New Roman"/>
          <w:i/>
          <w:sz w:val="24"/>
          <w:szCs w:val="24"/>
        </w:rPr>
      </w:pPr>
      <w:r w:rsidRPr="00CE3DF1">
        <w:rPr>
          <w:rFonts w:ascii="Times New Roman" w:eastAsia="Calibri" w:hAnsi="Times New Roman" w:cs="Times New Roman"/>
          <w:i/>
          <w:sz w:val="24"/>
          <w:szCs w:val="24"/>
        </w:rPr>
        <w:t>Община Габрово</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shd w:val="clear" w:color="auto" w:fill="FFFFFF"/>
        </w:rPr>
      </w:pPr>
      <w:r w:rsidRPr="00CE3DF1">
        <w:rPr>
          <w:rFonts w:ascii="Times New Roman" w:eastAsia="Calibri" w:hAnsi="Times New Roman" w:cs="Times New Roman"/>
          <w:sz w:val="24"/>
          <w:szCs w:val="24"/>
          <w:shd w:val="clear" w:color="auto" w:fill="FFFFFF"/>
        </w:rPr>
        <w:t xml:space="preserve">Като част от дейностите по демонстрационен проект </w:t>
      </w:r>
      <w:r w:rsidRPr="00CE3DF1">
        <w:rPr>
          <w:rFonts w:ascii="Times New Roman" w:eastAsia="Calibri" w:hAnsi="Times New Roman" w:cs="Times New Roman"/>
          <w:sz w:val="24"/>
          <w:szCs w:val="24"/>
        </w:rPr>
        <w:t xml:space="preserve">№ </w:t>
      </w:r>
      <w:r w:rsidRPr="00CE3DF1">
        <w:rPr>
          <w:rFonts w:ascii="Times New Roman" w:eastAsia="Calibri" w:hAnsi="Times New Roman" w:cs="Times New Roman"/>
          <w:sz w:val="24"/>
          <w:szCs w:val="24"/>
          <w:shd w:val="clear" w:color="auto" w:fill="FFFFFF"/>
        </w:rPr>
        <w:t xml:space="preserve">BG16M1OP002-2.009-0057, „Изпълнение на пилотен демонстрационен проект в областта на управлението на отпадъците на територията на гр. Габрово“, община Габрово предвижда изграждането на четири площадки за споделено компостиране, разположени в Природоматематическа гимназия „Акад. Иван Гюзелев“; детска градина „Явор“; района </w:t>
      </w:r>
      <w:r w:rsidR="0073678A">
        <w:rPr>
          <w:rFonts w:ascii="Times New Roman" w:eastAsia="Calibri" w:hAnsi="Times New Roman" w:cs="Times New Roman"/>
          <w:sz w:val="24"/>
          <w:szCs w:val="24"/>
          <w:shd w:val="clear" w:color="auto" w:fill="FFFFFF"/>
        </w:rPr>
        <w:t>на ул. „Мир“; почивна база в к.</w:t>
      </w:r>
      <w:r w:rsidRPr="00CE3DF1">
        <w:rPr>
          <w:rFonts w:ascii="Times New Roman" w:eastAsia="Calibri" w:hAnsi="Times New Roman" w:cs="Times New Roman"/>
          <w:sz w:val="24"/>
          <w:szCs w:val="24"/>
          <w:shd w:val="clear" w:color="auto" w:fill="FFFFFF"/>
        </w:rPr>
        <w:t>к. Узана. Контейнерите за компост ще бъдат снабдени със система за аерация, изработени от устойчива на гниене дървесина.</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shd w:val="clear" w:color="auto" w:fill="FFFFFF"/>
        </w:rPr>
      </w:pPr>
      <w:r w:rsidRPr="00CE3DF1">
        <w:rPr>
          <w:rFonts w:ascii="Times New Roman" w:eastAsia="Calibri" w:hAnsi="Times New Roman" w:cs="Times New Roman"/>
          <w:sz w:val="24"/>
          <w:szCs w:val="24"/>
          <w:shd w:val="clear" w:color="auto" w:fill="FFFFFF"/>
        </w:rPr>
        <w:t>За домакинствата, попадащи в района на изградените споделени компостерни площадки, ще бъдат предоставени за ползване по време на проекта: двукомпонентен съд за битови отпадъци за домашна употреба; индивидуални съдове за биоотпадък за домашна употреба.</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shd w:val="clear" w:color="auto" w:fill="FFFFFF"/>
        </w:rPr>
      </w:pPr>
    </w:p>
    <w:p w:rsidR="00CE3DF1" w:rsidRPr="00CE3DF1" w:rsidRDefault="00CE3DF1" w:rsidP="00CE3DF1">
      <w:pPr>
        <w:tabs>
          <w:tab w:val="left" w:pos="426"/>
        </w:tabs>
        <w:spacing w:after="0" w:line="276" w:lineRule="auto"/>
        <w:jc w:val="both"/>
        <w:rPr>
          <w:rFonts w:ascii="Times New Roman" w:eastAsia="Calibri" w:hAnsi="Times New Roman" w:cs="Times New Roman"/>
          <w:i/>
          <w:sz w:val="24"/>
          <w:szCs w:val="24"/>
        </w:rPr>
      </w:pPr>
      <w:r w:rsidRPr="00CE3DF1">
        <w:rPr>
          <w:rFonts w:ascii="Times New Roman" w:eastAsia="Calibri" w:hAnsi="Times New Roman" w:cs="Times New Roman"/>
          <w:i/>
          <w:sz w:val="24"/>
          <w:szCs w:val="24"/>
        </w:rPr>
        <w:t>Община Трявна – „По-чист</w:t>
      </w:r>
      <w:r w:rsidR="0073678A">
        <w:rPr>
          <w:rFonts w:ascii="Times New Roman" w:eastAsia="Calibri" w:hAnsi="Times New Roman" w:cs="Times New Roman"/>
          <w:i/>
          <w:sz w:val="24"/>
          <w:szCs w:val="24"/>
        </w:rPr>
        <w:t>а Трявна  - разделно събиране в</w:t>
      </w:r>
      <w:r w:rsidRPr="00CE3DF1">
        <w:rPr>
          <w:rFonts w:ascii="Times New Roman" w:eastAsia="Calibri" w:hAnsi="Times New Roman" w:cs="Times New Roman"/>
          <w:i/>
          <w:sz w:val="24"/>
          <w:szCs w:val="24"/>
        </w:rPr>
        <w:t xml:space="preserve"> невидими контейнери“</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highlight w:val="yellow"/>
        </w:rPr>
      </w:pPr>
      <w:r w:rsidRPr="00CE3DF1">
        <w:rPr>
          <w:rFonts w:ascii="Times New Roman" w:eastAsia="Calibri" w:hAnsi="Times New Roman" w:cs="Times New Roman"/>
          <w:sz w:val="24"/>
          <w:szCs w:val="24"/>
          <w:shd w:val="clear" w:color="auto" w:fill="FFFFFF"/>
        </w:rPr>
        <w:t>Проект „По-чиста Трявна – разделно събиране в невидими контейнери” по процедура BG16M1OP002-2.009 „Изпълнение на демонстрационни проекти в областта на управлението на отпадъците“, предвижда да бъдат поставени 6 броя инсталации с по 4 контейнера за разделно събиране на отпадъци от подземен тип с цел предотвратяване на замърсяването и осигуряването на разделно събиране на отпадъци на обществени места. По два броя инсталации ще бъдат поставени в централната част на град Трявна и в района на двете детски градини в града, по една инсталация ще има в старинната част на Трявна и в централната част на град Плачковци.</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shd w:val="clear" w:color="auto" w:fill="FFFFFF"/>
        </w:rPr>
      </w:pPr>
      <w:r w:rsidRPr="00CE3DF1">
        <w:rPr>
          <w:rFonts w:ascii="Times New Roman" w:eastAsia="Calibri" w:hAnsi="Times New Roman" w:cs="Times New Roman"/>
          <w:sz w:val="24"/>
          <w:szCs w:val="24"/>
          <w:shd w:val="clear" w:color="auto" w:fill="FFFFFF"/>
        </w:rPr>
        <w:t xml:space="preserve">Съоръженията ще бъдат монтирани в тези райони с цел по-голяма публичност и обхват на населението и гостите на града. Всяка инсталация ще има по 4 отделни контейнера за разделно събиране на основните групи битов отпадък – хартия, пластмаса и метал; стъкло; битов отпадък и биоразградим отпадък. </w:t>
      </w:r>
    </w:p>
    <w:p w:rsidR="00CE3DF1" w:rsidRPr="00CE3DF1" w:rsidRDefault="00CE3DF1" w:rsidP="00CE3DF1">
      <w:pPr>
        <w:tabs>
          <w:tab w:val="left" w:pos="426"/>
        </w:tabs>
        <w:spacing w:after="0" w:line="276" w:lineRule="auto"/>
        <w:jc w:val="both"/>
        <w:rPr>
          <w:rFonts w:ascii="Times New Roman" w:eastAsia="Calibri" w:hAnsi="Times New Roman" w:cs="Times New Roman"/>
          <w:color w:val="333333"/>
          <w:sz w:val="24"/>
          <w:szCs w:val="24"/>
          <w:shd w:val="clear" w:color="auto" w:fill="FFFFFF"/>
        </w:rPr>
      </w:pP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i/>
          <w:sz w:val="24"/>
          <w:szCs w:val="24"/>
        </w:rPr>
        <w:t>Община Етрополе – „Преход към кръгова икономика чрез компостиране в домакинствата и в пилотни училища в община Етрополе</w:t>
      </w:r>
      <w:r w:rsidRPr="00CE3DF1">
        <w:rPr>
          <w:rFonts w:ascii="Times New Roman" w:eastAsia="Calibri" w:hAnsi="Times New Roman" w:cs="Times New Roman"/>
          <w:sz w:val="24"/>
          <w:szCs w:val="24"/>
        </w:rPr>
        <w:t>“</w:t>
      </w:r>
    </w:p>
    <w:p w:rsidR="00CE3DF1" w:rsidRPr="00CE3DF1" w:rsidRDefault="00CE3DF1" w:rsidP="00CE3D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ru-RU" w:eastAsia="en-GB"/>
        </w:rPr>
      </w:pPr>
      <w:r w:rsidRPr="00CE3DF1">
        <w:rPr>
          <w:rFonts w:ascii="Times New Roman" w:eastAsia="Times New Roman" w:hAnsi="Times New Roman" w:cs="Times New Roman"/>
          <w:sz w:val="24"/>
          <w:szCs w:val="24"/>
          <w:lang w:val="ru-RU" w:eastAsia="en-GB"/>
        </w:rPr>
        <w:t xml:space="preserve">Проектът „Преход към кръгова икономика чрез компостиране в домакинствата и в пилотни училища в община Етрополе“ </w:t>
      </w:r>
      <w:r w:rsidRPr="00CE3DF1">
        <w:rPr>
          <w:rFonts w:ascii="Times New Roman" w:eastAsia="Times New Roman" w:hAnsi="Times New Roman" w:cs="Times New Roman"/>
          <w:sz w:val="24"/>
          <w:szCs w:val="24"/>
          <w:lang w:eastAsia="en-GB"/>
        </w:rPr>
        <w:t xml:space="preserve">по процедура </w:t>
      </w:r>
      <w:r w:rsidRPr="00CE3DF1">
        <w:rPr>
          <w:rFonts w:ascii="Times New Roman" w:eastAsia="Calibri" w:hAnsi="Times New Roman" w:cs="Times New Roman"/>
          <w:sz w:val="24"/>
          <w:szCs w:val="24"/>
        </w:rPr>
        <w:t xml:space="preserve">№ </w:t>
      </w:r>
      <w:r w:rsidRPr="00CE3DF1">
        <w:rPr>
          <w:rFonts w:ascii="Times New Roman" w:eastAsia="Calibri" w:hAnsi="Times New Roman" w:cs="Times New Roman"/>
          <w:sz w:val="24"/>
          <w:szCs w:val="24"/>
          <w:shd w:val="clear" w:color="auto" w:fill="FFFFFF"/>
        </w:rPr>
        <w:t>BG16M1OP002-2.009</w:t>
      </w:r>
      <w:r w:rsidRPr="00CE3DF1">
        <w:rPr>
          <w:rFonts w:ascii="Times New Roman" w:eastAsia="Times New Roman" w:hAnsi="Times New Roman" w:cs="Times New Roman"/>
          <w:sz w:val="24"/>
          <w:szCs w:val="24"/>
          <w:lang w:eastAsia="en-GB"/>
        </w:rPr>
        <w:t xml:space="preserve"> </w:t>
      </w:r>
      <w:r w:rsidRPr="00CE3DF1">
        <w:rPr>
          <w:rFonts w:ascii="Times New Roman" w:eastAsia="Times New Roman" w:hAnsi="Times New Roman" w:cs="Times New Roman"/>
          <w:sz w:val="24"/>
          <w:szCs w:val="24"/>
          <w:lang w:val="ru-RU" w:eastAsia="en-GB"/>
        </w:rPr>
        <w:t xml:space="preserve">е насочен към предотвратяване образуването на твърди битови отпадъци (ТБО) и в частност намаляване количеството на биоразградими битови отпадъци (БрБО). Проектът ще </w:t>
      </w:r>
      <w:r w:rsidRPr="00CE3DF1">
        <w:rPr>
          <w:rFonts w:ascii="Times New Roman" w:eastAsia="Times New Roman" w:hAnsi="Times New Roman" w:cs="Times New Roman"/>
          <w:sz w:val="24"/>
          <w:szCs w:val="24"/>
          <w:lang w:val="ru-RU" w:eastAsia="en-GB"/>
        </w:rPr>
        <w:lastRenderedPageBreak/>
        <w:t>обхване цялата община Етрополе - гр. Етрополе, селата Брусен, Бойковец, Лопян, Лъга, Рибарица, Ямна и Малки Искър.</w:t>
      </w:r>
    </w:p>
    <w:p w:rsidR="00CE3DF1" w:rsidRPr="00CE3DF1" w:rsidRDefault="00CE3DF1" w:rsidP="00CE3D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en-GB"/>
        </w:rPr>
      </w:pPr>
      <w:r w:rsidRPr="00CE3DF1">
        <w:rPr>
          <w:rFonts w:ascii="Times New Roman" w:eastAsia="Times New Roman" w:hAnsi="Times New Roman" w:cs="Times New Roman"/>
          <w:sz w:val="24"/>
          <w:szCs w:val="24"/>
          <w:lang w:val="ru-RU" w:eastAsia="en-GB"/>
        </w:rPr>
        <w:t xml:space="preserve">За изпълнение на проекта е избрана за приложение добрата практика за компостиране в общността и домакинствата, въведена от община Шембъри, Франция. </w:t>
      </w:r>
      <w:r w:rsidRPr="00CE3DF1">
        <w:rPr>
          <w:rFonts w:ascii="Times New Roman" w:eastAsia="Times New Roman" w:hAnsi="Times New Roman" w:cs="Times New Roman"/>
          <w:sz w:val="24"/>
          <w:szCs w:val="24"/>
          <w:lang w:eastAsia="en-GB"/>
        </w:rPr>
        <w:t>Проекта предвижда:</w:t>
      </w:r>
    </w:p>
    <w:p w:rsidR="00CE3DF1" w:rsidRPr="00CE3DF1" w:rsidRDefault="00CE3DF1" w:rsidP="00CE3DF1">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Times New Roman" w:eastAsia="Times New Roman" w:hAnsi="Times New Roman" w:cs="Times New Roman"/>
          <w:sz w:val="24"/>
          <w:szCs w:val="24"/>
          <w:lang w:val="ru-RU" w:eastAsia="en-GB"/>
        </w:rPr>
      </w:pPr>
      <w:r w:rsidRPr="00CE3DF1">
        <w:rPr>
          <w:rFonts w:ascii="Times New Roman" w:eastAsia="Times New Roman" w:hAnsi="Times New Roman" w:cs="Times New Roman"/>
          <w:sz w:val="24"/>
          <w:szCs w:val="24"/>
          <w:lang w:val="ru-RU" w:eastAsia="en-GB"/>
        </w:rPr>
        <w:t>Оборудване на две зелени класни стаи с цел създаване на условия и методология за въвеждане на Демонстрационна образователна програма в двете пилотни училища в общинна Етрополе: Основно училище „Христо Ботев“</w:t>
      </w:r>
      <w:r w:rsidRPr="00CE3DF1">
        <w:rPr>
          <w:rFonts w:ascii="Times New Roman" w:eastAsia="Times New Roman" w:hAnsi="Times New Roman" w:cs="Times New Roman"/>
          <w:sz w:val="24"/>
          <w:szCs w:val="24"/>
          <w:lang w:eastAsia="en-GB"/>
        </w:rPr>
        <w:t xml:space="preserve"> </w:t>
      </w:r>
      <w:r w:rsidRPr="00CE3DF1">
        <w:rPr>
          <w:rFonts w:ascii="Times New Roman" w:eastAsia="Times New Roman" w:hAnsi="Times New Roman" w:cs="Times New Roman"/>
          <w:sz w:val="24"/>
          <w:szCs w:val="24"/>
          <w:lang w:val="ru-RU" w:eastAsia="en-GB"/>
        </w:rPr>
        <w:t>и Средно Училище „Христо Ясенов“. Целта е повишаване на знанията на ученици от 1 до 8 клас за компостиране и превенция, разделно събиране и удължаване живота на разделно събрани отпадъци;</w:t>
      </w:r>
    </w:p>
    <w:p w:rsidR="00CE3DF1" w:rsidRPr="00CE3DF1" w:rsidRDefault="00CE3DF1" w:rsidP="00CE3DF1">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Times New Roman" w:eastAsia="Times New Roman" w:hAnsi="Times New Roman" w:cs="Times New Roman"/>
          <w:sz w:val="24"/>
          <w:szCs w:val="24"/>
          <w:lang w:val="ru-RU" w:eastAsia="en-GB"/>
        </w:rPr>
      </w:pPr>
      <w:r w:rsidRPr="00CE3DF1">
        <w:rPr>
          <w:rFonts w:ascii="Times New Roman" w:eastAsia="Times New Roman" w:hAnsi="Times New Roman" w:cs="Times New Roman"/>
          <w:sz w:val="24"/>
          <w:szCs w:val="24"/>
          <w:lang w:val="ru-RU" w:eastAsia="en-GB"/>
        </w:rPr>
        <w:t>Оборудване на училищните дворове с Демонстрационни компостиращи системи и включването на учениците, учителите и родителите в различни активности, свързани с превенция на генерирането на ТБО;</w:t>
      </w:r>
    </w:p>
    <w:p w:rsidR="00CE3DF1" w:rsidRPr="00CE3DF1" w:rsidRDefault="00CE3DF1" w:rsidP="00CE3DF1">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Times New Roman" w:eastAsia="Times New Roman" w:hAnsi="Times New Roman" w:cs="Times New Roman"/>
          <w:sz w:val="24"/>
          <w:szCs w:val="24"/>
          <w:lang w:val="ru-RU" w:eastAsia="en-GB"/>
        </w:rPr>
      </w:pPr>
      <w:r w:rsidRPr="00CE3DF1">
        <w:rPr>
          <w:rFonts w:ascii="Times New Roman" w:eastAsia="Times New Roman" w:hAnsi="Times New Roman" w:cs="Times New Roman"/>
          <w:sz w:val="24"/>
          <w:szCs w:val="24"/>
          <w:lang w:val="ru-RU" w:eastAsia="en-GB"/>
        </w:rPr>
        <w:t>Предоставяне на съдове за компостиране на 200 домакинства на територията на селата в община Етрополе, с цел въвеждане и изпълнение на Програма за домашно компостиране;</w:t>
      </w:r>
    </w:p>
    <w:p w:rsidR="00CE3DF1" w:rsidRPr="00CE3DF1" w:rsidRDefault="00CE3DF1" w:rsidP="00CE3DF1">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Times New Roman" w:eastAsia="Times New Roman" w:hAnsi="Times New Roman" w:cs="Times New Roman"/>
          <w:sz w:val="24"/>
          <w:szCs w:val="24"/>
          <w:lang w:val="ru-RU" w:eastAsia="en-GB"/>
        </w:rPr>
      </w:pPr>
      <w:r w:rsidRPr="00CE3DF1">
        <w:rPr>
          <w:rFonts w:ascii="Times New Roman" w:eastAsia="Times New Roman" w:hAnsi="Times New Roman" w:cs="Times New Roman"/>
          <w:sz w:val="24"/>
          <w:szCs w:val="24"/>
          <w:lang w:val="ru-RU" w:eastAsia="en-GB"/>
        </w:rPr>
        <w:t>Изготвяне на наръчници за компоститане в домакинствата</w:t>
      </w:r>
    </w:p>
    <w:p w:rsidR="00CE3DF1" w:rsidRPr="00CE3DF1" w:rsidRDefault="00CE3DF1" w:rsidP="00CE3DF1">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Times New Roman" w:eastAsia="Times New Roman" w:hAnsi="Times New Roman" w:cs="Times New Roman"/>
          <w:sz w:val="24"/>
          <w:szCs w:val="24"/>
          <w:lang w:val="ru-RU" w:eastAsia="en-GB"/>
        </w:rPr>
      </w:pPr>
      <w:r w:rsidRPr="00CE3DF1">
        <w:rPr>
          <w:rFonts w:ascii="Times New Roman" w:eastAsia="Times New Roman" w:hAnsi="Times New Roman" w:cs="Times New Roman"/>
          <w:sz w:val="24"/>
          <w:szCs w:val="24"/>
          <w:lang w:val="ru-RU" w:eastAsia="en-GB"/>
        </w:rPr>
        <w:t xml:space="preserve"> Провеждане на обучения на лицата, които ще използват съответните материални активи (контейнери за компостиране в общността и домакинствата) за целите на изпълнение на добрата практика;</w:t>
      </w:r>
    </w:p>
    <w:p w:rsidR="00CE3DF1" w:rsidRPr="00CE3DF1" w:rsidRDefault="00CE3DF1" w:rsidP="00CE3D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sz w:val="24"/>
          <w:szCs w:val="24"/>
          <w:highlight w:val="yellow"/>
        </w:rPr>
      </w:pPr>
    </w:p>
    <w:p w:rsidR="00CE3DF1" w:rsidRPr="00CE3DF1" w:rsidRDefault="00CE3DF1" w:rsidP="00CE3DF1">
      <w:pPr>
        <w:tabs>
          <w:tab w:val="left" w:pos="426"/>
        </w:tabs>
        <w:spacing w:after="0" w:line="276" w:lineRule="auto"/>
        <w:jc w:val="both"/>
        <w:rPr>
          <w:rFonts w:ascii="Times New Roman" w:eastAsia="Calibri" w:hAnsi="Times New Roman" w:cs="Times New Roman"/>
          <w:i/>
          <w:sz w:val="24"/>
          <w:szCs w:val="24"/>
        </w:rPr>
      </w:pPr>
      <w:r w:rsidRPr="00CE3DF1">
        <w:rPr>
          <w:rFonts w:ascii="Times New Roman" w:eastAsia="Calibri" w:hAnsi="Times New Roman" w:cs="Times New Roman"/>
          <w:i/>
          <w:sz w:val="24"/>
          <w:szCs w:val="24"/>
        </w:rPr>
        <w:t>Община Белене – „Не изхвърляй -  компостирай“</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shd w:val="clear" w:color="auto" w:fill="FFFFFF"/>
        </w:rPr>
      </w:pPr>
      <w:r w:rsidRPr="00CE3DF1">
        <w:rPr>
          <w:rFonts w:ascii="Times New Roman" w:eastAsia="Calibri" w:hAnsi="Times New Roman" w:cs="Times New Roman"/>
          <w:sz w:val="24"/>
          <w:szCs w:val="24"/>
          <w:shd w:val="clear" w:color="auto" w:fill="FFFFFF"/>
        </w:rPr>
        <w:t>Демонстрационен проект „Не изхвърляй – компостирай“ има за цел  да повиши осведомеността и общественото самосъзнание за спазване на йерархията за управление на битовите отпадъци, чрез въвеждане на домашно и обществено компостиране за предотвратяване на биоразградимия отпадък и чрез организиране на обучения и специализирани събития за изработване на вещи от отпадъци с цел повторна употреба за цялостно намаляване на депонираните битови отпадъци, генерирани на територията на община Белене.</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shd w:val="clear" w:color="auto" w:fill="FFFFFF"/>
        </w:rPr>
      </w:pPr>
      <w:r w:rsidRPr="00CE3DF1">
        <w:rPr>
          <w:rFonts w:ascii="Times New Roman" w:eastAsia="Calibri" w:hAnsi="Times New Roman" w:cs="Times New Roman"/>
          <w:b/>
          <w:bCs/>
          <w:sz w:val="24"/>
          <w:szCs w:val="24"/>
          <w:shd w:val="clear" w:color="auto" w:fill="FFFFFF"/>
        </w:rPr>
        <w:t>Основните дейности </w:t>
      </w:r>
      <w:r w:rsidRPr="00CE3DF1">
        <w:rPr>
          <w:rFonts w:ascii="Times New Roman" w:eastAsia="Calibri" w:hAnsi="Times New Roman" w:cs="Times New Roman"/>
          <w:sz w:val="24"/>
          <w:szCs w:val="24"/>
          <w:shd w:val="clear" w:color="auto" w:fill="FFFFFF"/>
        </w:rPr>
        <w:t>по проекта са свързани с поставяне на компостери с различен обем за компостиране на място в домакинства в цялата община, детски градини и училища, както и на обществени места – в зелените площи на Белене. За успешното реализиране на поставените цели по проекта ще се проведат обучения за домашно компостиране за всички целеви групи, пряко засегнати от резултатите на проекта.</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shd w:val="clear" w:color="auto" w:fill="FFFFFF"/>
        </w:rPr>
      </w:pPr>
    </w:p>
    <w:p w:rsidR="00CE3DF1" w:rsidRPr="00CE3DF1" w:rsidRDefault="00CE3DF1" w:rsidP="00CE3DF1">
      <w:pPr>
        <w:tabs>
          <w:tab w:val="left" w:pos="426"/>
        </w:tabs>
        <w:spacing w:after="0" w:line="276" w:lineRule="auto"/>
        <w:jc w:val="both"/>
        <w:rPr>
          <w:rFonts w:ascii="Times New Roman" w:eastAsia="Calibri" w:hAnsi="Times New Roman" w:cs="Times New Roman"/>
          <w:b/>
          <w:i/>
          <w:sz w:val="24"/>
          <w:szCs w:val="24"/>
          <w:shd w:val="clear" w:color="auto" w:fill="FFFFFF"/>
        </w:rPr>
      </w:pPr>
      <w:r w:rsidRPr="00CE3DF1">
        <w:rPr>
          <w:rFonts w:ascii="Times New Roman" w:eastAsia="Calibri" w:hAnsi="Times New Roman" w:cs="Times New Roman"/>
          <w:b/>
          <w:i/>
          <w:sz w:val="24"/>
          <w:szCs w:val="24"/>
          <w:shd w:val="clear" w:color="auto" w:fill="FFFFFF"/>
        </w:rPr>
        <w:t>Добри общински практики на европейски ниво:</w:t>
      </w:r>
    </w:p>
    <w:p w:rsidR="00CE3DF1" w:rsidRPr="00CE3DF1" w:rsidRDefault="00CE3DF1" w:rsidP="00CE3DF1">
      <w:pPr>
        <w:tabs>
          <w:tab w:val="left" w:pos="426"/>
        </w:tabs>
        <w:spacing w:after="0" w:line="276" w:lineRule="auto"/>
        <w:jc w:val="both"/>
        <w:rPr>
          <w:rFonts w:ascii="Times New Roman" w:eastAsia="Calibri" w:hAnsi="Times New Roman" w:cs="Times New Roman"/>
          <w:i/>
          <w:sz w:val="24"/>
          <w:szCs w:val="24"/>
          <w:shd w:val="clear" w:color="auto" w:fill="FFFFFF"/>
        </w:rPr>
      </w:pPr>
      <w:r w:rsidRPr="00CE3DF1">
        <w:rPr>
          <w:rFonts w:ascii="Times New Roman" w:eastAsia="Calibri" w:hAnsi="Times New Roman" w:cs="Times New Roman"/>
          <w:i/>
          <w:sz w:val="24"/>
          <w:szCs w:val="24"/>
          <w:shd w:val="clear" w:color="auto" w:fill="FFFFFF"/>
        </w:rPr>
        <w:t>Брюксел, Белгия – „Насърчаване на децентрализирано компостиране“</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shd w:val="clear" w:color="auto" w:fill="FFFFFF"/>
        </w:rPr>
      </w:pPr>
      <w:r w:rsidRPr="00CE3DF1">
        <w:rPr>
          <w:rFonts w:ascii="Times New Roman" w:eastAsia="Calibri" w:hAnsi="Times New Roman" w:cs="Times New Roman"/>
          <w:sz w:val="24"/>
          <w:szCs w:val="24"/>
        </w:rPr>
        <w:t>Регион Брюксел-столица насърчава децентрализираното компостиране под нейна юрисдикция. Целта на проекта е да се намалят градински отпадъци до 12 кг/жител/годишно до 2020 г., постигайки целта на Плана за управление на отпадъците от 2010. Местните власти предлагат съвети и подкрепа под формата на ръководство за компостиране, мрежа от учители по компостиране, демонстрационни обекти и предоставяне на субсидирано оборудване за компостиране.</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shd w:val="clear" w:color="auto" w:fill="FFFFFF"/>
        </w:rPr>
      </w:pPr>
    </w:p>
    <w:p w:rsidR="00CE3DF1" w:rsidRPr="00CE3DF1" w:rsidRDefault="00CE3DF1" w:rsidP="00CE3DF1">
      <w:pPr>
        <w:tabs>
          <w:tab w:val="left" w:pos="426"/>
        </w:tabs>
        <w:spacing w:after="0" w:line="276" w:lineRule="auto"/>
        <w:jc w:val="both"/>
        <w:rPr>
          <w:rFonts w:ascii="Times New Roman" w:eastAsia="Calibri" w:hAnsi="Times New Roman" w:cs="Times New Roman"/>
          <w:i/>
          <w:sz w:val="24"/>
          <w:szCs w:val="24"/>
        </w:rPr>
      </w:pPr>
      <w:r w:rsidRPr="00CE3DF1">
        <w:rPr>
          <w:rFonts w:ascii="Times New Roman" w:eastAsia="Calibri" w:hAnsi="Times New Roman" w:cs="Times New Roman"/>
          <w:i/>
          <w:sz w:val="24"/>
          <w:szCs w:val="24"/>
        </w:rPr>
        <w:t>Северен Лондон, Великобритания – „Обичай храната, мрази отпадъка“</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Обичай храната, мрази отпадъка, реализирана в Северен Лондон, 2009-2010 е цялостна кампания за повишаване на осведомеността и информираността с цел намаляване на отпадъците от храна, основана на успешна широка комуникационна кампания във Великобритания. Тя включва различни дейности, включително пътно шоу за хранителни отпадъци, състезания на рецепти, общински работни срещи, събития с местния бизнес. Много добре приетата, инициативата е мотивирала жителите да променят навиците си, като им е дала да следват примери от техните собствени общности.</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p>
    <w:p w:rsidR="00CE3DF1" w:rsidRPr="00CE3DF1" w:rsidRDefault="00CE3DF1" w:rsidP="00CE3DF1">
      <w:pPr>
        <w:tabs>
          <w:tab w:val="left" w:pos="426"/>
        </w:tabs>
        <w:spacing w:after="0" w:line="276" w:lineRule="auto"/>
        <w:jc w:val="both"/>
        <w:rPr>
          <w:rFonts w:ascii="Times New Roman" w:eastAsia="Calibri" w:hAnsi="Times New Roman" w:cs="Times New Roman"/>
          <w:i/>
          <w:sz w:val="24"/>
          <w:szCs w:val="24"/>
        </w:rPr>
      </w:pPr>
      <w:r w:rsidRPr="00CE3DF1">
        <w:rPr>
          <w:rFonts w:ascii="Times New Roman" w:eastAsia="Calibri" w:hAnsi="Times New Roman" w:cs="Times New Roman"/>
          <w:i/>
          <w:sz w:val="24"/>
          <w:szCs w:val="24"/>
        </w:rPr>
        <w:t>Халмстад, Швеция – „Измерване  на храните в училище“</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С цел да се намали количеството храна, изхвърляна всяка седмица в началните и средните училища, община Халмстад стартира кампания през 2009 година. Кампанията включва претегляне на изхвърлената храна в периоди от 2-3 седмици и повишаване на осведомеността на децата чрез плакати, брошури и информ</w:t>
      </w:r>
      <w:r w:rsidR="00DA0297">
        <w:rPr>
          <w:rFonts w:ascii="Times New Roman" w:eastAsia="Calibri" w:hAnsi="Times New Roman" w:cs="Times New Roman"/>
          <w:sz w:val="24"/>
          <w:szCs w:val="24"/>
        </w:rPr>
        <w:t>а</w:t>
      </w:r>
      <w:r w:rsidRPr="00CE3DF1">
        <w:rPr>
          <w:rFonts w:ascii="Times New Roman" w:eastAsia="Calibri" w:hAnsi="Times New Roman" w:cs="Times New Roman"/>
          <w:sz w:val="24"/>
          <w:szCs w:val="24"/>
        </w:rPr>
        <w:t>ция от учителите и активно участие на кухненския персонал. В края на кампанията, количеството на хранителните отпадъци е намаляло с 11%,  което остава постоянно.</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u w:val="single"/>
        </w:rPr>
      </w:pPr>
      <w:r w:rsidRPr="00CE3DF1">
        <w:rPr>
          <w:rFonts w:ascii="Times New Roman" w:eastAsia="Calibri" w:hAnsi="Times New Roman" w:cs="Times New Roman"/>
          <w:sz w:val="24"/>
          <w:szCs w:val="24"/>
          <w:u w:val="single"/>
        </w:rPr>
        <w:t>Препоръки:</w:t>
      </w:r>
    </w:p>
    <w:p w:rsidR="00CE3DF1" w:rsidRPr="00CE3DF1" w:rsidRDefault="00CE3DF1" w:rsidP="00CE3DF1">
      <w:pPr>
        <w:numPr>
          <w:ilvl w:val="0"/>
          <w:numId w:val="16"/>
        </w:numPr>
        <w:tabs>
          <w:tab w:val="left" w:pos="567"/>
        </w:tabs>
        <w:spacing w:after="200" w:line="276" w:lineRule="auto"/>
        <w:contextualSpacing/>
        <w:jc w:val="both"/>
        <w:rPr>
          <w:rFonts w:ascii="Times New Roman" w:eastAsia="Times New Roman" w:hAnsi="Times New Roman" w:cs="Times New Roman"/>
          <w:sz w:val="24"/>
          <w:szCs w:val="24"/>
          <w:bdr w:val="none" w:sz="0" w:space="0" w:color="auto" w:frame="1"/>
          <w:lang w:eastAsia="bg-BG"/>
        </w:rPr>
      </w:pPr>
      <w:r w:rsidRPr="00CE3DF1">
        <w:rPr>
          <w:rFonts w:ascii="Times New Roman" w:eastAsia="Calibri" w:hAnsi="Times New Roman" w:cs="Times New Roman"/>
          <w:sz w:val="24"/>
          <w:szCs w:val="24"/>
        </w:rPr>
        <w:t>Създ</w:t>
      </w:r>
      <w:r w:rsidR="00DA0297">
        <w:rPr>
          <w:rFonts w:ascii="Times New Roman" w:eastAsia="Calibri" w:hAnsi="Times New Roman" w:cs="Times New Roman"/>
          <w:sz w:val="24"/>
          <w:szCs w:val="24"/>
        </w:rPr>
        <w:t>а</w:t>
      </w:r>
      <w:r w:rsidRPr="00CE3DF1">
        <w:rPr>
          <w:rFonts w:ascii="Times New Roman" w:eastAsia="Calibri" w:hAnsi="Times New Roman" w:cs="Times New Roman"/>
          <w:sz w:val="24"/>
          <w:szCs w:val="24"/>
        </w:rPr>
        <w:t>йте интерактивни обучения на домакинствата за разделяне на биоотпадъка при източника. Тези обучения следва да се извършват на място, по квартали и клубове с демонстриране на видовете отпадъци, които следва да се отделят. Препоръчително е провеждането на различни игри и състезания между домакинства като например „Най-вкусно ястие с най-малко отпадъци“ или „Повече от по-малко“ и други аналогични, осигуряващи участието на цялото семейство по един приятен и полезен начин.</w:t>
      </w:r>
    </w:p>
    <w:p w:rsidR="00CE3DF1" w:rsidRPr="00CE3DF1" w:rsidRDefault="00CE3DF1" w:rsidP="00CE3DF1">
      <w:pPr>
        <w:numPr>
          <w:ilvl w:val="0"/>
          <w:numId w:val="16"/>
        </w:numPr>
        <w:tabs>
          <w:tab w:val="left" w:pos="567"/>
        </w:tabs>
        <w:spacing w:after="200" w:line="276" w:lineRule="auto"/>
        <w:contextualSpacing/>
        <w:jc w:val="both"/>
        <w:rPr>
          <w:rFonts w:ascii="Times New Roman" w:eastAsia="Times New Roman" w:hAnsi="Times New Roman" w:cs="Times New Roman"/>
          <w:sz w:val="24"/>
          <w:szCs w:val="24"/>
          <w:bdr w:val="none" w:sz="0" w:space="0" w:color="auto" w:frame="1"/>
          <w:lang w:eastAsia="bg-BG"/>
        </w:rPr>
      </w:pPr>
      <w:r w:rsidRPr="00CE3DF1">
        <w:rPr>
          <w:rFonts w:ascii="Times New Roman" w:eastAsia="Calibri" w:hAnsi="Times New Roman" w:cs="Times New Roman"/>
          <w:sz w:val="24"/>
          <w:szCs w:val="24"/>
        </w:rPr>
        <w:t>Домашно и квартално компостиране – можете да насърчите домашното и квартално компостиране,</w:t>
      </w:r>
      <w:r w:rsidR="00DA0297">
        <w:rPr>
          <w:rFonts w:ascii="Times New Roman" w:eastAsia="Calibri" w:hAnsi="Times New Roman" w:cs="Times New Roman"/>
          <w:sz w:val="24"/>
          <w:szCs w:val="24"/>
        </w:rPr>
        <w:t xml:space="preserve"> </w:t>
      </w:r>
      <w:r w:rsidRPr="00CE3DF1">
        <w:rPr>
          <w:rFonts w:ascii="Times New Roman" w:eastAsia="Calibri" w:hAnsi="Times New Roman" w:cs="Times New Roman"/>
          <w:sz w:val="24"/>
          <w:szCs w:val="24"/>
        </w:rPr>
        <w:t>чрез намаление на таксата „Битови отпадъци“ за хора, които компостират биоотпадъците си.</w:t>
      </w:r>
    </w:p>
    <w:p w:rsidR="00CE3DF1" w:rsidRPr="00CE3DF1" w:rsidRDefault="00CE3DF1" w:rsidP="00CE3DF1">
      <w:pPr>
        <w:tabs>
          <w:tab w:val="left" w:pos="567"/>
        </w:tabs>
        <w:spacing w:after="200" w:line="276" w:lineRule="auto"/>
        <w:ind w:left="720"/>
        <w:contextualSpacing/>
        <w:jc w:val="both"/>
        <w:rPr>
          <w:rFonts w:ascii="Times New Roman" w:eastAsia="Times New Roman" w:hAnsi="Times New Roman" w:cs="Times New Roman"/>
          <w:sz w:val="24"/>
          <w:szCs w:val="24"/>
          <w:bdr w:val="none" w:sz="0" w:space="0" w:color="auto" w:frame="1"/>
          <w:lang w:eastAsia="bg-BG"/>
        </w:rPr>
      </w:pPr>
    </w:p>
    <w:p w:rsidR="00CE3DF1" w:rsidRPr="00CE3DF1" w:rsidRDefault="00CE3DF1" w:rsidP="00CE3DF1">
      <w:pPr>
        <w:numPr>
          <w:ilvl w:val="1"/>
          <w:numId w:val="8"/>
        </w:numPr>
        <w:spacing w:after="0" w:line="276" w:lineRule="auto"/>
        <w:jc w:val="both"/>
        <w:rPr>
          <w:rFonts w:ascii="Times New Roman" w:eastAsia="Calibri" w:hAnsi="Times New Roman" w:cs="Times New Roman"/>
          <w:b/>
          <w:sz w:val="24"/>
          <w:szCs w:val="24"/>
        </w:rPr>
      </w:pPr>
      <w:r w:rsidRPr="00CE3DF1">
        <w:rPr>
          <w:rFonts w:ascii="Times New Roman" w:eastAsia="Calibri" w:hAnsi="Times New Roman" w:cs="Times New Roman"/>
          <w:b/>
          <w:sz w:val="24"/>
          <w:szCs w:val="24"/>
        </w:rPr>
        <w:t>Управление на масово разпространени отпадъци (МРО)</w:t>
      </w:r>
    </w:p>
    <w:p w:rsidR="00CE3DF1" w:rsidRPr="00CE3DF1" w:rsidRDefault="00CE3DF1" w:rsidP="00CE3DF1">
      <w:pPr>
        <w:spacing w:after="0" w:line="276" w:lineRule="auto"/>
        <w:jc w:val="both"/>
        <w:rPr>
          <w:rFonts w:ascii="Times New Roman" w:eastAsia="Calibri" w:hAnsi="Times New Roman" w:cs="Times New Roman"/>
          <w:b/>
          <w:sz w:val="24"/>
          <w:szCs w:val="24"/>
        </w:rPr>
      </w:pPr>
      <w:r w:rsidRPr="00CE3DF1">
        <w:rPr>
          <w:rFonts w:ascii="Times New Roman" w:eastAsia="Calibri" w:hAnsi="Times New Roman" w:cs="Times New Roman"/>
          <w:sz w:val="24"/>
          <w:szCs w:val="24"/>
          <w:lang w:val="ru-RU"/>
        </w:rPr>
        <w:t xml:space="preserve">Системата за разделно събиране </w:t>
      </w:r>
      <w:r w:rsidRPr="00CE3DF1">
        <w:rPr>
          <w:rFonts w:ascii="Times New Roman" w:eastAsia="Calibri" w:hAnsi="Times New Roman" w:cs="Times New Roman"/>
          <w:sz w:val="24"/>
          <w:szCs w:val="24"/>
        </w:rPr>
        <w:t xml:space="preserve">на МРО </w:t>
      </w:r>
      <w:r w:rsidRPr="00CE3DF1">
        <w:rPr>
          <w:rFonts w:ascii="Times New Roman" w:eastAsia="Calibri" w:hAnsi="Times New Roman" w:cs="Times New Roman"/>
          <w:sz w:val="24"/>
          <w:szCs w:val="24"/>
          <w:lang w:val="ru-RU"/>
        </w:rPr>
        <w:t>се организира в съответствие с принципа „разширена отговорност на производителя “–</w:t>
      </w:r>
      <w:r w:rsidRPr="00CE3DF1">
        <w:rPr>
          <w:rFonts w:ascii="Times New Roman" w:eastAsia="Calibri" w:hAnsi="Times New Roman" w:cs="Times New Roman"/>
          <w:sz w:val="24"/>
          <w:szCs w:val="24"/>
        </w:rPr>
        <w:t xml:space="preserve"> </w:t>
      </w:r>
      <w:r w:rsidRPr="00CE3DF1">
        <w:rPr>
          <w:rFonts w:ascii="Times New Roman" w:eastAsia="Calibri" w:hAnsi="Times New Roman" w:cs="Times New Roman"/>
          <w:sz w:val="24"/>
          <w:szCs w:val="24"/>
          <w:lang w:val="ru-RU"/>
        </w:rPr>
        <w:t>чрез сключване на договори между общината и организации по оползотворяване</w:t>
      </w:r>
      <w:r w:rsidRPr="00CE3DF1">
        <w:rPr>
          <w:rFonts w:ascii="Times New Roman" w:eastAsia="Calibri" w:hAnsi="Times New Roman" w:cs="Times New Roman"/>
          <w:sz w:val="24"/>
          <w:szCs w:val="24"/>
        </w:rPr>
        <w:t>:</w:t>
      </w:r>
    </w:p>
    <w:p w:rsidR="00CE3DF1" w:rsidRPr="00CE3DF1" w:rsidRDefault="00CE3DF1" w:rsidP="00CE3DF1">
      <w:pPr>
        <w:numPr>
          <w:ilvl w:val="0"/>
          <w:numId w:val="17"/>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 xml:space="preserve">отпадъци </w:t>
      </w:r>
      <w:r w:rsidRPr="00CE3DF1">
        <w:rPr>
          <w:rFonts w:ascii="Times New Roman" w:eastAsia="Calibri" w:hAnsi="Times New Roman" w:cs="Times New Roman"/>
          <w:sz w:val="24"/>
          <w:szCs w:val="24"/>
          <w:lang w:val="en-US"/>
        </w:rPr>
        <w:t xml:space="preserve">от опаковки, </w:t>
      </w:r>
    </w:p>
    <w:p w:rsidR="00CE3DF1" w:rsidRPr="00CE3DF1" w:rsidRDefault="00CE3DF1" w:rsidP="00CE3DF1">
      <w:pPr>
        <w:numPr>
          <w:ilvl w:val="0"/>
          <w:numId w:val="17"/>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lang w:val="ru-RU"/>
        </w:rPr>
        <w:t xml:space="preserve">излязло от употреба електрическо и електронно оборудване (ИУЕЕО), </w:t>
      </w:r>
    </w:p>
    <w:p w:rsidR="00CE3DF1" w:rsidRPr="00CE3DF1" w:rsidRDefault="00CE3DF1" w:rsidP="00CE3DF1">
      <w:pPr>
        <w:numPr>
          <w:ilvl w:val="0"/>
          <w:numId w:val="17"/>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lang w:val="ru-RU"/>
        </w:rPr>
        <w:t xml:space="preserve">негодни за употреба батерии и акумулатори (НУБА), </w:t>
      </w:r>
    </w:p>
    <w:p w:rsidR="00CE3DF1" w:rsidRPr="00CE3DF1" w:rsidRDefault="00CE3DF1" w:rsidP="00CE3DF1">
      <w:pPr>
        <w:numPr>
          <w:ilvl w:val="0"/>
          <w:numId w:val="17"/>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lang w:val="ru-RU"/>
        </w:rPr>
        <w:t xml:space="preserve">излезли от употреба моторни превозни средства (ИУМПС), </w:t>
      </w:r>
    </w:p>
    <w:p w:rsidR="00CE3DF1" w:rsidRDefault="00CE3DF1" w:rsidP="00CE3DF1">
      <w:pPr>
        <w:numPr>
          <w:ilvl w:val="0"/>
          <w:numId w:val="17"/>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lang w:val="ru-RU"/>
        </w:rPr>
        <w:t>отработени масла, излезли от употреба гуми</w:t>
      </w:r>
      <w:r w:rsidRPr="00CE3DF1">
        <w:rPr>
          <w:rFonts w:ascii="Times New Roman" w:eastAsia="Calibri" w:hAnsi="Times New Roman" w:cs="Times New Roman"/>
          <w:sz w:val="24"/>
          <w:szCs w:val="24"/>
        </w:rPr>
        <w:t>.</w:t>
      </w:r>
    </w:p>
    <w:p w:rsidR="0073678A" w:rsidRPr="0073678A" w:rsidRDefault="0073678A" w:rsidP="00CE3DF1">
      <w:pPr>
        <w:numPr>
          <w:ilvl w:val="0"/>
          <w:numId w:val="17"/>
        </w:numPr>
        <w:tabs>
          <w:tab w:val="left" w:pos="426"/>
        </w:tabs>
        <w:spacing w:after="0" w:line="276" w:lineRule="auto"/>
        <w:jc w:val="both"/>
        <w:rPr>
          <w:rFonts w:ascii="Times New Roman" w:eastAsia="Calibri" w:hAnsi="Times New Roman" w:cs="Times New Roman"/>
          <w:color w:val="5B9BD5" w:themeColor="accent1"/>
          <w:sz w:val="24"/>
          <w:szCs w:val="24"/>
        </w:rPr>
      </w:pPr>
      <w:r w:rsidRPr="0073678A">
        <w:rPr>
          <w:rFonts w:ascii="Times New Roman" w:eastAsia="Calibri" w:hAnsi="Times New Roman" w:cs="Times New Roman"/>
          <w:color w:val="5B9BD5" w:themeColor="accent1"/>
          <w:sz w:val="24"/>
          <w:szCs w:val="24"/>
        </w:rPr>
        <w:t>отпадъци от обувки и текстил от домакинствата</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Към момента в България се използват следните схеми за разделно събиране на масово разпространени отпадъци:</w:t>
      </w:r>
    </w:p>
    <w:p w:rsidR="00CE3DF1" w:rsidRPr="00CE3DF1" w:rsidRDefault="0073678A" w:rsidP="00CE3DF1">
      <w:pPr>
        <w:numPr>
          <w:ilvl w:val="0"/>
          <w:numId w:val="17"/>
        </w:numPr>
        <w:tabs>
          <w:tab w:val="left" w:pos="426"/>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фикси</w:t>
      </w:r>
      <w:r w:rsidR="00CE3DF1" w:rsidRPr="00CE3DF1">
        <w:rPr>
          <w:rFonts w:ascii="Times New Roman" w:eastAsia="Calibri" w:hAnsi="Times New Roman" w:cs="Times New Roman"/>
          <w:sz w:val="24"/>
          <w:szCs w:val="24"/>
        </w:rPr>
        <w:t>р</w:t>
      </w:r>
      <w:r>
        <w:rPr>
          <w:rFonts w:ascii="Times New Roman" w:eastAsia="Calibri" w:hAnsi="Times New Roman" w:cs="Times New Roman"/>
          <w:sz w:val="24"/>
          <w:szCs w:val="24"/>
        </w:rPr>
        <w:t xml:space="preserve">ани точки - </w:t>
      </w:r>
      <w:r w:rsidR="00CE3DF1" w:rsidRPr="00CE3DF1">
        <w:rPr>
          <w:rFonts w:ascii="Times New Roman" w:eastAsia="Calibri" w:hAnsi="Times New Roman" w:cs="Times New Roman"/>
          <w:sz w:val="24"/>
          <w:szCs w:val="24"/>
        </w:rPr>
        <w:t>обикновено в сградата на общинската администрация, училища, детски градини, търговски обекти и др., в които се разполагат контейнери за разделно събиране на НУБА, ИУЕЕО, отпадъци от опаковки;</w:t>
      </w:r>
    </w:p>
    <w:p w:rsidR="00CE3DF1" w:rsidRPr="00CE3DF1" w:rsidRDefault="00CE3DF1" w:rsidP="00CE3DF1">
      <w:pPr>
        <w:numPr>
          <w:ilvl w:val="0"/>
          <w:numId w:val="17"/>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организирани кампании за разделно събиране;</w:t>
      </w:r>
    </w:p>
    <w:p w:rsidR="00CE3DF1" w:rsidRPr="00CE3DF1" w:rsidRDefault="00CE3DF1" w:rsidP="00CE3DF1">
      <w:pPr>
        <w:numPr>
          <w:ilvl w:val="0"/>
          <w:numId w:val="17"/>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Мобилни екипи, които събират МРО, по предварителна заявка;</w:t>
      </w:r>
    </w:p>
    <w:p w:rsidR="00CE3DF1" w:rsidRPr="00CE3DF1" w:rsidRDefault="00CE3DF1" w:rsidP="00CE3DF1">
      <w:pPr>
        <w:numPr>
          <w:ilvl w:val="0"/>
          <w:numId w:val="17"/>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Центрове за събир</w:t>
      </w:r>
      <w:r w:rsidR="0073678A">
        <w:rPr>
          <w:rFonts w:ascii="Times New Roman" w:eastAsia="Calibri" w:hAnsi="Times New Roman" w:cs="Times New Roman"/>
          <w:sz w:val="24"/>
          <w:szCs w:val="24"/>
        </w:rPr>
        <w:t>а</w:t>
      </w:r>
      <w:r w:rsidRPr="00CE3DF1">
        <w:rPr>
          <w:rFonts w:ascii="Times New Roman" w:eastAsia="Calibri" w:hAnsi="Times New Roman" w:cs="Times New Roman"/>
          <w:sz w:val="24"/>
          <w:szCs w:val="24"/>
        </w:rPr>
        <w:t>не и съхранение на излезли от употреба МПС в т.ч. центрове за разкомплектоване;</w:t>
      </w:r>
    </w:p>
    <w:p w:rsidR="00CE3DF1" w:rsidRPr="00CE3DF1" w:rsidRDefault="00CE3DF1" w:rsidP="00CE3DF1">
      <w:pPr>
        <w:numPr>
          <w:ilvl w:val="0"/>
          <w:numId w:val="17"/>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С</w:t>
      </w:r>
      <w:r w:rsidR="0073678A">
        <w:rPr>
          <w:rFonts w:ascii="Times New Roman" w:eastAsia="Calibri" w:hAnsi="Times New Roman" w:cs="Times New Roman"/>
          <w:sz w:val="24"/>
          <w:szCs w:val="24"/>
        </w:rPr>
        <w:t xml:space="preserve">пециализирани площадки и/или </w:t>
      </w:r>
      <w:r w:rsidRPr="00CE3DF1">
        <w:rPr>
          <w:rFonts w:ascii="Times New Roman" w:eastAsia="Calibri" w:hAnsi="Times New Roman" w:cs="Times New Roman"/>
          <w:sz w:val="24"/>
          <w:szCs w:val="24"/>
        </w:rPr>
        <w:t xml:space="preserve">места за смяна и продажба на гуми и масла. </w:t>
      </w:r>
    </w:p>
    <w:p w:rsidR="00CE3DF1" w:rsidRPr="00CE3DF1" w:rsidRDefault="00CE3DF1" w:rsidP="00CE3DF1">
      <w:pPr>
        <w:spacing w:after="0" w:line="276" w:lineRule="auto"/>
        <w:jc w:val="both"/>
        <w:rPr>
          <w:rFonts w:ascii="Times New Roman" w:eastAsia="Calibri" w:hAnsi="Times New Roman" w:cs="Times New Roman"/>
          <w:sz w:val="24"/>
          <w:szCs w:val="24"/>
        </w:rPr>
      </w:pPr>
    </w:p>
    <w:p w:rsidR="00CE3DF1" w:rsidRPr="00CE3DF1" w:rsidRDefault="00CE3DF1" w:rsidP="00CE3DF1">
      <w:pPr>
        <w:spacing w:after="0" w:line="276" w:lineRule="auto"/>
        <w:jc w:val="both"/>
        <w:rPr>
          <w:rFonts w:ascii="Times New Roman" w:eastAsia="Calibri" w:hAnsi="Times New Roman" w:cs="Times New Roman"/>
          <w:b/>
          <w:sz w:val="24"/>
          <w:szCs w:val="24"/>
        </w:rPr>
      </w:pPr>
      <w:r w:rsidRPr="00CE3DF1">
        <w:rPr>
          <w:rFonts w:ascii="Times New Roman" w:eastAsia="Calibri" w:hAnsi="Times New Roman" w:cs="Times New Roman"/>
          <w:sz w:val="24"/>
          <w:szCs w:val="24"/>
        </w:rPr>
        <w:t>В България за всеки поток съществуват по няколко организации и общините избират с коя да сключат договор. Масово разпространените отпадъци включват опаковки, излязло от употреба електрическо и електронно оборудване (ИУЕЕО), негодни за употреба батерии и акумулатори (НУБА), излезли от употреба моторни превозни средства (ИУМПС), отработени моторни масла, излезли от употреба гуми</w:t>
      </w:r>
      <w:r w:rsidR="0073678A" w:rsidRPr="00F60BCA">
        <w:rPr>
          <w:rFonts w:ascii="Times New Roman" w:eastAsia="Calibri" w:hAnsi="Times New Roman" w:cs="Times New Roman"/>
          <w:color w:val="5B9BD5" w:themeColor="accent1"/>
          <w:sz w:val="24"/>
          <w:szCs w:val="24"/>
        </w:rPr>
        <w:t xml:space="preserve">, а с последните промени на ЗУО </w:t>
      </w:r>
      <w:r w:rsidR="00F60BCA">
        <w:rPr>
          <w:rFonts w:ascii="Times New Roman" w:eastAsia="Calibri" w:hAnsi="Times New Roman" w:cs="Times New Roman"/>
          <w:color w:val="5B9BD5" w:themeColor="accent1"/>
          <w:sz w:val="24"/>
          <w:szCs w:val="24"/>
        </w:rPr>
        <w:t xml:space="preserve"> се добавя и още един поток масово разпространен</w:t>
      </w:r>
      <w:r w:rsidR="0073678A" w:rsidRPr="00F60BCA">
        <w:rPr>
          <w:rFonts w:ascii="Times New Roman" w:eastAsia="Calibri" w:hAnsi="Times New Roman" w:cs="Times New Roman"/>
          <w:color w:val="5B9BD5" w:themeColor="accent1"/>
          <w:sz w:val="24"/>
          <w:szCs w:val="24"/>
        </w:rPr>
        <w:t>и отпадъци</w:t>
      </w:r>
      <w:r w:rsidR="00F60BCA">
        <w:rPr>
          <w:rFonts w:ascii="Times New Roman" w:eastAsia="Calibri" w:hAnsi="Times New Roman" w:cs="Times New Roman"/>
          <w:color w:val="5B9BD5" w:themeColor="accent1"/>
          <w:sz w:val="24"/>
          <w:szCs w:val="24"/>
        </w:rPr>
        <w:t xml:space="preserve"> - отпадъци</w:t>
      </w:r>
      <w:r w:rsidR="0073678A" w:rsidRPr="00F60BCA">
        <w:rPr>
          <w:rFonts w:ascii="Times New Roman" w:eastAsia="Calibri" w:hAnsi="Times New Roman" w:cs="Times New Roman"/>
          <w:color w:val="5B9BD5" w:themeColor="accent1"/>
          <w:sz w:val="24"/>
          <w:szCs w:val="24"/>
        </w:rPr>
        <w:t xml:space="preserve"> от обувки и текстил</w:t>
      </w:r>
      <w:r w:rsidR="0073678A">
        <w:rPr>
          <w:rFonts w:ascii="Times New Roman" w:eastAsia="Calibri" w:hAnsi="Times New Roman" w:cs="Times New Roman"/>
          <w:sz w:val="24"/>
          <w:szCs w:val="24"/>
        </w:rPr>
        <w:t>.</w:t>
      </w:r>
      <w:r w:rsidRPr="00CE3DF1">
        <w:rPr>
          <w:rFonts w:ascii="Times New Roman" w:eastAsia="Calibri" w:hAnsi="Times New Roman" w:cs="Times New Roman"/>
          <w:sz w:val="24"/>
          <w:szCs w:val="24"/>
        </w:rPr>
        <w:t xml:space="preserve"> Когато в общината не действа организация по оползотворяване на отпадъци от опаковки (ОООО), това дава възможност на общината сама да организира </w:t>
      </w:r>
      <w:r w:rsidR="00F60BCA">
        <w:rPr>
          <w:rFonts w:ascii="Times New Roman" w:eastAsia="Calibri" w:hAnsi="Times New Roman" w:cs="Times New Roman"/>
          <w:sz w:val="24"/>
          <w:szCs w:val="24"/>
        </w:rPr>
        <w:t xml:space="preserve">разделното събиране на опаковки, </w:t>
      </w:r>
      <w:r w:rsidRPr="00CE3DF1">
        <w:rPr>
          <w:rFonts w:ascii="Times New Roman" w:eastAsia="Calibri" w:hAnsi="Times New Roman" w:cs="Times New Roman"/>
          <w:sz w:val="24"/>
          <w:szCs w:val="24"/>
        </w:rPr>
        <w:t>съвместно с това за хартия, картон, пластмаси, метали и стъкло, и да използва допълнителните приходи от вторичните суровини за подобряване на системата за управление на отпадъците. Тази дейност може да се финансира от европейски фондове, както и от средствата, събрани за т.нар. „отчисления“.</w:t>
      </w:r>
    </w:p>
    <w:p w:rsidR="00CE3DF1" w:rsidRPr="00CE3DF1" w:rsidRDefault="00CE3DF1" w:rsidP="00CE3DF1">
      <w:pPr>
        <w:tabs>
          <w:tab w:val="left" w:pos="426"/>
        </w:tabs>
        <w:spacing w:after="0" w:line="276" w:lineRule="auto"/>
        <w:ind w:left="780"/>
        <w:jc w:val="both"/>
        <w:rPr>
          <w:rFonts w:ascii="Times New Roman" w:eastAsia="Calibri" w:hAnsi="Times New Roman" w:cs="Times New Roman"/>
          <w:sz w:val="24"/>
          <w:szCs w:val="24"/>
          <w:u w:val="single"/>
        </w:rPr>
      </w:pP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u w:val="single"/>
        </w:rPr>
      </w:pPr>
      <w:r w:rsidRPr="00CE3DF1">
        <w:rPr>
          <w:rFonts w:ascii="Times New Roman" w:eastAsia="Calibri" w:hAnsi="Times New Roman" w:cs="Times New Roman"/>
          <w:sz w:val="24"/>
          <w:szCs w:val="24"/>
          <w:u w:val="single"/>
        </w:rPr>
        <w:t>Препоръки:</w:t>
      </w:r>
    </w:p>
    <w:p w:rsidR="00CE3DF1" w:rsidRPr="00CE3DF1" w:rsidRDefault="00CE3DF1" w:rsidP="00CE3DF1">
      <w:pPr>
        <w:numPr>
          <w:ilvl w:val="0"/>
          <w:numId w:val="18"/>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 xml:space="preserve">Организирайте тематично обучение за разделно събиране на масово разпространени отпадъци за възпитатели от детски градини и учители oт 1 дo 12 клас. Цeлта на oбучeниeтo e прeпoдаватeлитe да са в състoяниe да </w:t>
      </w:r>
      <w:r w:rsidR="00F60BCA">
        <w:rPr>
          <w:rFonts w:ascii="Times New Roman" w:eastAsia="Calibri" w:hAnsi="Times New Roman" w:cs="Times New Roman"/>
          <w:sz w:val="24"/>
          <w:szCs w:val="24"/>
        </w:rPr>
        <w:t>предада</w:t>
      </w:r>
      <w:r w:rsidRPr="00CE3DF1">
        <w:rPr>
          <w:rFonts w:ascii="Times New Roman" w:eastAsia="Calibri" w:hAnsi="Times New Roman" w:cs="Times New Roman"/>
          <w:sz w:val="24"/>
          <w:szCs w:val="24"/>
        </w:rPr>
        <w:t xml:space="preserve">т на дeцата придoбититe знания за </w:t>
      </w:r>
      <w:r w:rsidR="00F60BCA">
        <w:rPr>
          <w:rFonts w:ascii="Times New Roman" w:eastAsia="Calibri" w:hAnsi="Times New Roman" w:cs="Times New Roman"/>
          <w:sz w:val="24"/>
          <w:szCs w:val="24"/>
        </w:rPr>
        <w:t>ползите от</w:t>
      </w:r>
      <w:r w:rsidRPr="00CE3DF1">
        <w:rPr>
          <w:rFonts w:ascii="Times New Roman" w:eastAsia="Calibri" w:hAnsi="Times New Roman" w:cs="Times New Roman"/>
          <w:sz w:val="24"/>
          <w:szCs w:val="24"/>
        </w:rPr>
        <w:t xml:space="preserve"> предотвратяването на отпадъците и тяхното рециклиране. Както и да са в състояние да организират</w:t>
      </w:r>
      <w:r w:rsidR="00F60BCA">
        <w:rPr>
          <w:rFonts w:ascii="Times New Roman" w:eastAsia="Calibri" w:hAnsi="Times New Roman" w:cs="Times New Roman"/>
          <w:sz w:val="24"/>
          <w:szCs w:val="24"/>
        </w:rPr>
        <w:t xml:space="preserve"> в съответните учебни заведения </w:t>
      </w:r>
      <w:r w:rsidRPr="00CE3DF1">
        <w:rPr>
          <w:rFonts w:ascii="Times New Roman" w:eastAsia="Calibri" w:hAnsi="Times New Roman" w:cs="Times New Roman"/>
          <w:sz w:val="24"/>
          <w:szCs w:val="24"/>
        </w:rPr>
        <w:t xml:space="preserve">вътрешни системи за разделно събиране на масово разпространени отпадъци. Това обучение следва да се организира с организациите </w:t>
      </w:r>
      <w:r w:rsidR="00F60BCA">
        <w:rPr>
          <w:rFonts w:ascii="Times New Roman" w:eastAsia="Calibri" w:hAnsi="Times New Roman" w:cs="Times New Roman"/>
          <w:sz w:val="24"/>
          <w:szCs w:val="24"/>
        </w:rPr>
        <w:t>по</w:t>
      </w:r>
      <w:r w:rsidRPr="00CE3DF1">
        <w:rPr>
          <w:rFonts w:ascii="Times New Roman" w:eastAsia="Calibri" w:hAnsi="Times New Roman" w:cs="Times New Roman"/>
          <w:sz w:val="24"/>
          <w:szCs w:val="24"/>
        </w:rPr>
        <w:t xml:space="preserve"> оползотворяване на различните потоци отпадъци. Препоръчително е въвеждането на годишни колективни стимули/награди за училища и детски градини събрали разделно най-големи количества отпадъци.</w:t>
      </w:r>
    </w:p>
    <w:p w:rsidR="00CE3DF1" w:rsidRPr="00CE3DF1" w:rsidRDefault="00CE3DF1" w:rsidP="00CE3DF1">
      <w:pPr>
        <w:numPr>
          <w:ilvl w:val="0"/>
          <w:numId w:val="18"/>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Събиране от „врата на врата“ - Системата може да разчита на поставянето на индивидуални контейнери за всяка етажна собственост или сграда, така че генераторите на отпадъци да са известни и да е ясна отговорността за правилното или неправилно разделяне на отпадъците; Ключова роля в преминаването към този модел на събиране имат фирмите за събиране и извозване на смесени битови отпадъци. Общината трябва да предоговори отношенията си с тях, така че да стимулира качествено изпълнение на услугата. При наличието на организации по оползотворяване на масово разпространени отпадъци е важно да се установят количествата на съответните отпадъци, възникващи в общината, с цел справедливо разпределение на отговорностите и разходите за управлението им.</w:t>
      </w:r>
    </w:p>
    <w:p w:rsidR="00CE3DF1" w:rsidRPr="00CE3DF1" w:rsidRDefault="00CE3DF1" w:rsidP="00CE3DF1">
      <w:pPr>
        <w:tabs>
          <w:tab w:val="left" w:pos="426"/>
        </w:tabs>
        <w:spacing w:after="0" w:line="276" w:lineRule="auto"/>
        <w:ind w:left="720"/>
        <w:jc w:val="both"/>
        <w:rPr>
          <w:rFonts w:ascii="Times New Roman" w:eastAsia="Calibri" w:hAnsi="Times New Roman" w:cs="Times New Roman"/>
          <w:sz w:val="24"/>
          <w:szCs w:val="24"/>
        </w:rPr>
      </w:pPr>
    </w:p>
    <w:p w:rsidR="00CE3DF1" w:rsidRPr="00CE3DF1" w:rsidRDefault="00CE3DF1" w:rsidP="00CE3DF1">
      <w:pPr>
        <w:numPr>
          <w:ilvl w:val="1"/>
          <w:numId w:val="8"/>
        </w:numPr>
        <w:tabs>
          <w:tab w:val="left" w:pos="426"/>
        </w:tabs>
        <w:spacing w:after="0" w:line="276" w:lineRule="auto"/>
        <w:jc w:val="both"/>
        <w:rPr>
          <w:rFonts w:ascii="Times New Roman" w:eastAsia="Calibri" w:hAnsi="Times New Roman" w:cs="Times New Roman"/>
          <w:b/>
          <w:sz w:val="24"/>
          <w:szCs w:val="24"/>
        </w:rPr>
      </w:pPr>
      <w:r w:rsidRPr="00CE3DF1">
        <w:rPr>
          <w:rFonts w:ascii="Times New Roman" w:eastAsia="Calibri" w:hAnsi="Times New Roman" w:cs="Times New Roman"/>
          <w:b/>
          <w:sz w:val="24"/>
          <w:szCs w:val="24"/>
        </w:rPr>
        <w:lastRenderedPageBreak/>
        <w:t>Управление на опасни битови отпадъци</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 xml:space="preserve">В изпълнение на изискванията на чл. 19, ал. 3, т.9 от ЗУО, общините имат ангажимент да организират разделното събиране на опасни битови отпадъци извън </w:t>
      </w:r>
      <w:r w:rsidRPr="00CE3DF1">
        <w:rPr>
          <w:rFonts w:ascii="Times New Roman" w:eastAsia="Calibri" w:hAnsi="Times New Roman" w:cs="Times New Roman"/>
          <w:sz w:val="24"/>
          <w:szCs w:val="24"/>
          <w:lang w:val="ru-RU"/>
        </w:rPr>
        <w:t>обхвата на наредбите по отношение управление на масоворазпространените отпадъци.</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 xml:space="preserve">Най-общо тези опасни битови отпадъци са бои, лакове, лепила, препарати за растителна защита, препарати за почистване и дезинфекция, лекарства с изтекъл срок на годност и др. </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За разделното събиране на опасни битови отпадъци, общините в България сключват договори с юридически лица, притежаващи разрешителен документ по чл. 35 от ЗУО за разделно събиране на тези отпадъци.</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Най-общо общините в България прилагат следните подходи за тяхното управление:</w:t>
      </w:r>
    </w:p>
    <w:p w:rsidR="00CE3DF1" w:rsidRPr="00CE3DF1" w:rsidRDefault="00CE3DF1" w:rsidP="00CE3DF1">
      <w:pPr>
        <w:numPr>
          <w:ilvl w:val="0"/>
          <w:numId w:val="4"/>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bCs/>
          <w:color w:val="000000"/>
          <w:sz w:val="24"/>
          <w:szCs w:val="24"/>
          <w:shd w:val="clear" w:color="auto" w:fill="FCFCFC"/>
        </w:rPr>
        <w:t>кампании за безвъзмездно предаване на опасни отпадъци от домакинствата чрез Мобилен събирателен пункт. За целта общината периодично оповестява на интернет страницата си кога ще бъде организирано кампанийно безвъзмездно предаване на този вид отпадък.</w:t>
      </w:r>
    </w:p>
    <w:p w:rsidR="00CE3DF1" w:rsidRPr="00CE3DF1" w:rsidRDefault="00CE3DF1" w:rsidP="00CE3DF1">
      <w:pPr>
        <w:numPr>
          <w:ilvl w:val="0"/>
          <w:numId w:val="4"/>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Times New Roman" w:hAnsi="Times New Roman" w:cs="Times New Roman"/>
          <w:color w:val="000000"/>
          <w:sz w:val="24"/>
          <w:szCs w:val="24"/>
          <w:lang w:val="ru-RU" w:eastAsia="en-GB"/>
        </w:rPr>
        <w:t xml:space="preserve">площадките за разделно събрани отпадъци от домакинстват, </w:t>
      </w:r>
      <w:r w:rsidRPr="00CE3DF1">
        <w:rPr>
          <w:rFonts w:ascii="Times New Roman" w:eastAsia="Times New Roman" w:hAnsi="Times New Roman" w:cs="Times New Roman"/>
          <w:color w:val="000000"/>
          <w:sz w:val="24"/>
          <w:szCs w:val="24"/>
          <w:lang w:eastAsia="en-GB"/>
        </w:rPr>
        <w:t xml:space="preserve">с информация за тяхното </w:t>
      </w:r>
      <w:r w:rsidRPr="00CE3DF1">
        <w:rPr>
          <w:rFonts w:ascii="Times New Roman" w:eastAsia="Times New Roman" w:hAnsi="Times New Roman" w:cs="Times New Roman"/>
          <w:color w:val="000000"/>
          <w:sz w:val="24"/>
          <w:szCs w:val="24"/>
          <w:lang w:val="ru-RU" w:eastAsia="en-GB"/>
        </w:rPr>
        <w:t>местонахождението, работното време и видовете отпадъци</w:t>
      </w:r>
      <w:r w:rsidRPr="00CE3DF1">
        <w:rPr>
          <w:rFonts w:ascii="Times New Roman" w:eastAsia="Times New Roman" w:hAnsi="Times New Roman" w:cs="Times New Roman"/>
          <w:color w:val="000000"/>
          <w:sz w:val="24"/>
          <w:szCs w:val="24"/>
          <w:lang w:eastAsia="en-GB"/>
        </w:rPr>
        <w:t>, които се приемат;</w:t>
      </w:r>
    </w:p>
    <w:p w:rsidR="00CE3DF1" w:rsidRPr="00CE3DF1" w:rsidRDefault="00CE3DF1" w:rsidP="00CE3DF1">
      <w:pPr>
        <w:numPr>
          <w:ilvl w:val="0"/>
          <w:numId w:val="4"/>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Times New Roman" w:hAnsi="Times New Roman" w:cs="Times New Roman"/>
          <w:color w:val="000000"/>
          <w:sz w:val="24"/>
          <w:szCs w:val="24"/>
          <w:lang w:eastAsia="en-GB"/>
        </w:rPr>
        <w:t>по заявка от гражданите на общината по схемата „от врата на врата“;</w:t>
      </w:r>
    </w:p>
    <w:p w:rsidR="00CE3DF1" w:rsidRPr="00CE3DF1" w:rsidRDefault="00CE3DF1" w:rsidP="00CE3DF1">
      <w:pPr>
        <w:tabs>
          <w:tab w:val="left" w:pos="426"/>
        </w:tabs>
        <w:spacing w:after="0" w:line="276" w:lineRule="auto"/>
        <w:jc w:val="both"/>
        <w:rPr>
          <w:rFonts w:ascii="Times New Roman" w:eastAsia="Times New Roman" w:hAnsi="Times New Roman" w:cs="Times New Roman"/>
          <w:color w:val="000000"/>
          <w:sz w:val="24"/>
          <w:szCs w:val="24"/>
          <w:lang w:eastAsia="en-GB"/>
        </w:rPr>
      </w:pPr>
    </w:p>
    <w:p w:rsidR="00CE3DF1" w:rsidRPr="00CE3DF1" w:rsidRDefault="00CE3DF1" w:rsidP="00CE3DF1">
      <w:pPr>
        <w:tabs>
          <w:tab w:val="left" w:pos="426"/>
        </w:tabs>
        <w:spacing w:after="0" w:line="276" w:lineRule="auto"/>
        <w:jc w:val="both"/>
        <w:rPr>
          <w:rFonts w:ascii="Times New Roman" w:eastAsia="Times New Roman" w:hAnsi="Times New Roman" w:cs="Times New Roman"/>
          <w:color w:val="000000"/>
          <w:sz w:val="24"/>
          <w:szCs w:val="24"/>
          <w:lang w:eastAsia="en-GB"/>
        </w:rPr>
      </w:pPr>
      <w:r w:rsidRPr="00CE3DF1">
        <w:rPr>
          <w:rFonts w:ascii="Times New Roman" w:eastAsia="Times New Roman" w:hAnsi="Times New Roman" w:cs="Times New Roman"/>
          <w:color w:val="000000"/>
          <w:sz w:val="24"/>
          <w:szCs w:val="24"/>
          <w:lang w:eastAsia="en-GB"/>
        </w:rPr>
        <w:t>Основните групи опасни отпадъци, които се приемат по описаните по-горе схеми са:</w:t>
      </w:r>
    </w:p>
    <w:p w:rsidR="00CE3DF1" w:rsidRPr="00CE3DF1" w:rsidRDefault="00CE3DF1" w:rsidP="00CE3DF1">
      <w:pPr>
        <w:numPr>
          <w:ilvl w:val="0"/>
          <w:numId w:val="4"/>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Times New Roman" w:hAnsi="Times New Roman" w:cs="Times New Roman"/>
          <w:color w:val="000000"/>
          <w:sz w:val="24"/>
          <w:szCs w:val="24"/>
          <w:lang w:eastAsia="en-GB"/>
        </w:rPr>
        <w:t>Живак и живакосъдържащи уреди (с изключение на луминесцентни лампи);</w:t>
      </w:r>
    </w:p>
    <w:p w:rsidR="00CE3DF1" w:rsidRPr="00CE3DF1" w:rsidRDefault="00CE3DF1" w:rsidP="00CE3DF1">
      <w:pPr>
        <w:numPr>
          <w:ilvl w:val="0"/>
          <w:numId w:val="4"/>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Times New Roman" w:hAnsi="Times New Roman" w:cs="Times New Roman"/>
          <w:color w:val="000000"/>
          <w:sz w:val="24"/>
          <w:szCs w:val="24"/>
          <w:lang w:eastAsia="en-GB"/>
        </w:rPr>
        <w:t>Лакове и бояджийски материали;</w:t>
      </w:r>
    </w:p>
    <w:p w:rsidR="00CE3DF1" w:rsidRPr="00CE3DF1" w:rsidRDefault="00CE3DF1" w:rsidP="00CE3DF1">
      <w:pPr>
        <w:numPr>
          <w:ilvl w:val="0"/>
          <w:numId w:val="4"/>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Times New Roman" w:hAnsi="Times New Roman" w:cs="Times New Roman"/>
          <w:color w:val="000000"/>
          <w:sz w:val="24"/>
          <w:szCs w:val="24"/>
          <w:lang w:eastAsia="en-GB"/>
        </w:rPr>
        <w:t>Домакински препарати;</w:t>
      </w:r>
    </w:p>
    <w:p w:rsidR="00CE3DF1" w:rsidRPr="00CE3DF1" w:rsidRDefault="00CE3DF1" w:rsidP="00CE3DF1">
      <w:pPr>
        <w:numPr>
          <w:ilvl w:val="0"/>
          <w:numId w:val="4"/>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Times New Roman" w:hAnsi="Times New Roman" w:cs="Times New Roman"/>
          <w:color w:val="000000"/>
          <w:sz w:val="24"/>
          <w:szCs w:val="24"/>
          <w:lang w:eastAsia="en-GB"/>
        </w:rPr>
        <w:t>Мастила и замърсени опаковки – опаковки съдържащи опасни вещества;</w:t>
      </w:r>
    </w:p>
    <w:p w:rsidR="00CE3DF1" w:rsidRPr="00CE3DF1" w:rsidRDefault="00CE3DF1" w:rsidP="00CE3DF1">
      <w:pPr>
        <w:numPr>
          <w:ilvl w:val="0"/>
          <w:numId w:val="4"/>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Times New Roman" w:hAnsi="Times New Roman" w:cs="Times New Roman"/>
          <w:color w:val="000000"/>
          <w:sz w:val="24"/>
          <w:szCs w:val="24"/>
          <w:lang w:eastAsia="en-GB"/>
        </w:rPr>
        <w:t>Маслени филтри, спирачни течности, антифриз;</w:t>
      </w:r>
    </w:p>
    <w:p w:rsidR="00CE3DF1" w:rsidRPr="00CE3DF1" w:rsidRDefault="00CE3DF1" w:rsidP="00CE3DF1">
      <w:pPr>
        <w:numPr>
          <w:ilvl w:val="0"/>
          <w:numId w:val="4"/>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Times New Roman" w:hAnsi="Times New Roman" w:cs="Times New Roman"/>
          <w:color w:val="000000"/>
          <w:sz w:val="24"/>
          <w:szCs w:val="24"/>
          <w:lang w:eastAsia="en-GB"/>
        </w:rPr>
        <w:t>Фармацевтични продукти с изтекъл срок на годност;</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u w:val="single"/>
        </w:rPr>
      </w:pPr>
      <w:r w:rsidRPr="00CE3DF1">
        <w:rPr>
          <w:rFonts w:ascii="Times New Roman" w:eastAsia="Calibri" w:hAnsi="Times New Roman" w:cs="Times New Roman"/>
          <w:sz w:val="24"/>
          <w:szCs w:val="24"/>
          <w:u w:val="single"/>
        </w:rPr>
        <w:t>Препоръки:</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Изхождайки от факта, че повечето граждани не са запознати с начините по които опасните битови отпадъци могат да бъдат събрани и обезвредени, препоръчваме да създадете по-широк набор от информационни събития и кампании за популяризиране на тяхното събиране. В тази връзка информационни кампании могат да обхващат темите:</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highlight w:val="yellow"/>
        </w:rPr>
      </w:pPr>
    </w:p>
    <w:p w:rsidR="00CE3DF1" w:rsidRPr="00CE3DF1" w:rsidRDefault="00CE3DF1" w:rsidP="00CE3DF1">
      <w:pPr>
        <w:numPr>
          <w:ilvl w:val="0"/>
          <w:numId w:val="10"/>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b/>
          <w:sz w:val="24"/>
          <w:szCs w:val="24"/>
        </w:rPr>
        <w:t>Какво да правим с опасните отпадъци от домовете си</w:t>
      </w:r>
      <w:r w:rsidRPr="00CE3DF1">
        <w:rPr>
          <w:rFonts w:ascii="Times New Roman" w:eastAsia="Calibri" w:hAnsi="Times New Roman" w:cs="Times New Roman"/>
          <w:sz w:val="24"/>
          <w:szCs w:val="24"/>
        </w:rPr>
        <w:t>? (целесъобразно е да се посочат системите за събиране на битови отпадъци, които функционират в общината. Възможно е да бъде създадена онлайн платформа или мобилно приложение, с което гражданите на община ще могат да заявят вида, количеството и местоположението на опасния битов отпадък, които желаят да предадат)</w:t>
      </w:r>
    </w:p>
    <w:p w:rsidR="00CE3DF1" w:rsidRPr="00CE3DF1" w:rsidRDefault="00CE3DF1" w:rsidP="00CE3DF1">
      <w:pPr>
        <w:numPr>
          <w:ilvl w:val="0"/>
          <w:numId w:val="10"/>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b/>
          <w:sz w:val="24"/>
          <w:szCs w:val="24"/>
        </w:rPr>
        <w:t>Как да ги познаем</w:t>
      </w:r>
      <w:r w:rsidRPr="00CE3DF1">
        <w:rPr>
          <w:rFonts w:ascii="Times New Roman" w:eastAsia="Calibri" w:hAnsi="Times New Roman" w:cs="Times New Roman"/>
          <w:sz w:val="24"/>
          <w:szCs w:val="24"/>
        </w:rPr>
        <w:t>? (подходящо е да се представи информация на гражданите, кои отп</w:t>
      </w:r>
      <w:r w:rsidR="00B8727B">
        <w:rPr>
          <w:rFonts w:ascii="Times New Roman" w:eastAsia="Calibri" w:hAnsi="Times New Roman" w:cs="Times New Roman"/>
          <w:sz w:val="24"/>
          <w:szCs w:val="24"/>
        </w:rPr>
        <w:t>адъци са опасни и защо; запозна</w:t>
      </w:r>
      <w:r w:rsidRPr="00CE3DF1">
        <w:rPr>
          <w:rFonts w:ascii="Times New Roman" w:eastAsia="Calibri" w:hAnsi="Times New Roman" w:cs="Times New Roman"/>
          <w:sz w:val="24"/>
          <w:szCs w:val="24"/>
        </w:rPr>
        <w:t>йте гражданите със символите за опасности на опаковките т.нар. пиктограми др.)</w:t>
      </w:r>
    </w:p>
    <w:p w:rsidR="00CE3DF1" w:rsidRPr="00CE3DF1" w:rsidRDefault="00CE3DF1" w:rsidP="00CE3DF1">
      <w:pPr>
        <w:numPr>
          <w:ilvl w:val="0"/>
          <w:numId w:val="10"/>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b/>
          <w:sz w:val="24"/>
          <w:szCs w:val="24"/>
        </w:rPr>
        <w:t>Моля, информирайте ни</w:t>
      </w:r>
      <w:r w:rsidRPr="00CE3DF1">
        <w:rPr>
          <w:rFonts w:ascii="Times New Roman" w:eastAsia="Calibri" w:hAnsi="Times New Roman" w:cs="Times New Roman"/>
          <w:sz w:val="24"/>
          <w:szCs w:val="24"/>
        </w:rPr>
        <w:t xml:space="preserve">? (за оптимална работа на системата за разделно събиране на опасни битови отпадъци е необходимо гражданите да ви предоставят </w:t>
      </w:r>
      <w:r w:rsidRPr="00CE3DF1">
        <w:rPr>
          <w:rFonts w:ascii="Times New Roman" w:eastAsia="Calibri" w:hAnsi="Times New Roman" w:cs="Times New Roman"/>
          <w:sz w:val="24"/>
          <w:szCs w:val="24"/>
        </w:rPr>
        <w:lastRenderedPageBreak/>
        <w:t>достоверна информация за вида и съдържанието на опасни отпадък. Например дали има живак или живачни термометр</w:t>
      </w:r>
      <w:r w:rsidR="00A54256">
        <w:rPr>
          <w:rFonts w:ascii="Times New Roman" w:eastAsia="Calibri" w:hAnsi="Times New Roman" w:cs="Times New Roman"/>
          <w:sz w:val="24"/>
          <w:szCs w:val="24"/>
        </w:rPr>
        <w:t>и, ампули, прекъсвачи, предават</w:t>
      </w:r>
      <w:r w:rsidRPr="00CE3DF1">
        <w:rPr>
          <w:rFonts w:ascii="Times New Roman" w:eastAsia="Calibri" w:hAnsi="Times New Roman" w:cs="Times New Roman"/>
          <w:sz w:val="24"/>
          <w:szCs w:val="24"/>
        </w:rPr>
        <w:t xml:space="preserve"> ли киселини или основи? Тази информация ще помогне за правилното сортиране и тяхното разделно събиране на място)</w:t>
      </w:r>
      <w:r w:rsidR="00A54256">
        <w:rPr>
          <w:rFonts w:ascii="Times New Roman" w:eastAsia="Calibri" w:hAnsi="Times New Roman" w:cs="Times New Roman"/>
          <w:sz w:val="24"/>
          <w:szCs w:val="24"/>
        </w:rPr>
        <w:t>.</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p>
    <w:p w:rsidR="00CE3DF1" w:rsidRPr="00CE3DF1" w:rsidRDefault="00CE3DF1" w:rsidP="00CE3DF1">
      <w:pPr>
        <w:numPr>
          <w:ilvl w:val="1"/>
          <w:numId w:val="10"/>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b/>
          <w:sz w:val="24"/>
          <w:szCs w:val="24"/>
        </w:rPr>
        <w:t>Площадки за безвъзмездно предаване на разделно събрани отпадъци от домакинствата</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В изпълнение на изискванията на чл. 19, ал.3, т.19 от ЗУО, общините осигуряват площадки за безвъзмездно предаване на разделно събрани отпадъци от домакинствата, в т.ч. едрогабаритни отпадъци, опасни отпадъци и други</w:t>
      </w:r>
      <w:r w:rsidR="00D94EBD">
        <w:rPr>
          <w:rFonts w:ascii="Times New Roman" w:eastAsia="Calibri" w:hAnsi="Times New Roman" w:cs="Times New Roman"/>
          <w:sz w:val="24"/>
          <w:szCs w:val="24"/>
        </w:rPr>
        <w:t>,</w:t>
      </w:r>
      <w:r w:rsidRPr="00CE3DF1">
        <w:rPr>
          <w:rFonts w:ascii="Times New Roman" w:eastAsia="Calibri" w:hAnsi="Times New Roman" w:cs="Times New Roman"/>
          <w:sz w:val="24"/>
          <w:szCs w:val="24"/>
        </w:rPr>
        <w:t xml:space="preserve"> във всички населени места с население, по-голямо от 10 000 жители на територията на общината, и при необходимост в други населени места.</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highlight w:val="yellow"/>
        </w:rPr>
      </w:pPr>
      <w:r w:rsidRPr="00CE3DF1">
        <w:rPr>
          <w:rFonts w:ascii="Times New Roman" w:eastAsia="Calibri" w:hAnsi="Times New Roman" w:cs="Times New Roman"/>
          <w:sz w:val="24"/>
          <w:szCs w:val="24"/>
        </w:rPr>
        <w:t>На тези площадки могат да се приемат широк диапазон отпадъци, като напр. обемисти домакински отпадъци (шкафове, гардероби, легла, дивани, фотьойли, матраци и други)</w:t>
      </w:r>
      <w:r w:rsidR="00D94EBD">
        <w:rPr>
          <w:rFonts w:ascii="Times New Roman" w:eastAsia="Calibri" w:hAnsi="Times New Roman" w:cs="Times New Roman"/>
          <w:sz w:val="24"/>
          <w:szCs w:val="24"/>
        </w:rPr>
        <w:t>,</w:t>
      </w:r>
      <w:r w:rsidRPr="00CE3DF1">
        <w:rPr>
          <w:rFonts w:ascii="Times New Roman" w:eastAsia="Calibri" w:hAnsi="Times New Roman" w:cs="Times New Roman"/>
          <w:sz w:val="24"/>
          <w:szCs w:val="24"/>
        </w:rPr>
        <w:t xml:space="preserve"> строителни отпадъци от ремонтна дейност, образувани от домакинствата в малки количества, биоразградими, вкл. зелени отпадъци, батерии, електрически уреди и т.н.</w:t>
      </w:r>
    </w:p>
    <w:p w:rsidR="00CE3DF1" w:rsidRPr="00CE3DF1" w:rsidRDefault="00CE3DF1" w:rsidP="00CE3DF1">
      <w:p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Осигуряването на площадките може да се осъществи самостоятелно от общините или чрез сключване на договори с фирми (по реда на Закона за обществените поръчки, Закона за концесиите или Закона за публично-частното партньорство), притежаващи разрешение или регистрационен документ за извършване на дейности по събиране, транспортиране, рециклиране или оползотворяване на отпадъци на територията на общината и/или комплексно разрешително по реда на Закона за опазване на околната среда и/или в сътрудничество с организациите по оползотворяване на отпадъците. Общините могат да изграждат и нови площадки или да използват вече налични такива.</w:t>
      </w:r>
      <w:r w:rsidRPr="00CE3DF1">
        <w:rPr>
          <w:rFonts w:ascii="Times New Roman" w:eastAsia="Calibri" w:hAnsi="Times New Roman" w:cs="Times New Roman"/>
          <w:sz w:val="24"/>
          <w:szCs w:val="24"/>
        </w:rPr>
        <w:cr/>
        <w:t xml:space="preserve">Площадките като цяло са по-подходящи за събиране на биоразградими битови отпадъци от по-слабо населени райони, например селските райони, където е икономически неизгодно да се съберат тези фракции директно от домакинствата. </w:t>
      </w:r>
    </w:p>
    <w:p w:rsidR="00CE3DF1" w:rsidRPr="00CE3DF1" w:rsidRDefault="00CE3DF1" w:rsidP="00CE3DF1">
      <w:pPr>
        <w:tabs>
          <w:tab w:val="left" w:pos="2520"/>
        </w:tabs>
        <w:spacing w:after="0" w:line="276" w:lineRule="auto"/>
        <w:jc w:val="both"/>
        <w:rPr>
          <w:rFonts w:ascii="Times New Roman" w:eastAsia="Calibri" w:hAnsi="Times New Roman" w:cs="Times New Roman"/>
          <w:sz w:val="24"/>
          <w:szCs w:val="24"/>
        </w:rPr>
      </w:pPr>
      <w:r w:rsidRPr="00CE3DF1">
        <w:rPr>
          <w:rFonts w:ascii="Times New Roman" w:eastAsia="Times New Roman" w:hAnsi="Times New Roman" w:cs="Times New Roman"/>
          <w:sz w:val="24"/>
          <w:szCs w:val="24"/>
          <w:lang w:eastAsia="bg-BG"/>
        </w:rPr>
        <w:t xml:space="preserve">Трудностите, които се срещат или има възможност да срещнете са </w:t>
      </w:r>
      <w:r w:rsidRPr="00CE3DF1">
        <w:rPr>
          <w:rFonts w:ascii="Times New Roman" w:eastAsia="Calibri" w:hAnsi="Times New Roman" w:cs="Times New Roman"/>
          <w:sz w:val="24"/>
          <w:szCs w:val="24"/>
        </w:rPr>
        <w:t xml:space="preserve">свързани най-често с липсата на финансови средства за изграждане и поддържане на такива площадки и липсата на подходящи места за изграждането им. Трудност също така се явява ниската култура на населението, относно разделно събрани отпадъци от домакинствата, както и липсата на икономически стимул на хората за предаване и съответно, за приема на отпадъците. </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u w:val="single"/>
        </w:rPr>
      </w:pPr>
      <w:r w:rsidRPr="00CE3DF1">
        <w:rPr>
          <w:rFonts w:ascii="Times New Roman" w:eastAsia="Calibri" w:hAnsi="Times New Roman" w:cs="Times New Roman"/>
          <w:sz w:val="24"/>
          <w:szCs w:val="24"/>
          <w:u w:val="single"/>
        </w:rPr>
        <w:t>Препоръки:</w:t>
      </w:r>
    </w:p>
    <w:p w:rsidR="00CE3DF1" w:rsidRPr="00CE3DF1" w:rsidRDefault="00CE3DF1" w:rsidP="00CE3DF1">
      <w:pPr>
        <w:numPr>
          <w:ilvl w:val="0"/>
          <w:numId w:val="13"/>
        </w:numPr>
        <w:tabs>
          <w:tab w:val="left" w:pos="426"/>
        </w:tabs>
        <w:spacing w:after="0" w:line="276" w:lineRule="auto"/>
        <w:jc w:val="both"/>
        <w:rPr>
          <w:rFonts w:ascii="Times New Roman" w:eastAsia="Calibri" w:hAnsi="Times New Roman" w:cs="Times New Roman"/>
          <w:sz w:val="24"/>
          <w:szCs w:val="24"/>
          <w:u w:val="single"/>
        </w:rPr>
      </w:pPr>
      <w:r w:rsidRPr="00CE3DF1">
        <w:rPr>
          <w:rFonts w:ascii="Times New Roman" w:eastAsia="Calibri" w:hAnsi="Times New Roman" w:cs="Times New Roman"/>
          <w:sz w:val="24"/>
          <w:szCs w:val="24"/>
          <w:u w:val="single"/>
        </w:rPr>
        <w:t xml:space="preserve">Когато </w:t>
      </w:r>
      <w:r w:rsidR="00D94EBD">
        <w:rPr>
          <w:rFonts w:ascii="Times New Roman" w:eastAsia="Calibri" w:hAnsi="Times New Roman" w:cs="Times New Roman"/>
          <w:sz w:val="24"/>
          <w:szCs w:val="24"/>
          <w:u w:val="single"/>
        </w:rPr>
        <w:t>изграждате</w:t>
      </w:r>
      <w:r w:rsidRPr="00CE3DF1">
        <w:rPr>
          <w:rFonts w:ascii="Times New Roman" w:eastAsia="Calibri" w:hAnsi="Times New Roman" w:cs="Times New Roman"/>
          <w:sz w:val="24"/>
          <w:szCs w:val="24"/>
          <w:u w:val="single"/>
        </w:rPr>
        <w:t xml:space="preserve"> такав</w:t>
      </w:r>
      <w:r w:rsidR="00D94EBD">
        <w:rPr>
          <w:rFonts w:ascii="Times New Roman" w:eastAsia="Calibri" w:hAnsi="Times New Roman" w:cs="Times New Roman"/>
          <w:sz w:val="24"/>
          <w:szCs w:val="24"/>
          <w:u w:val="single"/>
        </w:rPr>
        <w:t>а площадка е необходимо да след</w:t>
      </w:r>
      <w:r w:rsidRPr="00CE3DF1">
        <w:rPr>
          <w:rFonts w:ascii="Times New Roman" w:eastAsia="Calibri" w:hAnsi="Times New Roman" w:cs="Times New Roman"/>
          <w:sz w:val="24"/>
          <w:szCs w:val="24"/>
          <w:u w:val="single"/>
        </w:rPr>
        <w:t>ите за следните изисквания:</w:t>
      </w:r>
    </w:p>
    <w:p w:rsidR="00CE3DF1" w:rsidRPr="00CE3DF1" w:rsidRDefault="00CE3DF1" w:rsidP="00CE3DF1">
      <w:pPr>
        <w:numPr>
          <w:ilvl w:val="0"/>
          <w:numId w:val="12"/>
        </w:num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твърда и непропусклива (асфалто-бетонова, бетонова) настилка, за да се предпази почвения слой от замърсяване при разливи или инфилтриране при валежи;</w:t>
      </w:r>
    </w:p>
    <w:p w:rsidR="00CE3DF1" w:rsidRPr="00CE3DF1" w:rsidRDefault="00CE3DF1" w:rsidP="00CE3DF1">
      <w:pPr>
        <w:numPr>
          <w:ilvl w:val="0"/>
          <w:numId w:val="11"/>
        </w:num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ограда от галванизирана стоманена мрежа, висока 2 м и закрепена на галванизирани стоманени колони, поставени върху бетонови основи;</w:t>
      </w:r>
    </w:p>
    <w:p w:rsidR="00CE3DF1" w:rsidRPr="00CE3DF1" w:rsidRDefault="00CE3DF1" w:rsidP="00CE3DF1">
      <w:pPr>
        <w:numPr>
          <w:ilvl w:val="0"/>
          <w:numId w:val="11"/>
        </w:num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наличие на покрити площи за съхранение на съдове за съхранение на някои видове отпадъци;</w:t>
      </w:r>
    </w:p>
    <w:p w:rsidR="00CE3DF1" w:rsidRPr="00CE3DF1" w:rsidRDefault="00CE3DF1" w:rsidP="00CE3DF1">
      <w:pPr>
        <w:numPr>
          <w:ilvl w:val="0"/>
          <w:numId w:val="11"/>
        </w:num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осигурено електрозахранване, ВиК;</w:t>
      </w:r>
    </w:p>
    <w:p w:rsidR="00CE3DF1" w:rsidRPr="00CE3DF1" w:rsidRDefault="00CE3DF1" w:rsidP="00CE3DF1">
      <w:pPr>
        <w:numPr>
          <w:ilvl w:val="0"/>
          <w:numId w:val="11"/>
        </w:num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lastRenderedPageBreak/>
        <w:t>пространство за достъп и визуален контрол на постъпващите отпадъци - следва да се постави везна за претегляне на постъпващите и предаваните отпадъци и данните да се записват в база данни.;</w:t>
      </w:r>
    </w:p>
    <w:p w:rsidR="00CE3DF1" w:rsidRPr="00CE3DF1" w:rsidRDefault="00CE3DF1" w:rsidP="00CE3DF1">
      <w:pPr>
        <w:numPr>
          <w:ilvl w:val="0"/>
          <w:numId w:val="11"/>
        </w:num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административна сграда - сграда включва всички помещения за персонала (съблекални, санитарни помещения), административно помещение, функциониращо като зала за управление и контрол (наблюдение на влизащите и излизащите превозни средства и хора);</w:t>
      </w:r>
    </w:p>
    <w:p w:rsidR="00CE3DF1" w:rsidRPr="00CE3DF1" w:rsidRDefault="00CE3DF1" w:rsidP="00CE3DF1">
      <w:pPr>
        <w:numPr>
          <w:ilvl w:val="0"/>
          <w:numId w:val="11"/>
        </w:num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контейнерна площ за опасни отпадъци от домакинствата и пространство за разполагане на контейнерите за опасни отпадъци, предвид спецификата на тези отпадъци</w:t>
      </w:r>
    </w:p>
    <w:p w:rsidR="00CE3DF1" w:rsidRPr="00CE3DF1" w:rsidRDefault="00CE3DF1" w:rsidP="00CE3DF1">
      <w:pPr>
        <w:numPr>
          <w:ilvl w:val="0"/>
          <w:numId w:val="11"/>
        </w:num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достатъчно разстояние за разтоварване, товарене и преминаване на частни транспортни средства и автомобили, които ще вземат отпадъците за предаване на фирми за рециклиране, оползотворяване и обезвреждане;</w:t>
      </w:r>
    </w:p>
    <w:p w:rsidR="00CE3DF1" w:rsidRPr="00CE3DF1" w:rsidRDefault="00CE3DF1" w:rsidP="00CE3DF1">
      <w:pPr>
        <w:numPr>
          <w:ilvl w:val="0"/>
          <w:numId w:val="11"/>
        </w:num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контейнерна площ за неопасни и едрогабаритни отпадъци от домакинствата;</w:t>
      </w:r>
    </w:p>
    <w:p w:rsidR="00CE3DF1" w:rsidRPr="00CE3DF1" w:rsidRDefault="00CE3DF1" w:rsidP="00CE3DF1">
      <w:pPr>
        <w:numPr>
          <w:ilvl w:val="0"/>
          <w:numId w:val="11"/>
        </w:num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табели с информация за отпадъците, които ще се приемат на площадката и които са забранени за приемане в т.ч. работно време на площадката и телефонни номера;</w:t>
      </w:r>
    </w:p>
    <w:p w:rsidR="00CE3DF1" w:rsidRPr="00CE3DF1" w:rsidRDefault="00CE3DF1" w:rsidP="00CE3DF1">
      <w:pPr>
        <w:numPr>
          <w:ilvl w:val="0"/>
          <w:numId w:val="11"/>
        </w:num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около границите на площадката трябва да се залеси/озелени, за да се получи защитен ефект и за да се постигне приемлив естетически вид на площадката;</w:t>
      </w:r>
    </w:p>
    <w:p w:rsidR="00CE3DF1" w:rsidRPr="00CE3DF1" w:rsidRDefault="00CE3DF1" w:rsidP="00CE3DF1">
      <w:pPr>
        <w:numPr>
          <w:ilvl w:val="0"/>
          <w:numId w:val="11"/>
        </w:num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площадката трябва да е противопожарно обезопасена.</w:t>
      </w:r>
    </w:p>
    <w:p w:rsidR="00CE3DF1" w:rsidRPr="00CE3DF1" w:rsidRDefault="00CE3DF1" w:rsidP="00CE3DF1">
      <w:pPr>
        <w:numPr>
          <w:ilvl w:val="0"/>
          <w:numId w:val="13"/>
        </w:numPr>
        <w:tabs>
          <w:tab w:val="left" w:pos="284"/>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u w:val="single"/>
        </w:rPr>
        <w:t>Публикувайте на интернет страницата на вашата община информация за местоположението на тези площадки, какви отпадъци се приемат там и защо е важно населението да се възползва от тази услуга.</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p>
    <w:p w:rsidR="00CE3DF1" w:rsidRPr="00CE3DF1" w:rsidRDefault="00CE3DF1" w:rsidP="00CE3DF1">
      <w:pPr>
        <w:numPr>
          <w:ilvl w:val="1"/>
          <w:numId w:val="10"/>
        </w:numPr>
        <w:tabs>
          <w:tab w:val="left" w:pos="426"/>
        </w:tabs>
        <w:spacing w:after="0" w:line="276" w:lineRule="auto"/>
        <w:jc w:val="both"/>
        <w:rPr>
          <w:rFonts w:ascii="Times New Roman" w:eastAsia="Calibri" w:hAnsi="Times New Roman" w:cs="Times New Roman"/>
          <w:b/>
          <w:sz w:val="24"/>
          <w:szCs w:val="24"/>
        </w:rPr>
      </w:pPr>
      <w:r w:rsidRPr="00CE3DF1">
        <w:rPr>
          <w:rFonts w:ascii="Times New Roman" w:eastAsia="Calibri" w:hAnsi="Times New Roman" w:cs="Times New Roman"/>
          <w:b/>
          <w:sz w:val="24"/>
          <w:szCs w:val="24"/>
        </w:rPr>
        <w:t xml:space="preserve">Центрове за повторна употреба, поправка и подготовка за повторна употреба </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highlight w:val="yellow"/>
        </w:rPr>
      </w:pPr>
      <w:r w:rsidRPr="00CE3DF1">
        <w:rPr>
          <w:rFonts w:ascii="Times New Roman" w:eastAsia="Calibri" w:hAnsi="Times New Roman" w:cs="Times New Roman"/>
          <w:sz w:val="24"/>
          <w:szCs w:val="24"/>
        </w:rPr>
        <w:t>В изпълнение на изискванията на чл. 19, ал. 3, т.8, кметовете на общините имат ангажимента да съдействат за създаването на центрове за повторна употреба, поправка и подготовка за повторна употреба.</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Към настоящият момент добри практики за поправка и подготовка за повторна употреба функционират в:</w:t>
      </w:r>
    </w:p>
    <w:p w:rsidR="00CE3DF1" w:rsidRPr="00CE3DF1" w:rsidRDefault="00FC5652" w:rsidP="00CE3DF1">
      <w:pPr>
        <w:numPr>
          <w:ilvl w:val="0"/>
          <w:numId w:val="11"/>
        </w:numPr>
        <w:tabs>
          <w:tab w:val="left" w:pos="426"/>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00CE3DF1" w:rsidRPr="00CE3DF1">
        <w:rPr>
          <w:rFonts w:ascii="Times New Roman" w:eastAsia="Calibri" w:hAnsi="Times New Roman" w:cs="Times New Roman"/>
          <w:sz w:val="24"/>
          <w:szCs w:val="24"/>
        </w:rPr>
        <w:t>бщина Левски - събраните едрогабаритни отпадъци от домакинствата се оползотворяват/използват повторно и се предоставят на социално слаби жители на общината. Общинското предприятие извършва ремонти и поправки на събраните едрогабаритни отпадъци;</w:t>
      </w:r>
    </w:p>
    <w:p w:rsidR="00CE3DF1" w:rsidRPr="00CE3DF1" w:rsidRDefault="00CE3DF1" w:rsidP="00CE3DF1">
      <w:pPr>
        <w:numPr>
          <w:ilvl w:val="0"/>
          <w:numId w:val="11"/>
        </w:numPr>
        <w:spacing w:after="200" w:line="276" w:lineRule="auto"/>
        <w:contextualSpacing/>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Община Белослав - при наличие на запазени мебели, същите се събират и се предоставят  безвъзмездно на хора в неравностойно положение, социално слаби и др., преди транспортиране до РДНО с. Въглен. Събраните отпадъци подлежат на механична обработка с цел намаляване на обема им и разделяне по вид.</w:t>
      </w:r>
    </w:p>
    <w:p w:rsidR="00CE3DF1" w:rsidRPr="00CE3DF1" w:rsidRDefault="00CE3DF1" w:rsidP="00CE3DF1">
      <w:pPr>
        <w:numPr>
          <w:ilvl w:val="0"/>
          <w:numId w:val="11"/>
        </w:numPr>
        <w:spacing w:after="0" w:line="276" w:lineRule="auto"/>
        <w:contextualSpacing/>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В община Раднево, рециклируемите части се предават на съответните пунктове, дървесината напр. от ед</w:t>
      </w:r>
      <w:r w:rsidR="00FC5652">
        <w:rPr>
          <w:rFonts w:ascii="Times New Roman" w:eastAsia="Calibri" w:hAnsi="Times New Roman" w:cs="Times New Roman"/>
          <w:sz w:val="24"/>
          <w:szCs w:val="24"/>
        </w:rPr>
        <w:t>рогабаритни отпадъци се предава</w:t>
      </w:r>
      <w:r w:rsidRPr="00CE3DF1">
        <w:rPr>
          <w:rFonts w:ascii="Times New Roman" w:eastAsia="Calibri" w:hAnsi="Times New Roman" w:cs="Times New Roman"/>
          <w:sz w:val="24"/>
          <w:szCs w:val="24"/>
        </w:rPr>
        <w:t xml:space="preserve"> за горене, и едва тогава остатъкът се депонира.</w:t>
      </w:r>
    </w:p>
    <w:p w:rsidR="00CE3DF1" w:rsidRPr="00CE3DF1" w:rsidRDefault="00CE3DF1" w:rsidP="00CE3DF1">
      <w:pPr>
        <w:spacing w:after="0" w:line="276" w:lineRule="auto"/>
        <w:ind w:left="720"/>
        <w:contextualSpacing/>
        <w:jc w:val="both"/>
        <w:rPr>
          <w:rFonts w:ascii="Times New Roman" w:eastAsia="Calibri" w:hAnsi="Times New Roman" w:cs="Times New Roman"/>
          <w:sz w:val="24"/>
          <w:szCs w:val="24"/>
        </w:rPr>
      </w:pP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u w:val="single"/>
        </w:rPr>
      </w:pPr>
      <w:r w:rsidRPr="00CE3DF1">
        <w:rPr>
          <w:rFonts w:ascii="Times New Roman" w:eastAsia="Calibri" w:hAnsi="Times New Roman" w:cs="Times New Roman"/>
          <w:sz w:val="24"/>
          <w:szCs w:val="24"/>
          <w:u w:val="single"/>
        </w:rPr>
        <w:t>Препоръки:</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 xml:space="preserve">На тези площадки/центрове могат да бъдат предавани предмети, които вече са ненужни за едни, след което да бъдат ремонтирани, трансформирани и продадени. Тези центрове </w:t>
      </w:r>
      <w:r w:rsidRPr="00CE3DF1">
        <w:rPr>
          <w:rFonts w:ascii="Times New Roman" w:eastAsia="Calibri" w:hAnsi="Times New Roman" w:cs="Times New Roman"/>
          <w:sz w:val="24"/>
          <w:szCs w:val="24"/>
        </w:rPr>
        <w:lastRenderedPageBreak/>
        <w:t xml:space="preserve">могат да се подържат и съвместно със социални предприятия. По този начин хората в неравностойно положение ще придобият нови знания и умения, ще се осигури работа за пенсионирани хора, които имат основни познания за ремонтни дейности. Там също така могат да работят и доброволци. Поправените стоки биха могли да се продават в специални магазини, организирани към центровете, On-line магазини или  временни базари. </w:t>
      </w:r>
    </w:p>
    <w:p w:rsidR="00CE3DF1" w:rsidRPr="00CE3DF1" w:rsidRDefault="00CE3DF1" w:rsidP="00CE3DF1">
      <w:pPr>
        <w:tabs>
          <w:tab w:val="left" w:pos="426"/>
        </w:tabs>
        <w:spacing w:after="0" w:line="276" w:lineRule="auto"/>
        <w:jc w:val="both"/>
        <w:rPr>
          <w:rFonts w:ascii="Times New Roman" w:eastAsia="Calibri" w:hAnsi="Times New Roman" w:cs="Times New Roman"/>
          <w:sz w:val="24"/>
          <w:szCs w:val="24"/>
        </w:rPr>
      </w:pPr>
    </w:p>
    <w:p w:rsidR="00CE3DF1" w:rsidRPr="00CE3DF1" w:rsidRDefault="00CE3DF1" w:rsidP="00CE3DF1">
      <w:pPr>
        <w:numPr>
          <w:ilvl w:val="0"/>
          <w:numId w:val="5"/>
        </w:numPr>
        <w:tabs>
          <w:tab w:val="left" w:pos="426"/>
        </w:tabs>
        <w:spacing w:after="0" w:line="276" w:lineRule="auto"/>
        <w:jc w:val="both"/>
        <w:rPr>
          <w:rFonts w:ascii="Times New Roman" w:eastAsia="Calibri" w:hAnsi="Times New Roman" w:cs="Times New Roman"/>
          <w:b/>
          <w:sz w:val="24"/>
          <w:szCs w:val="24"/>
          <w:u w:val="single"/>
        </w:rPr>
      </w:pPr>
      <w:r w:rsidRPr="00CE3DF1">
        <w:rPr>
          <w:rFonts w:ascii="Times New Roman" w:eastAsia="Calibri" w:hAnsi="Times New Roman" w:cs="Times New Roman"/>
          <w:sz w:val="24"/>
          <w:szCs w:val="24"/>
          <w:u w:val="single"/>
        </w:rPr>
        <w:t>Информирайте населението и бизнеса за наличните центрове/сервизи за повторна употреба, поправка и подготовка за повторна употреба;</w:t>
      </w:r>
    </w:p>
    <w:p w:rsidR="00CE3DF1" w:rsidRPr="00CE3DF1" w:rsidRDefault="00CE3DF1" w:rsidP="00CE3DF1">
      <w:pPr>
        <w:tabs>
          <w:tab w:val="left" w:pos="426"/>
        </w:tabs>
        <w:spacing w:after="0" w:line="276" w:lineRule="auto"/>
        <w:jc w:val="both"/>
        <w:rPr>
          <w:rFonts w:ascii="Times New Roman" w:eastAsia="Calibri" w:hAnsi="Times New Roman" w:cs="Times New Roman"/>
          <w:b/>
          <w:sz w:val="24"/>
          <w:szCs w:val="24"/>
          <w:u w:val="single"/>
        </w:rPr>
      </w:pPr>
    </w:p>
    <w:p w:rsidR="00CE3DF1" w:rsidRPr="00CE3DF1" w:rsidRDefault="00CE3DF1" w:rsidP="00CE3DF1">
      <w:pPr>
        <w:numPr>
          <w:ilvl w:val="0"/>
          <w:numId w:val="5"/>
        </w:numPr>
        <w:tabs>
          <w:tab w:val="left" w:pos="426"/>
        </w:tabs>
        <w:spacing w:after="0" w:line="276" w:lineRule="auto"/>
        <w:jc w:val="both"/>
        <w:rPr>
          <w:rFonts w:ascii="Times New Roman" w:eastAsia="Calibri" w:hAnsi="Times New Roman" w:cs="Times New Roman"/>
          <w:b/>
          <w:sz w:val="24"/>
          <w:szCs w:val="24"/>
          <w:u w:val="single"/>
        </w:rPr>
      </w:pPr>
      <w:r w:rsidRPr="00CE3DF1">
        <w:rPr>
          <w:rFonts w:ascii="Times New Roman" w:eastAsia="Calibri" w:hAnsi="Times New Roman" w:cs="Times New Roman"/>
          <w:sz w:val="24"/>
          <w:szCs w:val="24"/>
          <w:u w:val="single"/>
        </w:rPr>
        <w:t>Насърчавайте създаването на системи за популяризиране на дейностите по повторна употреба, включително и по-специално на текстил, мебели, електрическо и електронно оборудване и др</w:t>
      </w:r>
      <w:r w:rsidR="00BB4058">
        <w:rPr>
          <w:rFonts w:ascii="Times New Roman" w:eastAsia="Calibri" w:hAnsi="Times New Roman" w:cs="Times New Roman"/>
          <w:sz w:val="24"/>
          <w:szCs w:val="24"/>
          <w:u w:val="single"/>
        </w:rPr>
        <w:t>.</w:t>
      </w:r>
      <w:r w:rsidR="00FC5652">
        <w:rPr>
          <w:rFonts w:ascii="Times New Roman" w:eastAsia="Calibri" w:hAnsi="Times New Roman" w:cs="Times New Roman"/>
          <w:sz w:val="24"/>
          <w:szCs w:val="24"/>
          <w:u w:val="single"/>
        </w:rPr>
        <w:t>;</w:t>
      </w:r>
    </w:p>
    <w:p w:rsidR="00CE3DF1" w:rsidRPr="00CE3DF1" w:rsidRDefault="00CE3DF1" w:rsidP="00CE3DF1">
      <w:pPr>
        <w:tabs>
          <w:tab w:val="left" w:pos="426"/>
        </w:tabs>
        <w:spacing w:after="0" w:line="276" w:lineRule="auto"/>
        <w:jc w:val="both"/>
        <w:rPr>
          <w:rFonts w:ascii="Times New Roman" w:eastAsia="Calibri" w:hAnsi="Times New Roman" w:cs="Times New Roman"/>
          <w:b/>
          <w:sz w:val="24"/>
          <w:szCs w:val="24"/>
          <w:u w:val="single"/>
        </w:rPr>
      </w:pPr>
    </w:p>
    <w:p w:rsidR="00CE3DF1" w:rsidRPr="00CE3DF1" w:rsidRDefault="00CE3DF1" w:rsidP="00CE3DF1">
      <w:pPr>
        <w:numPr>
          <w:ilvl w:val="0"/>
          <w:numId w:val="5"/>
        </w:numPr>
        <w:tabs>
          <w:tab w:val="left" w:pos="426"/>
        </w:tabs>
        <w:spacing w:after="0" w:line="276" w:lineRule="auto"/>
        <w:jc w:val="both"/>
        <w:rPr>
          <w:rFonts w:ascii="Times New Roman" w:eastAsia="Calibri" w:hAnsi="Times New Roman" w:cs="Times New Roman"/>
          <w:b/>
          <w:sz w:val="24"/>
          <w:szCs w:val="24"/>
          <w:u w:val="single"/>
        </w:rPr>
      </w:pPr>
      <w:r w:rsidRPr="00CE3DF1">
        <w:rPr>
          <w:rFonts w:ascii="Times New Roman" w:eastAsia="Calibri" w:hAnsi="Times New Roman" w:cs="Times New Roman"/>
          <w:sz w:val="24"/>
          <w:szCs w:val="24"/>
          <w:u w:val="single"/>
        </w:rPr>
        <w:t>Създайте центрове за повторна употреба, поправка и подготовка за пов</w:t>
      </w:r>
      <w:r w:rsidR="00BB4058">
        <w:rPr>
          <w:rFonts w:ascii="Times New Roman" w:eastAsia="Calibri" w:hAnsi="Times New Roman" w:cs="Times New Roman"/>
          <w:sz w:val="24"/>
          <w:szCs w:val="24"/>
          <w:u w:val="single"/>
        </w:rPr>
        <w:t>торна употреба на ниво „регион“;</w:t>
      </w:r>
    </w:p>
    <w:p w:rsidR="00CE3DF1" w:rsidRPr="00CE3DF1" w:rsidRDefault="00CE3DF1" w:rsidP="00CE3DF1">
      <w:pPr>
        <w:tabs>
          <w:tab w:val="left" w:pos="426"/>
        </w:tabs>
        <w:spacing w:after="0" w:line="276" w:lineRule="auto"/>
        <w:jc w:val="both"/>
        <w:rPr>
          <w:rFonts w:ascii="Times New Roman" w:eastAsia="Calibri" w:hAnsi="Times New Roman" w:cs="Times New Roman"/>
          <w:b/>
          <w:sz w:val="24"/>
          <w:szCs w:val="24"/>
          <w:u w:val="single"/>
        </w:rPr>
      </w:pPr>
    </w:p>
    <w:p w:rsidR="00CE3DF1" w:rsidRPr="00CE3DF1" w:rsidRDefault="00CE3DF1" w:rsidP="00CE3DF1">
      <w:pPr>
        <w:numPr>
          <w:ilvl w:val="0"/>
          <w:numId w:val="5"/>
        </w:numPr>
        <w:tabs>
          <w:tab w:val="left" w:pos="426"/>
        </w:tabs>
        <w:spacing w:after="0" w:line="276" w:lineRule="auto"/>
        <w:jc w:val="both"/>
        <w:rPr>
          <w:rFonts w:ascii="Times New Roman" w:eastAsia="Calibri" w:hAnsi="Times New Roman" w:cs="Times New Roman"/>
          <w:b/>
          <w:sz w:val="24"/>
          <w:szCs w:val="24"/>
          <w:u w:val="single"/>
        </w:rPr>
      </w:pPr>
      <w:r w:rsidRPr="00CE3DF1">
        <w:rPr>
          <w:rFonts w:ascii="Times New Roman" w:eastAsia="Calibri" w:hAnsi="Times New Roman" w:cs="Times New Roman"/>
          <w:sz w:val="24"/>
          <w:szCs w:val="24"/>
          <w:u w:val="single"/>
        </w:rPr>
        <w:t>Създайте базари за обмен на употребявани вещи – напр. детски дрешки и играчки, спортни уреди, вещи за бита, книги, дрехи и др.</w:t>
      </w:r>
    </w:p>
    <w:p w:rsidR="00CE3DF1" w:rsidRPr="00CE3DF1" w:rsidRDefault="00CE3DF1" w:rsidP="00CE3DF1">
      <w:pPr>
        <w:spacing w:after="200" w:line="276" w:lineRule="auto"/>
        <w:jc w:val="both"/>
        <w:rPr>
          <w:rFonts w:ascii="Times New Roman" w:eastAsia="Calibri" w:hAnsi="Times New Roman" w:cs="Times New Roman"/>
          <w:b/>
          <w:i/>
          <w:sz w:val="24"/>
          <w:szCs w:val="24"/>
        </w:rPr>
      </w:pPr>
    </w:p>
    <w:p w:rsidR="00CE3DF1" w:rsidRPr="00CE3DF1" w:rsidRDefault="00CE3DF1" w:rsidP="00CE3DF1">
      <w:pPr>
        <w:spacing w:after="200" w:line="276" w:lineRule="auto"/>
        <w:jc w:val="both"/>
        <w:rPr>
          <w:rFonts w:ascii="Times New Roman" w:eastAsia="Calibri" w:hAnsi="Times New Roman" w:cs="Times New Roman"/>
          <w:b/>
          <w:i/>
          <w:sz w:val="24"/>
          <w:szCs w:val="24"/>
        </w:rPr>
      </w:pPr>
      <w:r w:rsidRPr="00CE3DF1">
        <w:rPr>
          <w:rFonts w:ascii="Times New Roman" w:eastAsia="Calibri" w:hAnsi="Times New Roman" w:cs="Times New Roman"/>
          <w:b/>
          <w:i/>
          <w:sz w:val="24"/>
          <w:szCs w:val="24"/>
        </w:rPr>
        <w:t>Добри общински практики на европейко ниво</w:t>
      </w:r>
    </w:p>
    <w:p w:rsidR="00CE3DF1" w:rsidRPr="00CE3DF1" w:rsidRDefault="00CE3DF1" w:rsidP="00CE3DF1">
      <w:pPr>
        <w:spacing w:after="200" w:line="276" w:lineRule="auto"/>
        <w:jc w:val="both"/>
        <w:rPr>
          <w:rFonts w:ascii="Times New Roman" w:eastAsia="Calibri" w:hAnsi="Times New Roman" w:cs="Times New Roman"/>
          <w:i/>
          <w:sz w:val="24"/>
          <w:szCs w:val="24"/>
        </w:rPr>
      </w:pPr>
      <w:r w:rsidRPr="00CE3DF1">
        <w:rPr>
          <w:rFonts w:ascii="Times New Roman" w:eastAsia="Calibri" w:hAnsi="Times New Roman" w:cs="Times New Roman"/>
          <w:i/>
          <w:sz w:val="24"/>
          <w:szCs w:val="24"/>
        </w:rPr>
        <w:t>Ланегардеробен – Библиотека за облекло (Стокхолм), Швеция</w:t>
      </w:r>
    </w:p>
    <w:p w:rsidR="00CE3DF1" w:rsidRPr="00CE3DF1" w:rsidRDefault="00CE3DF1" w:rsidP="00CE3DF1">
      <w:pPr>
        <w:spacing w:after="20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В библиотеката за облекло, дрехите могат да бъдат дадени назаем вместо книги, позволявайки на клиентите да подновят гардероба си без да повишават потреблението в размер на малка годишна такса. Дрехите, които са дарени от спонсори, пристигат с инструкции за пране. Скъсаните изделия се заменят. Към 2015 г. отворената в Стокхолм Библиотека за дрехи има 160 членове, с тенденция на увеличаване. Други библиотеки за дрехи са отворени в Гьотеборг, Малмьо и Умеа.</w:t>
      </w:r>
    </w:p>
    <w:p w:rsidR="00CE3DF1" w:rsidRPr="00CE3DF1" w:rsidRDefault="00CE3DF1" w:rsidP="00CE3DF1">
      <w:pPr>
        <w:spacing w:after="200" w:line="276" w:lineRule="auto"/>
        <w:jc w:val="both"/>
        <w:rPr>
          <w:rFonts w:ascii="Times New Roman" w:eastAsia="Calibri" w:hAnsi="Times New Roman" w:cs="Times New Roman"/>
          <w:i/>
          <w:sz w:val="24"/>
          <w:szCs w:val="24"/>
        </w:rPr>
      </w:pPr>
      <w:r w:rsidRPr="00CE3DF1">
        <w:rPr>
          <w:rFonts w:ascii="Times New Roman" w:eastAsia="Calibri" w:hAnsi="Times New Roman" w:cs="Times New Roman"/>
          <w:i/>
          <w:sz w:val="24"/>
          <w:szCs w:val="24"/>
        </w:rPr>
        <w:t>Перилни препарати на</w:t>
      </w:r>
      <w:r w:rsidR="00BB4058">
        <w:rPr>
          <w:rFonts w:ascii="Times New Roman" w:eastAsia="Calibri" w:hAnsi="Times New Roman" w:cs="Times New Roman"/>
          <w:i/>
          <w:sz w:val="24"/>
          <w:szCs w:val="24"/>
        </w:rPr>
        <w:t xml:space="preserve"> самообслужване в 12  търговии</w:t>
      </w:r>
      <w:r w:rsidRPr="00CE3DF1">
        <w:rPr>
          <w:rFonts w:ascii="Times New Roman" w:eastAsia="Calibri" w:hAnsi="Times New Roman" w:cs="Times New Roman"/>
          <w:i/>
          <w:sz w:val="24"/>
          <w:szCs w:val="24"/>
        </w:rPr>
        <w:t xml:space="preserve"> на едро (Регион Пиемонте), Италия</w:t>
      </w:r>
    </w:p>
    <w:p w:rsidR="00CE3DF1" w:rsidRPr="00CE3DF1" w:rsidRDefault="00CE3DF1" w:rsidP="00CE3DF1">
      <w:pPr>
        <w:spacing w:after="20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 xml:space="preserve">Поставяне на субсидирани дозатори на перилни препарати в търговиите на едро в региона, придружени от разбираема информационна кампания, насочена към намаляване на образуването на отпадъци от опаковки чрез насърчаване на клиентите да пълнят бутилки за перилни препарати. От ноември 2006 г. до юли 2010 г., 1,283,500 литра препарат (равна на 1,056,426 бутилки) са били продадени. 780,000 бутилки са били повторно използвани, като са предотвратени около 47 тона HDPE пластмаса и двайсет и шест тона хартиени/ </w:t>
      </w:r>
      <w:r w:rsidR="00BB4058">
        <w:rPr>
          <w:rFonts w:ascii="Times New Roman" w:eastAsia="Calibri" w:hAnsi="Times New Roman" w:cs="Times New Roman"/>
          <w:sz w:val="24"/>
          <w:szCs w:val="24"/>
        </w:rPr>
        <w:t>к</w:t>
      </w:r>
      <w:r w:rsidRPr="00CE3DF1">
        <w:rPr>
          <w:rFonts w:ascii="Times New Roman" w:eastAsia="Calibri" w:hAnsi="Times New Roman" w:cs="Times New Roman"/>
          <w:sz w:val="24"/>
          <w:szCs w:val="24"/>
        </w:rPr>
        <w:t>артонени отпадъци. Досега нито един магазин не е върнал дозатор, а проектът е адаптиран и от други италиански региони.</w:t>
      </w:r>
    </w:p>
    <w:p w:rsidR="00CE3DF1" w:rsidRPr="00CE3DF1" w:rsidRDefault="00CE3DF1" w:rsidP="00CE3DF1">
      <w:pPr>
        <w:spacing w:after="200" w:line="276" w:lineRule="auto"/>
        <w:jc w:val="both"/>
        <w:rPr>
          <w:rFonts w:ascii="Times New Roman" w:eastAsia="Calibri" w:hAnsi="Times New Roman" w:cs="Times New Roman"/>
          <w:i/>
          <w:sz w:val="24"/>
          <w:szCs w:val="24"/>
        </w:rPr>
      </w:pPr>
      <w:r w:rsidRPr="00CE3DF1">
        <w:rPr>
          <w:rFonts w:ascii="Times New Roman" w:eastAsia="Calibri" w:hAnsi="Times New Roman" w:cs="Times New Roman"/>
          <w:i/>
          <w:sz w:val="24"/>
          <w:szCs w:val="24"/>
        </w:rPr>
        <w:t>Екомебел – трансформиране на мебели, Германия</w:t>
      </w:r>
    </w:p>
    <w:p w:rsidR="00CE3DF1" w:rsidRPr="00CE3DF1" w:rsidRDefault="00CE3DF1" w:rsidP="00CE3DF1">
      <w:pPr>
        <w:spacing w:after="20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lastRenderedPageBreak/>
        <w:t>Екомебел е мрежа за ремонт и пускане на пазара на употребявани мебели, наречен ZweitSinn ("Втората цел") и събира заедно дизайнери, производители на мебели и търговци на дребно. Продуктите са изработени от стари части за мебели или мебели, тествани за вредни вещества, третирани и получили сертификат за качество. Мрежата има около 100 членове и до 10,000 клиенти. К</w:t>
      </w:r>
      <w:r w:rsidR="00BB4058">
        <w:rPr>
          <w:rFonts w:ascii="Times New Roman" w:eastAsia="Calibri" w:hAnsi="Times New Roman" w:cs="Times New Roman"/>
          <w:sz w:val="24"/>
          <w:szCs w:val="24"/>
        </w:rPr>
        <w:t xml:space="preserve">ъм настоящият момент 35 тона мебели се продават годишно, като </w:t>
      </w:r>
      <w:r w:rsidRPr="00CE3DF1">
        <w:rPr>
          <w:rFonts w:ascii="Times New Roman" w:eastAsia="Calibri" w:hAnsi="Times New Roman" w:cs="Times New Roman"/>
          <w:sz w:val="24"/>
          <w:szCs w:val="24"/>
        </w:rPr>
        <w:t>цифрите продължават да растат.</w:t>
      </w:r>
    </w:p>
    <w:p w:rsidR="00CE3DF1" w:rsidRPr="00CE3DF1" w:rsidRDefault="00CE3DF1" w:rsidP="00CE3DF1">
      <w:pPr>
        <w:spacing w:after="200" w:line="276" w:lineRule="auto"/>
        <w:jc w:val="both"/>
        <w:rPr>
          <w:rFonts w:ascii="Times New Roman" w:eastAsia="Calibri" w:hAnsi="Times New Roman" w:cs="Times New Roman"/>
          <w:i/>
          <w:sz w:val="24"/>
          <w:szCs w:val="24"/>
        </w:rPr>
      </w:pPr>
      <w:r w:rsidRPr="00CE3DF1">
        <w:rPr>
          <w:rFonts w:ascii="Times New Roman" w:eastAsia="Calibri" w:hAnsi="Times New Roman" w:cs="Times New Roman"/>
          <w:i/>
          <w:sz w:val="24"/>
          <w:szCs w:val="24"/>
        </w:rPr>
        <w:t>Парк за втора употреба - Гьотеборг, Швеция</w:t>
      </w:r>
    </w:p>
    <w:p w:rsidR="00CE3DF1" w:rsidRPr="00CE3DF1" w:rsidRDefault="00CE3DF1" w:rsidP="00CE3DF1">
      <w:pPr>
        <w:spacing w:after="20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Отличен пример за такъв център е паркът за втора употреба в Гьотеборг, Швеция (Kretsloppsparken Alelyckan), където посетителите първо биват поканени от служителите да дарят предмети или материали, които все още са годни за използване, ако носят такива, след което предават своите строителни, електронни или други разделени отпадъци за рециклиране, а накрая имат възможност да закупят стоки – втора употреба. Това са предимно строителни материали, мебели, дрехи, книги, посуда и други дребни битови предмети. Подготовката за повторна употреба, като поправка на велосипеди, мебели и др., се прави от хора, останали без работа, които така придобиват нови умения и възможност за достойно препитание. Философията на този център е, че посещението там трябва да бъде приятно и за хората да бъде лесно да дарят излишните си предмети, да си купят изделия втора употреба и да разделят отпадъците си за рециклиране. Чрез организиране на забавни събития и изобретателна нагласа центърът привлича 300-400 посетители всеки ден, реализира годишен оборот от над 1 милион евро и предотвратява над 360 тона отпадъци, като дава шанс за втори живот на над 70% от донесените отпадъци.</w:t>
      </w:r>
    </w:p>
    <w:p w:rsidR="00CE3DF1" w:rsidRPr="00CE3DF1" w:rsidRDefault="00CE3DF1" w:rsidP="00CE3DF1">
      <w:pPr>
        <w:numPr>
          <w:ilvl w:val="2"/>
          <w:numId w:val="10"/>
        </w:numPr>
        <w:spacing w:after="200" w:line="276" w:lineRule="auto"/>
        <w:ind w:left="709" w:hanging="709"/>
        <w:jc w:val="both"/>
        <w:rPr>
          <w:rFonts w:ascii="Times New Roman" w:eastAsia="Calibri" w:hAnsi="Times New Roman" w:cs="Times New Roman"/>
          <w:b/>
          <w:sz w:val="24"/>
          <w:szCs w:val="24"/>
        </w:rPr>
      </w:pPr>
      <w:r w:rsidRPr="00CE3DF1">
        <w:rPr>
          <w:rFonts w:ascii="Times New Roman" w:eastAsia="Calibri" w:hAnsi="Times New Roman" w:cs="Times New Roman"/>
          <w:b/>
          <w:sz w:val="24"/>
          <w:szCs w:val="24"/>
        </w:rPr>
        <w:t>Ползи от създаване на центрове за повторна употреба и рециклиране</w:t>
      </w:r>
    </w:p>
    <w:p w:rsidR="00CE3DF1" w:rsidRPr="00CE3DF1" w:rsidRDefault="00CE3DF1" w:rsidP="00CE3DF1">
      <w:pPr>
        <w:spacing w:after="200" w:line="276" w:lineRule="auto"/>
        <w:jc w:val="both"/>
        <w:rPr>
          <w:rFonts w:ascii="Times New Roman" w:eastAsia="Calibri" w:hAnsi="Times New Roman" w:cs="Times New Roman"/>
          <w:iCs/>
          <w:sz w:val="24"/>
          <w:szCs w:val="24"/>
        </w:rPr>
      </w:pPr>
      <w:r w:rsidRPr="00CE3DF1">
        <w:rPr>
          <w:rFonts w:ascii="Times New Roman" w:eastAsia="Calibri" w:hAnsi="Times New Roman" w:cs="Times New Roman"/>
          <w:b/>
          <w:iCs/>
          <w:sz w:val="24"/>
          <w:szCs w:val="24"/>
        </w:rPr>
        <w:t>а.) Социални</w:t>
      </w:r>
      <w:r w:rsidRPr="00CE3DF1">
        <w:rPr>
          <w:rFonts w:ascii="Times New Roman" w:eastAsia="Calibri" w:hAnsi="Times New Roman" w:cs="Times New Roman"/>
          <w:iCs/>
          <w:sz w:val="24"/>
          <w:szCs w:val="24"/>
        </w:rPr>
        <w:t>: Социалните ползи свързани с повторната употреба и рециклирането на отпадъци от домакинствата са свързани с намаляване на бедността, подобряване на социалното сближаване и развитието на общностната среда. Бедността се намалява чрез създаването на нови работни места, придобиване на нови умения чрез организирани обучения и наличие на достъпни стоки. Обучението за придобиване на умения и работа може да бъде осигурено от организациите и центровете за повторна употреба и рециклиране и може да включва области като бизнес практики и придобиване на специализирани умения като дърводелство, маркетинг, електроника, компютърни технологии и шивашки дейности.  Поправените и възстановени предмети и материали могат да  се предложат на домакинства с ниски доходи и хора в неравностойно положение.</w:t>
      </w:r>
    </w:p>
    <w:p w:rsidR="00CE3DF1" w:rsidRPr="00CE3DF1" w:rsidRDefault="00CE3DF1" w:rsidP="00CE3DF1">
      <w:p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b/>
          <w:sz w:val="24"/>
          <w:szCs w:val="24"/>
        </w:rPr>
        <w:t>б.) Ползи за околната среда</w:t>
      </w:r>
      <w:r w:rsidRPr="00CE3DF1">
        <w:rPr>
          <w:rFonts w:ascii="Times New Roman" w:eastAsia="Calibri" w:hAnsi="Times New Roman" w:cs="Times New Roman"/>
          <w:sz w:val="24"/>
          <w:szCs w:val="24"/>
        </w:rPr>
        <w:t xml:space="preserve"> - повторната употреба и  рециклирането на отпадъци от домакинства може да допринесе значително за постигане на целите свързани с управлението на отпадъците на национално ниво, за изпълнение на планове и стратегии за предотвратяване на отпадъците на местно ниво.</w:t>
      </w:r>
    </w:p>
    <w:p w:rsidR="00CE3DF1" w:rsidRPr="00CE3DF1" w:rsidRDefault="00CE3DF1" w:rsidP="00CE3DF1">
      <w:p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 xml:space="preserve">Повторното използване и рециклирането на отпадъци спомага за намаляване на нуждите от използване на земни ресурси и намаляване замърсяването, свързано с добива, </w:t>
      </w:r>
      <w:r w:rsidRPr="00CE3DF1">
        <w:rPr>
          <w:rFonts w:ascii="Times New Roman" w:eastAsia="Calibri" w:hAnsi="Times New Roman" w:cs="Times New Roman"/>
          <w:sz w:val="24"/>
          <w:szCs w:val="24"/>
        </w:rPr>
        <w:lastRenderedPageBreak/>
        <w:t>преработката и производството на материали. Когато артикулите се използват повторно, замърсяването се намалява по два начина:</w:t>
      </w:r>
    </w:p>
    <w:p w:rsidR="00CE3DF1" w:rsidRPr="00CE3DF1" w:rsidRDefault="00CE3DF1" w:rsidP="00CE3DF1">
      <w:pPr>
        <w:numPr>
          <w:ilvl w:val="0"/>
          <w:numId w:val="14"/>
        </w:numPr>
        <w:spacing w:after="200" w:line="276" w:lineRule="auto"/>
        <w:ind w:left="1068"/>
        <w:contextualSpacing/>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 xml:space="preserve">Добив на по-малко суровини, необходими за производството на нови мебели и други подобни артикули; </w:t>
      </w:r>
    </w:p>
    <w:p w:rsidR="00CE3DF1" w:rsidRPr="00CE3DF1" w:rsidRDefault="00CE3DF1" w:rsidP="00CE3DF1">
      <w:pPr>
        <w:numPr>
          <w:ilvl w:val="0"/>
          <w:numId w:val="14"/>
        </w:numPr>
        <w:spacing w:after="200" w:line="276" w:lineRule="auto"/>
        <w:ind w:left="1068"/>
        <w:contextualSpacing/>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 xml:space="preserve">Производство на по-малко нови артикули, в следствие на повторната употреба </w:t>
      </w:r>
    </w:p>
    <w:p w:rsidR="00CE3DF1" w:rsidRPr="00CE3DF1" w:rsidRDefault="00CE3DF1" w:rsidP="00CE3DF1">
      <w:pPr>
        <w:spacing w:after="20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За производството на нови продукти е необходимо използването на енергия, вода и химикали в производствения процес, което води до образуването на емисии. Енергията, която първоначално е била използвана за производството на даден артикул може да бъде спестена чрез повторното използване на дадения артикул и/или повторното използване на материалите от които е съставен той (дървени материали, метал, текстил и др.). Производството и продажбата на нови продукти и материали също така води до увеличаване на емисиите от транспорта. Тези емисии биха могли да бъдат намалени значително, когато съществуващите материали се използват повторно на местно ниво.</w:t>
      </w:r>
    </w:p>
    <w:p w:rsidR="00CE3DF1" w:rsidRPr="00CE3DF1" w:rsidRDefault="00CE3DF1" w:rsidP="00CE3DF1">
      <w:pPr>
        <w:spacing w:after="200" w:line="276" w:lineRule="auto"/>
        <w:jc w:val="both"/>
        <w:rPr>
          <w:rFonts w:ascii="Times New Roman" w:eastAsia="Calibri" w:hAnsi="Times New Roman" w:cs="Times New Roman"/>
          <w:sz w:val="24"/>
          <w:szCs w:val="24"/>
        </w:rPr>
      </w:pPr>
    </w:p>
    <w:p w:rsidR="00CE3DF1" w:rsidRPr="00CE3DF1" w:rsidRDefault="00CE3DF1" w:rsidP="00CE3DF1">
      <w:pPr>
        <w:numPr>
          <w:ilvl w:val="1"/>
          <w:numId w:val="10"/>
        </w:numPr>
        <w:spacing w:after="200" w:line="276" w:lineRule="auto"/>
        <w:contextualSpacing/>
        <w:jc w:val="both"/>
        <w:rPr>
          <w:rFonts w:ascii="Times New Roman" w:eastAsia="Calibri" w:hAnsi="Times New Roman" w:cs="Times New Roman"/>
          <w:b/>
          <w:sz w:val="24"/>
          <w:szCs w:val="24"/>
        </w:rPr>
      </w:pPr>
      <w:r w:rsidRPr="00CE3DF1">
        <w:rPr>
          <w:rFonts w:ascii="Times New Roman" w:eastAsia="Calibri" w:hAnsi="Times New Roman" w:cs="Times New Roman"/>
          <w:b/>
          <w:sz w:val="24"/>
          <w:szCs w:val="24"/>
        </w:rPr>
        <w:t>Информационни кампании</w:t>
      </w:r>
    </w:p>
    <w:p w:rsidR="00CE3DF1" w:rsidRPr="00CE3DF1" w:rsidRDefault="00CE3DF1" w:rsidP="00CE3DF1">
      <w:pPr>
        <w:tabs>
          <w:tab w:val="left" w:pos="567"/>
        </w:tabs>
        <w:spacing w:after="200" w:line="276" w:lineRule="auto"/>
        <w:jc w:val="both"/>
        <w:rPr>
          <w:rFonts w:ascii="Times New Roman" w:eastAsia="Times New Roman" w:hAnsi="Times New Roman" w:cs="Times New Roman"/>
          <w:sz w:val="24"/>
          <w:szCs w:val="24"/>
          <w:bdr w:val="none" w:sz="0" w:space="0" w:color="auto" w:frame="1"/>
          <w:lang w:eastAsia="bg-BG"/>
        </w:rPr>
      </w:pPr>
      <w:r w:rsidRPr="00CE3DF1">
        <w:rPr>
          <w:rFonts w:ascii="Times New Roman" w:eastAsia="Times New Roman" w:hAnsi="Times New Roman" w:cs="Times New Roman"/>
          <w:sz w:val="24"/>
          <w:szCs w:val="24"/>
          <w:bdr w:val="none" w:sz="0" w:space="0" w:color="auto" w:frame="1"/>
          <w:lang w:eastAsia="bg-BG"/>
        </w:rPr>
        <w:t>В съответствие с изискванията на чл. 19, ал. 3, т.13 от ЗУО и във връзка с осигуряване на информация за разделно събиране на битови отпадъци, ви препоръчваме да изработите и раздавате на гражданите кратки информационни листовки, които да отговарят на най-често задаваните въпроси, като например:</w:t>
      </w:r>
    </w:p>
    <w:p w:rsidR="00CE3DF1" w:rsidRPr="00CE3DF1" w:rsidRDefault="00CE3DF1" w:rsidP="00CE3DF1">
      <w:pPr>
        <w:numPr>
          <w:ilvl w:val="0"/>
          <w:numId w:val="14"/>
        </w:numPr>
        <w:tabs>
          <w:tab w:val="left" w:pos="567"/>
        </w:tabs>
        <w:spacing w:after="200" w:line="276" w:lineRule="auto"/>
        <w:ind w:left="567" w:hanging="207"/>
        <w:contextualSpacing/>
        <w:jc w:val="both"/>
        <w:rPr>
          <w:rFonts w:ascii="Times New Roman" w:eastAsia="Times New Roman" w:hAnsi="Times New Roman" w:cs="Times New Roman"/>
          <w:sz w:val="24"/>
          <w:szCs w:val="24"/>
          <w:bdr w:val="none" w:sz="0" w:space="0" w:color="auto" w:frame="1"/>
          <w:lang w:eastAsia="bg-BG"/>
        </w:rPr>
      </w:pPr>
      <w:r w:rsidRPr="00CE3DF1">
        <w:rPr>
          <w:rFonts w:ascii="Times New Roman" w:eastAsia="Times New Roman" w:hAnsi="Times New Roman" w:cs="Times New Roman"/>
          <w:sz w:val="24"/>
          <w:szCs w:val="24"/>
          <w:bdr w:val="none" w:sz="0" w:space="0" w:color="auto" w:frame="1"/>
          <w:lang w:eastAsia="bg-BG"/>
        </w:rPr>
        <w:t xml:space="preserve">как и къде се </w:t>
      </w:r>
      <w:r w:rsidR="0063332C">
        <w:rPr>
          <w:rFonts w:ascii="Times New Roman" w:eastAsia="Times New Roman" w:hAnsi="Times New Roman" w:cs="Times New Roman"/>
          <w:sz w:val="24"/>
          <w:szCs w:val="24"/>
          <w:bdr w:val="none" w:sz="0" w:space="0" w:color="auto" w:frame="1"/>
          <w:lang w:eastAsia="bg-BG"/>
        </w:rPr>
        <w:t>предават  отпадъци от опаковки и</w:t>
      </w:r>
      <w:r w:rsidRPr="00CE3DF1">
        <w:rPr>
          <w:rFonts w:ascii="Times New Roman" w:eastAsia="Times New Roman" w:hAnsi="Times New Roman" w:cs="Times New Roman"/>
          <w:sz w:val="24"/>
          <w:szCs w:val="24"/>
          <w:bdr w:val="none" w:sz="0" w:space="0" w:color="auto" w:frame="1"/>
          <w:lang w:eastAsia="bg-BG"/>
        </w:rPr>
        <w:t xml:space="preserve"> </w:t>
      </w:r>
      <w:r w:rsidRPr="00CE3DF1">
        <w:rPr>
          <w:rFonts w:ascii="Times New Roman" w:eastAsia="Calibri" w:hAnsi="Times New Roman" w:cs="Times New Roman"/>
          <w:sz w:val="24"/>
          <w:szCs w:val="24"/>
        </w:rPr>
        <w:t xml:space="preserve">отпадъчни материали от хартия и картон, метал, пластмаса и стъкло; опасни отпадъци от бита; биоразградими отпадъци, масово разпространени отпадъци и др. </w:t>
      </w:r>
    </w:p>
    <w:p w:rsidR="00CE3DF1" w:rsidRPr="00CE3DF1" w:rsidRDefault="00CE3DF1" w:rsidP="00CE3DF1">
      <w:pPr>
        <w:numPr>
          <w:ilvl w:val="0"/>
          <w:numId w:val="14"/>
        </w:numPr>
        <w:tabs>
          <w:tab w:val="left" w:pos="567"/>
        </w:tabs>
        <w:spacing w:after="200" w:line="276" w:lineRule="auto"/>
        <w:contextualSpacing/>
        <w:jc w:val="both"/>
        <w:rPr>
          <w:rFonts w:ascii="Times New Roman" w:eastAsia="Times New Roman" w:hAnsi="Times New Roman" w:cs="Times New Roman"/>
          <w:sz w:val="24"/>
          <w:szCs w:val="24"/>
          <w:bdr w:val="none" w:sz="0" w:space="0" w:color="auto" w:frame="1"/>
          <w:lang w:eastAsia="bg-BG"/>
        </w:rPr>
      </w:pPr>
      <w:r w:rsidRPr="00CE3DF1">
        <w:rPr>
          <w:rFonts w:ascii="Times New Roman" w:eastAsia="Times New Roman" w:hAnsi="Times New Roman" w:cs="Times New Roman"/>
          <w:sz w:val="24"/>
          <w:szCs w:val="24"/>
          <w:bdr w:val="none" w:sz="0" w:space="0" w:color="auto" w:frame="1"/>
          <w:lang w:eastAsia="bg-BG"/>
        </w:rPr>
        <w:t xml:space="preserve"> по какъв график се събират, какво се случва после с тях. </w:t>
      </w:r>
    </w:p>
    <w:p w:rsidR="00CE3DF1" w:rsidRPr="00CE3DF1" w:rsidRDefault="00CE3DF1" w:rsidP="00CE3DF1">
      <w:pPr>
        <w:tabs>
          <w:tab w:val="left" w:pos="567"/>
        </w:tabs>
        <w:spacing w:after="200" w:line="276" w:lineRule="auto"/>
        <w:jc w:val="both"/>
        <w:rPr>
          <w:rFonts w:ascii="Times New Roman" w:eastAsia="Times New Roman" w:hAnsi="Times New Roman" w:cs="Times New Roman"/>
          <w:sz w:val="24"/>
          <w:szCs w:val="24"/>
          <w:bdr w:val="none" w:sz="0" w:space="0" w:color="auto" w:frame="1"/>
          <w:lang w:eastAsia="bg-BG"/>
        </w:rPr>
      </w:pPr>
      <w:r w:rsidRPr="00CE3DF1">
        <w:rPr>
          <w:rFonts w:ascii="Times New Roman" w:eastAsia="Times New Roman" w:hAnsi="Times New Roman" w:cs="Times New Roman"/>
          <w:sz w:val="24"/>
          <w:szCs w:val="24"/>
          <w:bdr w:val="none" w:sz="0" w:space="0" w:color="auto" w:frame="1"/>
          <w:lang w:eastAsia="bg-BG"/>
        </w:rPr>
        <w:t xml:space="preserve">Добра практика е информацията да включва повече илюстрации и снимки, документиращи процесите, както и задължителна данни за контакти със съответните отговорни лица и организации. </w:t>
      </w:r>
    </w:p>
    <w:p w:rsidR="00CE3DF1" w:rsidRPr="00CE3DF1" w:rsidRDefault="00CE3DF1" w:rsidP="00CE3DF1">
      <w:pPr>
        <w:tabs>
          <w:tab w:val="left" w:pos="567"/>
        </w:tabs>
        <w:spacing w:after="200" w:line="276" w:lineRule="auto"/>
        <w:jc w:val="both"/>
        <w:rPr>
          <w:rFonts w:ascii="Times New Roman" w:eastAsia="Times New Roman" w:hAnsi="Times New Roman" w:cs="Times New Roman"/>
          <w:sz w:val="24"/>
          <w:szCs w:val="24"/>
          <w:bdr w:val="none" w:sz="0" w:space="0" w:color="auto" w:frame="1"/>
          <w:lang w:eastAsia="bg-BG"/>
        </w:rPr>
      </w:pPr>
      <w:r w:rsidRPr="00CE3DF1">
        <w:rPr>
          <w:rFonts w:ascii="Times New Roman" w:eastAsia="Times New Roman" w:hAnsi="Times New Roman" w:cs="Times New Roman"/>
          <w:sz w:val="24"/>
          <w:szCs w:val="24"/>
          <w:bdr w:val="none" w:sz="0" w:space="0" w:color="auto" w:frame="1"/>
          <w:lang w:eastAsia="bg-BG"/>
        </w:rPr>
        <w:t xml:space="preserve">Провеждането на информационни образователни  кампании в голяма степен ще допринесе за създаване на култура сред гражданите за отговорно отношение към изхвърлянето на отпадъци. Ще ги стимулира да предават за поправка и  повторна употреба ненужните си вещи, особено след  изграждане на  центрове за  повторна употреба и подготовка за повторна употреба. </w:t>
      </w:r>
    </w:p>
    <w:p w:rsidR="00CE3DF1" w:rsidRPr="00CE3DF1" w:rsidRDefault="00CE3DF1" w:rsidP="00CE3DF1">
      <w:pPr>
        <w:tabs>
          <w:tab w:val="left" w:pos="567"/>
        </w:tabs>
        <w:spacing w:after="200" w:line="276" w:lineRule="auto"/>
        <w:jc w:val="both"/>
        <w:rPr>
          <w:rFonts w:ascii="Times New Roman" w:eastAsia="Times New Roman" w:hAnsi="Times New Roman" w:cs="Times New Roman"/>
          <w:sz w:val="24"/>
          <w:szCs w:val="24"/>
          <w:bdr w:val="none" w:sz="0" w:space="0" w:color="auto" w:frame="1"/>
          <w:lang w:eastAsia="bg-BG"/>
        </w:rPr>
      </w:pPr>
      <w:r w:rsidRPr="00CE3DF1">
        <w:rPr>
          <w:rFonts w:ascii="Times New Roman" w:eastAsia="Times New Roman" w:hAnsi="Times New Roman" w:cs="Times New Roman"/>
          <w:sz w:val="24"/>
          <w:szCs w:val="24"/>
          <w:bdr w:val="none" w:sz="0" w:space="0" w:color="auto" w:frame="1"/>
          <w:lang w:eastAsia="bg-BG"/>
        </w:rPr>
        <w:t xml:space="preserve">Една от най-подходящите възможности за предоставяне на важна информация относно правилното изхвърляне на различните видове отпадъци на гражданите е личният контакт с общинската администрация. Това може да стане най-добре например при заплащането на местните данъци и такси. Организирането на поредица от </w:t>
      </w:r>
      <w:r w:rsidR="0063332C">
        <w:rPr>
          <w:rFonts w:ascii="Times New Roman" w:eastAsia="Times New Roman" w:hAnsi="Times New Roman" w:cs="Times New Roman"/>
          <w:sz w:val="24"/>
          <w:szCs w:val="24"/>
          <w:bdr w:val="none" w:sz="0" w:space="0" w:color="auto" w:frame="1"/>
          <w:lang w:eastAsia="bg-BG"/>
        </w:rPr>
        <w:t>срещи с домоуправители на етажна собственост</w:t>
      </w:r>
      <w:r w:rsidRPr="00CE3DF1">
        <w:rPr>
          <w:rFonts w:ascii="Times New Roman" w:eastAsia="Times New Roman" w:hAnsi="Times New Roman" w:cs="Times New Roman"/>
          <w:sz w:val="24"/>
          <w:szCs w:val="24"/>
          <w:bdr w:val="none" w:sz="0" w:space="0" w:color="auto" w:frame="1"/>
          <w:lang w:eastAsia="bg-BG"/>
        </w:rPr>
        <w:t xml:space="preserve"> или заинтересовани жители по квартали също е отличен начин за пряка връзка с гражданите, която дава възможност не само за разясняване на техните права и задължения по отношение на отпадъците, но също и за получаване на обратна връзка, включително и сигнали за нарушения и т.н. </w:t>
      </w:r>
    </w:p>
    <w:p w:rsidR="00CE3DF1" w:rsidRPr="00CE3DF1" w:rsidRDefault="00CE3DF1" w:rsidP="00CE3DF1">
      <w:pPr>
        <w:tabs>
          <w:tab w:val="left" w:pos="567"/>
        </w:tabs>
        <w:spacing w:after="200" w:line="276" w:lineRule="auto"/>
        <w:jc w:val="both"/>
        <w:rPr>
          <w:rFonts w:ascii="Times New Roman" w:eastAsia="Times New Roman" w:hAnsi="Times New Roman" w:cs="Times New Roman"/>
          <w:sz w:val="24"/>
          <w:szCs w:val="24"/>
          <w:bdr w:val="none" w:sz="0" w:space="0" w:color="auto" w:frame="1"/>
          <w:lang w:eastAsia="bg-BG"/>
        </w:rPr>
      </w:pPr>
      <w:r w:rsidRPr="00CE3DF1">
        <w:rPr>
          <w:rFonts w:ascii="Times New Roman" w:eastAsia="Calibri" w:hAnsi="Times New Roman" w:cs="Times New Roman"/>
          <w:sz w:val="24"/>
          <w:szCs w:val="24"/>
        </w:rPr>
        <w:lastRenderedPageBreak/>
        <w:t>Публикуване на актуална информация за отпадъците и управлението им на интернет страницата на общината също е важна мярка. Тази мярка е важна</w:t>
      </w:r>
      <w:r w:rsidR="0063332C">
        <w:rPr>
          <w:rFonts w:ascii="Times New Roman" w:eastAsia="Calibri" w:hAnsi="Times New Roman" w:cs="Times New Roman"/>
          <w:sz w:val="24"/>
          <w:szCs w:val="24"/>
        </w:rPr>
        <w:t>,</w:t>
      </w:r>
      <w:r w:rsidRPr="00CE3DF1">
        <w:rPr>
          <w:rFonts w:ascii="Times New Roman" w:eastAsia="Calibri" w:hAnsi="Times New Roman" w:cs="Times New Roman"/>
          <w:sz w:val="24"/>
          <w:szCs w:val="24"/>
        </w:rPr>
        <w:t xml:space="preserve"> за да дава представа на населението какви са целите за рециклиране и оползотворяване на отпадъците, които общината следва да постигне и какви са реалните резултати. Подобна информация много лесно би се получавала с въвеждането на Общинска информационна система за управление на отпадъците и при включване в системата на всички обекти при</w:t>
      </w:r>
      <w:r w:rsidR="0063332C">
        <w:rPr>
          <w:rFonts w:ascii="Times New Roman" w:eastAsia="Calibri" w:hAnsi="Times New Roman" w:cs="Times New Roman"/>
          <w:sz w:val="24"/>
          <w:szCs w:val="24"/>
        </w:rPr>
        <w:t>емащи за съхранение/третиране</w:t>
      </w:r>
      <w:r w:rsidRPr="00CE3DF1">
        <w:rPr>
          <w:rFonts w:ascii="Times New Roman" w:eastAsia="Calibri" w:hAnsi="Times New Roman" w:cs="Times New Roman"/>
          <w:sz w:val="24"/>
          <w:szCs w:val="24"/>
        </w:rPr>
        <w:t xml:space="preserve"> отпадъци на територията на общината би могла да отчита буквално всяка седмица напредъкът в изпълнението на целите.</w:t>
      </w:r>
    </w:p>
    <w:p w:rsidR="00CE3DF1" w:rsidRPr="00CE3DF1" w:rsidRDefault="00CE3DF1" w:rsidP="00CE3DF1">
      <w:pPr>
        <w:tabs>
          <w:tab w:val="left" w:pos="567"/>
        </w:tabs>
        <w:spacing w:after="200" w:line="276" w:lineRule="auto"/>
        <w:jc w:val="both"/>
        <w:rPr>
          <w:rFonts w:ascii="Times New Roman" w:eastAsia="Times New Roman" w:hAnsi="Times New Roman" w:cs="Times New Roman"/>
          <w:sz w:val="24"/>
          <w:szCs w:val="24"/>
          <w:bdr w:val="none" w:sz="0" w:space="0" w:color="auto" w:frame="1"/>
          <w:lang w:eastAsia="bg-BG"/>
        </w:rPr>
      </w:pPr>
      <w:r w:rsidRPr="00CE3DF1">
        <w:rPr>
          <w:rFonts w:ascii="Times New Roman" w:eastAsia="Times New Roman" w:hAnsi="Times New Roman" w:cs="Times New Roman"/>
          <w:sz w:val="24"/>
          <w:szCs w:val="24"/>
          <w:bdr w:val="none" w:sz="0" w:space="0" w:color="auto" w:frame="1"/>
          <w:lang w:eastAsia="bg-BG"/>
        </w:rPr>
        <w:t xml:space="preserve">Добрите европейски практики сочат, че провеждането на постоянна широка образователна кампания, включваща максимален брой жители и генератори на отпадъци е един от най-добрите способи за постигането на високи резултати за намаляване на отпадъците. </w:t>
      </w:r>
    </w:p>
    <w:p w:rsidR="00CE3DF1" w:rsidRPr="001D2671" w:rsidRDefault="00CE3DF1" w:rsidP="00CE3DF1">
      <w:pPr>
        <w:numPr>
          <w:ilvl w:val="0"/>
          <w:numId w:val="10"/>
        </w:numPr>
        <w:tabs>
          <w:tab w:val="left" w:pos="426"/>
        </w:tabs>
        <w:spacing w:after="0" w:line="276" w:lineRule="auto"/>
        <w:jc w:val="both"/>
        <w:rPr>
          <w:rFonts w:ascii="Times New Roman" w:eastAsia="Calibri" w:hAnsi="Times New Roman" w:cs="Times New Roman"/>
          <w:sz w:val="28"/>
          <w:szCs w:val="28"/>
        </w:rPr>
      </w:pPr>
      <w:r w:rsidRPr="001D2671">
        <w:rPr>
          <w:rFonts w:ascii="Times New Roman" w:eastAsia="Calibri" w:hAnsi="Times New Roman" w:cs="Times New Roman"/>
          <w:b/>
          <w:sz w:val="28"/>
          <w:szCs w:val="28"/>
        </w:rPr>
        <w:t xml:space="preserve">Начини на финансиране за изпълнение на дейностите </w:t>
      </w:r>
    </w:p>
    <w:p w:rsidR="00CE3DF1" w:rsidRPr="00CE3DF1" w:rsidRDefault="00CE3DF1" w:rsidP="00CE3DF1">
      <w:pPr>
        <w:suppressAutoHyphens/>
        <w:spacing w:after="120" w:line="276" w:lineRule="auto"/>
        <w:jc w:val="both"/>
        <w:rPr>
          <w:rFonts w:ascii="Times New Roman" w:eastAsia="Calibri" w:hAnsi="Times New Roman" w:cs="Times New Roman"/>
          <w:bCs/>
          <w:sz w:val="24"/>
          <w:szCs w:val="24"/>
          <w:lang w:eastAsia="ar-SA"/>
        </w:rPr>
      </w:pPr>
      <w:r w:rsidRPr="00CE3DF1">
        <w:rPr>
          <w:rFonts w:ascii="Times New Roman" w:eastAsia="Calibri" w:hAnsi="Times New Roman" w:cs="Times New Roman"/>
          <w:bCs/>
          <w:sz w:val="24"/>
          <w:szCs w:val="24"/>
          <w:lang w:eastAsia="ar-SA"/>
        </w:rPr>
        <w:t>Основните идентифицирани източници на фина</w:t>
      </w:r>
      <w:r w:rsidR="0063332C">
        <w:rPr>
          <w:rFonts w:ascii="Times New Roman" w:eastAsia="Calibri" w:hAnsi="Times New Roman" w:cs="Times New Roman"/>
          <w:bCs/>
          <w:sz w:val="24"/>
          <w:szCs w:val="24"/>
          <w:lang w:eastAsia="ar-SA"/>
        </w:rPr>
        <w:t>н</w:t>
      </w:r>
      <w:r w:rsidRPr="00CE3DF1">
        <w:rPr>
          <w:rFonts w:ascii="Times New Roman" w:eastAsia="Calibri" w:hAnsi="Times New Roman" w:cs="Times New Roman"/>
          <w:bCs/>
          <w:sz w:val="24"/>
          <w:szCs w:val="24"/>
          <w:lang w:eastAsia="ar-SA"/>
        </w:rPr>
        <w:t>сиране могат да бъдат:</w:t>
      </w:r>
    </w:p>
    <w:p w:rsidR="00CE3DF1" w:rsidRPr="00CE3DF1" w:rsidRDefault="0063332C" w:rsidP="00CE3DF1">
      <w:pPr>
        <w:suppressAutoHyphens/>
        <w:spacing w:after="120" w:line="276" w:lineRule="auto"/>
        <w:jc w:val="both"/>
        <w:rPr>
          <w:rFonts w:ascii="Times New Roman" w:eastAsia="Calibri" w:hAnsi="Times New Roman" w:cs="Times New Roman"/>
          <w:bCs/>
          <w:sz w:val="24"/>
          <w:szCs w:val="24"/>
          <w:lang w:eastAsia="ar-SA"/>
        </w:rPr>
      </w:pPr>
      <w:r>
        <w:rPr>
          <w:rFonts w:ascii="Times New Roman" w:eastAsia="Calibri" w:hAnsi="Times New Roman" w:cs="Times New Roman"/>
          <w:bCs/>
          <w:sz w:val="24"/>
          <w:szCs w:val="24"/>
          <w:lang w:eastAsia="ar-SA"/>
        </w:rPr>
        <w:t>а.) т</w:t>
      </w:r>
      <w:r w:rsidR="00CE3DF1" w:rsidRPr="00CE3DF1">
        <w:rPr>
          <w:rFonts w:ascii="Times New Roman" w:eastAsia="Calibri" w:hAnsi="Times New Roman" w:cs="Times New Roman"/>
          <w:bCs/>
          <w:sz w:val="24"/>
          <w:szCs w:val="24"/>
          <w:lang w:eastAsia="ar-SA"/>
        </w:rPr>
        <w:t>акса битови отпадъци</w:t>
      </w:r>
      <w:r>
        <w:rPr>
          <w:rFonts w:ascii="Times New Roman" w:eastAsia="Calibri" w:hAnsi="Times New Roman" w:cs="Times New Roman"/>
          <w:bCs/>
          <w:sz w:val="24"/>
          <w:szCs w:val="24"/>
          <w:lang w:eastAsia="ar-SA"/>
        </w:rPr>
        <w:t>;</w:t>
      </w:r>
    </w:p>
    <w:p w:rsidR="00CE3DF1" w:rsidRPr="00CE3DF1" w:rsidRDefault="00CE3DF1" w:rsidP="00CE3DF1">
      <w:pPr>
        <w:suppressAutoHyphens/>
        <w:spacing w:after="120" w:line="276" w:lineRule="auto"/>
        <w:jc w:val="both"/>
        <w:rPr>
          <w:rFonts w:ascii="Times New Roman" w:eastAsia="Calibri" w:hAnsi="Times New Roman" w:cs="Times New Roman"/>
          <w:bCs/>
          <w:sz w:val="24"/>
          <w:szCs w:val="24"/>
          <w:lang w:eastAsia="ar-SA"/>
        </w:rPr>
      </w:pPr>
      <w:r w:rsidRPr="00CE3DF1">
        <w:rPr>
          <w:rFonts w:ascii="Times New Roman" w:eastAsia="Calibri" w:hAnsi="Times New Roman" w:cs="Times New Roman"/>
          <w:bCs/>
          <w:sz w:val="24"/>
          <w:szCs w:val="24"/>
          <w:lang w:eastAsia="ar-SA"/>
        </w:rPr>
        <w:t>б.) безвъзмездни национални и европейски средства</w:t>
      </w:r>
      <w:r w:rsidR="0063332C">
        <w:rPr>
          <w:rFonts w:ascii="Times New Roman" w:eastAsia="Calibri" w:hAnsi="Times New Roman" w:cs="Times New Roman"/>
          <w:bCs/>
          <w:sz w:val="24"/>
          <w:szCs w:val="24"/>
          <w:lang w:eastAsia="ar-SA"/>
        </w:rPr>
        <w:t>;</w:t>
      </w:r>
    </w:p>
    <w:p w:rsidR="00CE3DF1" w:rsidRPr="00CE3DF1" w:rsidRDefault="00CE3DF1" w:rsidP="00CE3DF1">
      <w:pPr>
        <w:suppressAutoHyphens/>
        <w:spacing w:after="120" w:line="276" w:lineRule="auto"/>
        <w:jc w:val="both"/>
        <w:rPr>
          <w:rFonts w:ascii="Times New Roman" w:eastAsia="Calibri" w:hAnsi="Times New Roman" w:cs="Times New Roman"/>
          <w:bCs/>
          <w:sz w:val="24"/>
          <w:szCs w:val="24"/>
          <w:lang w:eastAsia="ar-SA"/>
        </w:rPr>
      </w:pPr>
      <w:r w:rsidRPr="00CE3DF1">
        <w:rPr>
          <w:rFonts w:ascii="Times New Roman" w:eastAsia="Calibri" w:hAnsi="Times New Roman" w:cs="Times New Roman"/>
          <w:bCs/>
          <w:sz w:val="24"/>
          <w:szCs w:val="24"/>
          <w:lang w:eastAsia="ar-SA"/>
        </w:rPr>
        <w:t xml:space="preserve">в.) </w:t>
      </w:r>
      <w:r w:rsidR="0063332C">
        <w:rPr>
          <w:rFonts w:ascii="Times New Roman" w:eastAsia="Calibri" w:hAnsi="Times New Roman" w:cs="Times New Roman"/>
          <w:sz w:val="24"/>
          <w:szCs w:val="24"/>
        </w:rPr>
        <w:t>о</w:t>
      </w:r>
      <w:r w:rsidRPr="00CE3DF1">
        <w:rPr>
          <w:rFonts w:ascii="Times New Roman" w:eastAsia="Calibri" w:hAnsi="Times New Roman" w:cs="Times New Roman"/>
          <w:sz w:val="24"/>
          <w:szCs w:val="24"/>
        </w:rPr>
        <w:t>тчисления - отчисленията са с цел да се намали количеството на депонираните отпадъци и да се насърчи тяхното рециклиране и оползотворяване. Натрупаните средства се разходват за дейности по изграждане на нови съоръжения за третиране на битови и строителни отпадъци, осигуряващи изпълнение от общините на изискванията на закона и подзаконовите нормативни актове по прилагането му. Средствата могат да бъдат разходвани за извършването на последващи разходи, свързани с изградените съоръжения и инсталации за оползотворяване на битови отпадъци.</w:t>
      </w:r>
    </w:p>
    <w:p w:rsidR="00CE3DF1" w:rsidRPr="00CE3DF1" w:rsidRDefault="00CE3DF1" w:rsidP="00CE3DF1">
      <w:p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Отчисленията по чл. 60, ал. 2 и чл. 64, ал. 1, когато се правят за битови отпадъци от общини, са елементи от разходите по чл. 66, ал. 1, т. 3 от Закона за местните данъци и такси. (Таксата се определя в годишен размер за всяко населено място с решение на общинския съвет въз основа на одобрена план-сметка за всяка дейност, включваща необходимите разходи за:</w:t>
      </w:r>
    </w:p>
    <w:p w:rsidR="00CE3DF1" w:rsidRPr="00CE3DF1" w:rsidRDefault="00CE3DF1" w:rsidP="00CE3DF1">
      <w:pPr>
        <w:spacing w:after="0" w:line="276" w:lineRule="auto"/>
        <w:ind w:firstLine="708"/>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1. осигуряване на съдове за съхраняване на битовите отпадъци - контейнери, кофи и други;</w:t>
      </w:r>
    </w:p>
    <w:p w:rsidR="00CE3DF1" w:rsidRPr="00CE3DF1" w:rsidRDefault="00CE3DF1" w:rsidP="00CE3DF1">
      <w:pPr>
        <w:spacing w:after="0" w:line="276" w:lineRule="auto"/>
        <w:ind w:firstLine="708"/>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2. събиране, включително разделно на битовите отпадъци и транспортирането им до депата или други инсталации и съоръжения за третирането им;</w:t>
      </w:r>
    </w:p>
    <w:p w:rsidR="00CE3DF1" w:rsidRPr="00CE3DF1" w:rsidRDefault="00CE3DF1" w:rsidP="00CE3DF1">
      <w:pPr>
        <w:spacing w:after="0" w:line="276" w:lineRule="auto"/>
        <w:ind w:firstLine="708"/>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 xml:space="preserve">3. проучване, проектиране, изграждане, поддържане, експлоатация, закриване и мониторинг на депата за битови отпадъци или други инсталации или съоръжения за обезвреждане, рециклиране и оползотворяване на битови отпадъци, включително отчисленията по чл. 60 и 64 от Закона за управление на отпадъците; </w:t>
      </w:r>
    </w:p>
    <w:p w:rsidR="00CE3DF1" w:rsidRPr="00CE3DF1" w:rsidRDefault="00CE3DF1" w:rsidP="00CE3DF1">
      <w:pPr>
        <w:spacing w:after="0" w:line="276" w:lineRule="auto"/>
        <w:ind w:firstLine="708"/>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4. почистване на уличните платна, площадите, алеите, парковите и другите територии от населените места, предназначени за обществено ползване.)</w:t>
      </w:r>
    </w:p>
    <w:p w:rsidR="00CE3DF1" w:rsidRPr="00CE3DF1" w:rsidRDefault="00CE3DF1" w:rsidP="00CE3DF1">
      <w:pPr>
        <w:spacing w:after="0" w:line="276" w:lineRule="auto"/>
        <w:ind w:firstLine="708"/>
        <w:jc w:val="both"/>
        <w:rPr>
          <w:rFonts w:ascii="Times New Roman" w:eastAsia="Calibri" w:hAnsi="Times New Roman" w:cs="Times New Roman"/>
          <w:sz w:val="24"/>
          <w:szCs w:val="24"/>
        </w:rPr>
      </w:pPr>
    </w:p>
    <w:p w:rsidR="00CE3DF1" w:rsidRPr="00CE3DF1" w:rsidRDefault="00CE3DF1" w:rsidP="00CE3DF1">
      <w:pPr>
        <w:suppressAutoHyphens/>
        <w:spacing w:after="120" w:line="276" w:lineRule="auto"/>
        <w:jc w:val="both"/>
        <w:rPr>
          <w:rFonts w:ascii="Times New Roman" w:eastAsia="Calibri" w:hAnsi="Times New Roman" w:cs="Times New Roman"/>
          <w:bCs/>
          <w:sz w:val="24"/>
          <w:szCs w:val="24"/>
          <w:lang w:eastAsia="ar-SA"/>
        </w:rPr>
      </w:pPr>
      <w:r w:rsidRPr="00CE3DF1">
        <w:rPr>
          <w:rFonts w:ascii="Times New Roman" w:eastAsia="Calibri" w:hAnsi="Times New Roman" w:cs="Times New Roman"/>
          <w:bCs/>
          <w:sz w:val="24"/>
          <w:szCs w:val="24"/>
          <w:lang w:eastAsia="ar-SA"/>
        </w:rPr>
        <w:t>г.) разпределяне на финанс</w:t>
      </w:r>
      <w:r w:rsidR="0063332C">
        <w:rPr>
          <w:rFonts w:ascii="Times New Roman" w:eastAsia="Calibri" w:hAnsi="Times New Roman" w:cs="Times New Roman"/>
          <w:bCs/>
          <w:sz w:val="24"/>
          <w:szCs w:val="24"/>
          <w:lang w:eastAsia="ar-SA"/>
        </w:rPr>
        <w:t>ови ангажименти между общината и</w:t>
      </w:r>
      <w:r w:rsidRPr="00CE3DF1">
        <w:rPr>
          <w:rFonts w:ascii="Times New Roman" w:eastAsia="Calibri" w:hAnsi="Times New Roman" w:cs="Times New Roman"/>
          <w:bCs/>
          <w:sz w:val="24"/>
          <w:szCs w:val="24"/>
          <w:lang w:eastAsia="ar-SA"/>
        </w:rPr>
        <w:t xml:space="preserve"> организация за оползотворяване на отпадъци от опаковки</w:t>
      </w:r>
      <w:r w:rsidR="0063332C">
        <w:rPr>
          <w:rFonts w:ascii="Times New Roman" w:eastAsia="Calibri" w:hAnsi="Times New Roman" w:cs="Times New Roman"/>
          <w:bCs/>
          <w:sz w:val="24"/>
          <w:szCs w:val="24"/>
          <w:lang w:eastAsia="ar-SA"/>
        </w:rPr>
        <w:t>;</w:t>
      </w:r>
    </w:p>
    <w:p w:rsidR="00CE3DF1" w:rsidRPr="00CE3DF1" w:rsidRDefault="00CE3DF1" w:rsidP="00CE3DF1">
      <w:pPr>
        <w:suppressAutoHyphens/>
        <w:spacing w:after="120" w:line="276" w:lineRule="auto"/>
        <w:jc w:val="both"/>
        <w:rPr>
          <w:rFonts w:ascii="Times New Roman" w:eastAsia="Calibri" w:hAnsi="Times New Roman" w:cs="Times New Roman"/>
          <w:bCs/>
          <w:sz w:val="24"/>
          <w:szCs w:val="24"/>
          <w:lang w:eastAsia="ar-SA"/>
        </w:rPr>
      </w:pPr>
      <w:r w:rsidRPr="00CE3DF1">
        <w:rPr>
          <w:rFonts w:ascii="Times New Roman" w:eastAsia="Calibri" w:hAnsi="Times New Roman" w:cs="Times New Roman"/>
          <w:bCs/>
          <w:sz w:val="24"/>
          <w:szCs w:val="24"/>
          <w:lang w:eastAsia="ar-SA"/>
        </w:rPr>
        <w:lastRenderedPageBreak/>
        <w:t>д.) безлихвени заеми от Предприятието за управление на дейностите по опазване на околната среда (ПУДООС)</w:t>
      </w:r>
      <w:r w:rsidR="0063332C">
        <w:rPr>
          <w:rFonts w:ascii="Times New Roman" w:eastAsia="Calibri" w:hAnsi="Times New Roman" w:cs="Times New Roman"/>
          <w:bCs/>
          <w:sz w:val="24"/>
          <w:szCs w:val="24"/>
          <w:lang w:eastAsia="ar-SA"/>
        </w:rPr>
        <w:t>;</w:t>
      </w:r>
    </w:p>
    <w:p w:rsidR="00027401" w:rsidRPr="001D2671" w:rsidRDefault="00CE3DF1" w:rsidP="00027401">
      <w:pPr>
        <w:suppressAutoHyphens/>
        <w:spacing w:after="120" w:line="276" w:lineRule="auto"/>
        <w:jc w:val="both"/>
        <w:rPr>
          <w:rFonts w:ascii="Times New Roman" w:eastAsia="Calibri" w:hAnsi="Times New Roman" w:cs="Times New Roman"/>
          <w:bCs/>
          <w:sz w:val="24"/>
          <w:szCs w:val="24"/>
          <w:lang w:eastAsia="ar-SA"/>
        </w:rPr>
      </w:pPr>
      <w:r w:rsidRPr="00CE3DF1">
        <w:rPr>
          <w:rFonts w:ascii="Times New Roman" w:eastAsia="Calibri" w:hAnsi="Times New Roman" w:cs="Times New Roman"/>
          <w:bCs/>
          <w:sz w:val="24"/>
          <w:szCs w:val="24"/>
          <w:lang w:eastAsia="ar-SA"/>
        </w:rPr>
        <w:t>е.) поставяне на условие в тръжните документи при избор на изпълнители по ЗОП за осигуряване от избрания изпълнител на контейнери за изхвърляне на отпадъците и сметоизвозващи автомобили. В този случай услугата също се заплаща от общината, но я освобождава от ангажимента да осигури средства за целта от общинския бюджет, банково или друго кредитиране.</w:t>
      </w:r>
    </w:p>
    <w:p w:rsidR="00027401" w:rsidRPr="001D2671" w:rsidRDefault="001D2671" w:rsidP="00027401">
      <w:pPr>
        <w:suppressAutoHyphens/>
        <w:spacing w:after="120" w:line="276" w:lineRule="auto"/>
        <w:jc w:val="both"/>
        <w:rPr>
          <w:rFonts w:ascii="Times New Roman" w:eastAsia="Calibri" w:hAnsi="Times New Roman" w:cs="Times New Roman"/>
          <w:b/>
          <w:bCs/>
          <w:color w:val="5B9BD5" w:themeColor="accent1"/>
          <w:sz w:val="28"/>
          <w:szCs w:val="28"/>
          <w:lang w:eastAsia="ar-SA"/>
        </w:rPr>
      </w:pPr>
      <w:r>
        <w:rPr>
          <w:rFonts w:ascii="Times New Roman" w:eastAsia="Calibri" w:hAnsi="Times New Roman" w:cs="Times New Roman"/>
          <w:b/>
          <w:bCs/>
          <w:color w:val="5B9BD5" w:themeColor="accent1"/>
          <w:sz w:val="28"/>
          <w:szCs w:val="28"/>
          <w:lang w:eastAsia="ar-SA"/>
        </w:rPr>
        <w:t>5</w:t>
      </w:r>
      <w:r w:rsidRPr="001D2671">
        <w:rPr>
          <w:rFonts w:ascii="Times New Roman" w:eastAsia="Calibri" w:hAnsi="Times New Roman" w:cs="Times New Roman"/>
          <w:b/>
          <w:bCs/>
          <w:color w:val="5B9BD5" w:themeColor="accent1"/>
          <w:sz w:val="28"/>
          <w:szCs w:val="28"/>
          <w:lang w:eastAsia="ar-SA"/>
        </w:rPr>
        <w:t xml:space="preserve">. </w:t>
      </w:r>
      <w:r w:rsidR="00027401" w:rsidRPr="001D2671">
        <w:rPr>
          <w:rFonts w:ascii="Times New Roman" w:eastAsia="Calibri" w:hAnsi="Times New Roman" w:cs="Times New Roman"/>
          <w:b/>
          <w:bCs/>
          <w:color w:val="5B9BD5" w:themeColor="accent1"/>
          <w:sz w:val="28"/>
          <w:szCs w:val="28"/>
          <w:lang w:eastAsia="ar-SA"/>
        </w:rPr>
        <w:t>Програми за финансиране извън бюджетните средства на общините</w:t>
      </w:r>
    </w:p>
    <w:p w:rsidR="00027401" w:rsidRPr="001D2671" w:rsidRDefault="001D2671" w:rsidP="00027401">
      <w:pPr>
        <w:suppressAutoHyphens/>
        <w:spacing w:after="120" w:line="276" w:lineRule="auto"/>
        <w:jc w:val="both"/>
        <w:rPr>
          <w:rFonts w:ascii="Times New Roman" w:eastAsia="Calibri" w:hAnsi="Times New Roman" w:cs="Times New Roman"/>
          <w:bCs/>
          <w:color w:val="5B9BD5" w:themeColor="accent1"/>
          <w:sz w:val="24"/>
          <w:szCs w:val="24"/>
          <w:lang w:eastAsia="ar-SA"/>
        </w:rPr>
      </w:pPr>
      <w:r w:rsidRPr="001D2671">
        <w:rPr>
          <w:rFonts w:ascii="Times New Roman" w:eastAsia="Calibri" w:hAnsi="Times New Roman" w:cs="Times New Roman"/>
          <w:bCs/>
          <w:color w:val="5B9BD5" w:themeColor="accent1"/>
          <w:sz w:val="24"/>
          <w:szCs w:val="24"/>
          <w:lang w:eastAsia="ar-SA"/>
        </w:rPr>
        <w:t xml:space="preserve">7.1. </w:t>
      </w:r>
      <w:r w:rsidR="00027401" w:rsidRPr="001D2671">
        <w:rPr>
          <w:rFonts w:ascii="Times New Roman" w:eastAsia="Calibri" w:hAnsi="Times New Roman" w:cs="Times New Roman"/>
          <w:bCs/>
          <w:color w:val="5B9BD5" w:themeColor="accent1"/>
          <w:sz w:val="24"/>
          <w:szCs w:val="24"/>
          <w:lang w:eastAsia="ar-SA"/>
        </w:rPr>
        <w:t xml:space="preserve">Предприятието за управление на дейностите по опазване на околната среда (ПУДООС)   </w:t>
      </w:r>
    </w:p>
    <w:p w:rsidR="00027401" w:rsidRPr="00027401" w:rsidRDefault="00027401" w:rsidP="00027401">
      <w:pPr>
        <w:suppressAutoHyphens/>
        <w:spacing w:after="120" w:line="276" w:lineRule="auto"/>
        <w:jc w:val="both"/>
        <w:rPr>
          <w:rFonts w:ascii="Times New Roman" w:hAnsi="Times New Roman" w:cs="Times New Roman"/>
          <w:color w:val="5B9BD5" w:themeColor="accent1"/>
          <w:sz w:val="24"/>
          <w:szCs w:val="24"/>
        </w:rPr>
      </w:pPr>
      <w:r w:rsidRPr="00027401">
        <w:rPr>
          <w:rFonts w:ascii="Times New Roman" w:eastAsia="Calibri" w:hAnsi="Times New Roman" w:cs="Times New Roman"/>
          <w:bCs/>
          <w:color w:val="5B9BD5" w:themeColor="accent1"/>
          <w:sz w:val="24"/>
          <w:szCs w:val="24"/>
          <w:lang w:eastAsia="ar-SA"/>
        </w:rPr>
        <w:t>ПУДООС има основен предмет на дейност</w:t>
      </w:r>
      <w:r w:rsidRPr="00027401">
        <w:rPr>
          <w:rFonts w:ascii="Times New Roman" w:hAnsi="Times New Roman" w:cs="Times New Roman"/>
          <w:color w:val="5B9BD5" w:themeColor="accent1"/>
          <w:sz w:val="24"/>
          <w:szCs w:val="24"/>
        </w:rPr>
        <w:t xml:space="preserve"> реализация на екологични проекти и дейности в изпълнение на национални и общински стратегии и програми в областта на околната среда. </w:t>
      </w:r>
    </w:p>
    <w:p w:rsidR="00027401" w:rsidRPr="00027401" w:rsidRDefault="00027401" w:rsidP="00027401">
      <w:pPr>
        <w:suppressAutoHyphens/>
        <w:spacing w:after="120" w:line="276" w:lineRule="auto"/>
        <w:jc w:val="both"/>
        <w:rPr>
          <w:rFonts w:ascii="Times New Roman" w:eastAsia="Calibri" w:hAnsi="Times New Roman" w:cs="Times New Roman"/>
          <w:bCs/>
          <w:color w:val="5B9BD5" w:themeColor="accent1"/>
          <w:sz w:val="24"/>
          <w:szCs w:val="24"/>
          <w:lang w:eastAsia="ar-SA"/>
        </w:rPr>
      </w:pPr>
      <w:r w:rsidRPr="00027401">
        <w:rPr>
          <w:rFonts w:ascii="Times New Roman" w:hAnsi="Times New Roman" w:cs="Times New Roman"/>
          <w:color w:val="5B9BD5" w:themeColor="accent1"/>
          <w:sz w:val="24"/>
          <w:szCs w:val="24"/>
        </w:rPr>
        <w:t>ПУДООС</w:t>
      </w:r>
      <w:r w:rsidRPr="00027401">
        <w:rPr>
          <w:rFonts w:ascii="Times New Roman" w:eastAsia="Calibri" w:hAnsi="Times New Roman" w:cs="Times New Roman"/>
          <w:bCs/>
          <w:color w:val="5B9BD5" w:themeColor="accent1"/>
          <w:sz w:val="24"/>
          <w:szCs w:val="24"/>
          <w:lang w:eastAsia="ar-SA"/>
        </w:rPr>
        <w:t xml:space="preserve"> предоставя средства за реализиране на проекти в областта на управлението на отпадъци:</w:t>
      </w:r>
    </w:p>
    <w:p w:rsidR="00027401" w:rsidRPr="00027401" w:rsidRDefault="00027401" w:rsidP="00027401">
      <w:pPr>
        <w:pStyle w:val="ListParagraph"/>
        <w:numPr>
          <w:ilvl w:val="0"/>
          <w:numId w:val="14"/>
        </w:numPr>
        <w:suppressAutoHyphens/>
        <w:spacing w:after="120" w:line="276" w:lineRule="auto"/>
        <w:jc w:val="both"/>
        <w:rPr>
          <w:rFonts w:ascii="Times New Roman" w:hAnsi="Times New Roman" w:cs="Times New Roman"/>
          <w:color w:val="5B9BD5" w:themeColor="accent1"/>
          <w:sz w:val="24"/>
          <w:szCs w:val="24"/>
        </w:rPr>
      </w:pPr>
      <w:r w:rsidRPr="00027401">
        <w:rPr>
          <w:rFonts w:ascii="Times New Roman" w:eastAsia="Calibri" w:hAnsi="Times New Roman" w:cs="Times New Roman"/>
          <w:bCs/>
          <w:color w:val="5B9BD5" w:themeColor="accent1"/>
          <w:sz w:val="24"/>
          <w:szCs w:val="24"/>
          <w:lang w:eastAsia="ar-SA"/>
        </w:rPr>
        <w:t>под формата на безвъзмездна помощ;</w:t>
      </w:r>
    </w:p>
    <w:p w:rsidR="00027401" w:rsidRPr="00027401" w:rsidRDefault="00027401" w:rsidP="00027401">
      <w:pPr>
        <w:pStyle w:val="ListParagraph"/>
        <w:numPr>
          <w:ilvl w:val="0"/>
          <w:numId w:val="14"/>
        </w:numPr>
        <w:suppressAutoHyphens/>
        <w:spacing w:after="120"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под формата на заеми за финансиране на екологични проекти и дейности на общини, физически и юридически лица;</w:t>
      </w:r>
    </w:p>
    <w:p w:rsidR="00027401" w:rsidRPr="00027401" w:rsidRDefault="00027401" w:rsidP="00027401">
      <w:pPr>
        <w:pStyle w:val="ListParagraph"/>
        <w:numPr>
          <w:ilvl w:val="0"/>
          <w:numId w:val="14"/>
        </w:numPr>
        <w:suppressAutoHyphens/>
        <w:spacing w:after="120"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предприятието финансира неинвестиционни проекти и дейности, способстващи за осъществяване политиката на Министерство на околната среда и водите, в областта на опазване и възстановяване на околната среда.</w:t>
      </w:r>
    </w:p>
    <w:p w:rsidR="00027401" w:rsidRPr="00027401" w:rsidRDefault="00027401" w:rsidP="00027401">
      <w:pPr>
        <w:suppressAutoHyphens/>
        <w:spacing w:after="120" w:line="276" w:lineRule="auto"/>
        <w:jc w:val="both"/>
        <w:rPr>
          <w:rFonts w:ascii="Times New Roman" w:hAnsi="Times New Roman" w:cs="Times New Roman"/>
          <w:color w:val="5B9BD5" w:themeColor="accent1"/>
          <w:sz w:val="24"/>
          <w:szCs w:val="24"/>
        </w:rPr>
      </w:pPr>
      <w:r w:rsidRPr="00027401">
        <w:rPr>
          <w:rFonts w:ascii="Times New Roman" w:eastAsia="Calibri" w:hAnsi="Times New Roman" w:cs="Times New Roman"/>
          <w:bCs/>
          <w:color w:val="5B9BD5" w:themeColor="accent1"/>
          <w:sz w:val="24"/>
          <w:szCs w:val="24"/>
          <w:lang w:eastAsia="ar-SA"/>
        </w:rPr>
        <w:t>От предоставянето на безвъзмездна помощ могат да се възползват както общините, така и регионалните сдружения. Финансирането е в размер до 100%. Общините са допустими за кандидатстване при условие, че са заплатили дължимите отчисления съгласно ЗУО и</w:t>
      </w:r>
      <w:r w:rsidRPr="00027401">
        <w:rPr>
          <w:rFonts w:ascii="Times New Roman" w:hAnsi="Times New Roman" w:cs="Times New Roman"/>
          <w:color w:val="5B9BD5" w:themeColor="accent1"/>
          <w:sz w:val="24"/>
          <w:szCs w:val="24"/>
        </w:rPr>
        <w:t xml:space="preserve"> </w:t>
      </w:r>
      <w:r w:rsidRPr="00027401">
        <w:rPr>
          <w:rFonts w:ascii="Times New Roman" w:eastAsia="Calibri" w:hAnsi="Times New Roman" w:cs="Times New Roman"/>
          <w:bCs/>
          <w:color w:val="5B9BD5" w:themeColor="accent1"/>
          <w:sz w:val="24"/>
          <w:szCs w:val="24"/>
          <w:lang w:eastAsia="ar-SA"/>
        </w:rPr>
        <w:t>имат актуална Регионална/общинска програма за управление на отпадъците (2021-2028 г.).</w:t>
      </w:r>
    </w:p>
    <w:p w:rsidR="00027401" w:rsidRPr="00027401" w:rsidRDefault="00027401" w:rsidP="00027401">
      <w:pPr>
        <w:suppressAutoHyphens/>
        <w:spacing w:after="120" w:line="276" w:lineRule="auto"/>
        <w:jc w:val="both"/>
        <w:rPr>
          <w:rFonts w:ascii="Times New Roman" w:eastAsia="Calibri" w:hAnsi="Times New Roman" w:cs="Times New Roman"/>
          <w:bCs/>
          <w:color w:val="5B9BD5" w:themeColor="accent1"/>
          <w:sz w:val="24"/>
          <w:szCs w:val="24"/>
          <w:lang w:eastAsia="ar-SA"/>
        </w:rPr>
      </w:pPr>
      <w:r w:rsidRPr="00027401">
        <w:rPr>
          <w:rFonts w:ascii="Times New Roman" w:eastAsia="Calibri" w:hAnsi="Times New Roman" w:cs="Times New Roman"/>
          <w:bCs/>
          <w:color w:val="5B9BD5" w:themeColor="accent1"/>
          <w:sz w:val="24"/>
          <w:szCs w:val="24"/>
          <w:lang w:eastAsia="ar-SA"/>
        </w:rPr>
        <w:t>През май, 2022 година УС на ПУДОС актуализира приоритетите за отпускане на -безвъзмездна финансова помощ  в сектор „Управление на отпадъците“.</w:t>
      </w:r>
    </w:p>
    <w:p w:rsidR="00027401" w:rsidRPr="00027401" w:rsidRDefault="00027401" w:rsidP="00027401">
      <w:pPr>
        <w:suppressAutoHyphens/>
        <w:spacing w:after="120" w:line="276" w:lineRule="auto"/>
        <w:jc w:val="both"/>
        <w:rPr>
          <w:rFonts w:ascii="Times New Roman" w:eastAsia="Calibri" w:hAnsi="Times New Roman" w:cs="Times New Roman"/>
          <w:bCs/>
          <w:color w:val="5B9BD5" w:themeColor="accent1"/>
          <w:sz w:val="24"/>
          <w:szCs w:val="24"/>
          <w:lang w:eastAsia="ar-SA"/>
        </w:rPr>
      </w:pPr>
      <w:r w:rsidRPr="00027401">
        <w:rPr>
          <w:rFonts w:ascii="Times New Roman" w:eastAsia="Calibri" w:hAnsi="Times New Roman" w:cs="Times New Roman"/>
          <w:bCs/>
          <w:color w:val="5B9BD5" w:themeColor="accent1"/>
          <w:sz w:val="24"/>
          <w:szCs w:val="24"/>
          <w:lang w:eastAsia="ar-SA"/>
        </w:rPr>
        <w:t xml:space="preserve"> Актуализираните приоритети са:</w:t>
      </w:r>
    </w:p>
    <w:p w:rsidR="00027401" w:rsidRPr="00027401" w:rsidRDefault="00027401" w:rsidP="00027401">
      <w:pPr>
        <w:suppressAutoHyphens/>
        <w:spacing w:after="120"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1.Изграждане на регионално депо за битови отпадъци за регион за управление на отпадъците - Дупница или разширение на съществуващи регионални депа за битови отпадъци, при които са възникнали аварийни ситуации, свързани с опасност от нарушение на качеството на компонентите на околната среда, живота и здравето на населението, състоянието на екологичната инфраструктура;</w:t>
      </w:r>
    </w:p>
    <w:p w:rsidR="00027401" w:rsidRPr="00027401" w:rsidRDefault="00027401" w:rsidP="00027401">
      <w:pPr>
        <w:suppressAutoHyphens/>
        <w:spacing w:after="120"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 xml:space="preserve"> 2. Реализиране на проекти за разделно събиране на биоразградими битови отпадъци и изграждане на инсталации за производство на биогаз от тези отпадъци;</w:t>
      </w:r>
    </w:p>
    <w:p w:rsidR="00027401" w:rsidRPr="00027401" w:rsidRDefault="00027401" w:rsidP="00027401">
      <w:pPr>
        <w:suppressAutoHyphens/>
        <w:spacing w:after="120"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 xml:space="preserve"> 3. Съфинансиране на техническата рекултивация на общински депа, неотговарящи на нормативните изисквания. ПУДООС ще предоставя 65 % от стойността на проекта за </w:t>
      </w:r>
      <w:r w:rsidRPr="00027401">
        <w:rPr>
          <w:rFonts w:ascii="Times New Roman" w:hAnsi="Times New Roman" w:cs="Times New Roman"/>
          <w:color w:val="5B9BD5" w:themeColor="accent1"/>
          <w:sz w:val="24"/>
          <w:szCs w:val="24"/>
        </w:rPr>
        <w:lastRenderedPageBreak/>
        <w:t>техническа рекултивация, съгласно минимални изисквания и при максимална стойност на м2 до 55 лв. /м2 без ДДС за площ на сметишното тяло;</w:t>
      </w:r>
    </w:p>
    <w:p w:rsidR="00027401" w:rsidRPr="00027401" w:rsidRDefault="00027401" w:rsidP="00027401">
      <w:pPr>
        <w:suppressAutoHyphens/>
        <w:spacing w:after="120"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 xml:space="preserve"> 4. Безвъзмездно предоставяне на домакинствата на компостери за зелени и други биоотпадъци.</w:t>
      </w:r>
    </w:p>
    <w:p w:rsidR="00027401" w:rsidRPr="00027401" w:rsidRDefault="00027401" w:rsidP="00027401">
      <w:pPr>
        <w:suppressAutoHyphens/>
        <w:spacing w:after="120" w:line="276" w:lineRule="auto"/>
        <w:jc w:val="both"/>
        <w:rPr>
          <w:rFonts w:ascii="Times New Roman" w:hAnsi="Times New Roman" w:cs="Times New Roman"/>
          <w:i/>
          <w:color w:val="5B9BD5" w:themeColor="accent1"/>
          <w:sz w:val="24"/>
          <w:szCs w:val="24"/>
        </w:rPr>
      </w:pPr>
      <w:r w:rsidRPr="00027401">
        <w:rPr>
          <w:rFonts w:ascii="Times New Roman" w:hAnsi="Times New Roman" w:cs="Times New Roman"/>
          <w:i/>
          <w:color w:val="5B9BD5" w:themeColor="accent1"/>
          <w:sz w:val="24"/>
          <w:szCs w:val="24"/>
        </w:rPr>
        <w:t>Също така Управителният съвет приема разпределение на годишния финансов ресурс на ПУДООС по Бюджетна програма „Интегрирана система за управление на отпадъците, опазване на земните недра и почвите“, за финансиране на проекти по приоритети, както следва: - За 1-ви приоритет – 60 % от финансовия ресурс; - За 2-ри приоритет – 16 % от финансовия ресурс; - За 3-ти приоритет – 19 % от финансовия ресурс; - За 4-ти приоритет – 5 % от финансовия ресурс.</w:t>
      </w:r>
    </w:p>
    <w:p w:rsidR="00027401" w:rsidRPr="00027401" w:rsidRDefault="00027401" w:rsidP="00027401">
      <w:pPr>
        <w:suppressAutoHyphens/>
        <w:spacing w:after="120"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 xml:space="preserve">Документите, които се подават при кандидатстване за отпускане на средства се делят на общи документи, на допълнителни документи, които се добавят при кандидатстване по проекти по точка 2,3 и 4. </w:t>
      </w:r>
    </w:p>
    <w:p w:rsidR="00027401" w:rsidRPr="00027401" w:rsidRDefault="00027401" w:rsidP="00027401">
      <w:pPr>
        <w:suppressAutoHyphens/>
        <w:spacing w:after="120" w:line="276" w:lineRule="auto"/>
        <w:jc w:val="both"/>
        <w:rPr>
          <w:rFonts w:ascii="Times New Roman" w:eastAsia="Calibri" w:hAnsi="Times New Roman" w:cs="Times New Roman"/>
          <w:bCs/>
          <w:color w:val="5B9BD5" w:themeColor="accent1"/>
          <w:sz w:val="24"/>
          <w:szCs w:val="24"/>
          <w:lang w:eastAsia="ar-SA"/>
        </w:rPr>
      </w:pPr>
      <w:r w:rsidRPr="00027401">
        <w:rPr>
          <w:rFonts w:ascii="Times New Roman" w:eastAsia="Calibri" w:hAnsi="Times New Roman" w:cs="Times New Roman"/>
          <w:bCs/>
          <w:color w:val="5B9BD5" w:themeColor="accent1"/>
          <w:sz w:val="24"/>
          <w:szCs w:val="24"/>
          <w:lang w:eastAsia="ar-SA"/>
        </w:rPr>
        <w:t>Общите документи за кандидатстване включват:</w:t>
      </w:r>
    </w:p>
    <w:p w:rsidR="00027401" w:rsidRPr="00027401" w:rsidRDefault="00027401" w:rsidP="00027401">
      <w:pPr>
        <w:pStyle w:val="ListParagraph"/>
        <w:numPr>
          <w:ilvl w:val="0"/>
          <w:numId w:val="23"/>
        </w:numPr>
        <w:suppressAutoHyphens/>
        <w:spacing w:after="120" w:line="276" w:lineRule="auto"/>
        <w:jc w:val="both"/>
        <w:rPr>
          <w:rFonts w:ascii="Times New Roman" w:eastAsia="Calibri" w:hAnsi="Times New Roman" w:cs="Times New Roman"/>
          <w:bCs/>
          <w:color w:val="5B9BD5" w:themeColor="accent1"/>
          <w:sz w:val="24"/>
          <w:szCs w:val="24"/>
          <w:lang w:eastAsia="ar-SA"/>
        </w:rPr>
      </w:pPr>
      <w:r w:rsidRPr="00027401">
        <w:rPr>
          <w:rFonts w:ascii="Times New Roman" w:eastAsia="Calibri" w:hAnsi="Times New Roman" w:cs="Times New Roman"/>
          <w:bCs/>
          <w:color w:val="5B9BD5" w:themeColor="accent1"/>
          <w:sz w:val="24"/>
          <w:szCs w:val="24"/>
          <w:lang w:eastAsia="ar-SA"/>
        </w:rPr>
        <w:t>Заявление по образец (образец1)</w:t>
      </w:r>
    </w:p>
    <w:p w:rsidR="00027401" w:rsidRPr="00027401" w:rsidRDefault="00027401" w:rsidP="00027401">
      <w:pPr>
        <w:pStyle w:val="ListParagraph"/>
        <w:numPr>
          <w:ilvl w:val="0"/>
          <w:numId w:val="23"/>
        </w:numPr>
        <w:suppressAutoHyphens/>
        <w:spacing w:after="120" w:line="276" w:lineRule="auto"/>
        <w:jc w:val="both"/>
        <w:rPr>
          <w:rFonts w:ascii="Times New Roman" w:eastAsia="Calibri" w:hAnsi="Times New Roman" w:cs="Times New Roman"/>
          <w:bCs/>
          <w:color w:val="5B9BD5" w:themeColor="accent1"/>
          <w:sz w:val="24"/>
          <w:szCs w:val="24"/>
          <w:lang w:eastAsia="ar-SA"/>
        </w:rPr>
      </w:pPr>
      <w:r w:rsidRPr="00027401">
        <w:rPr>
          <w:rFonts w:ascii="Times New Roman" w:hAnsi="Times New Roman" w:cs="Times New Roman"/>
          <w:color w:val="5B9BD5" w:themeColor="accent1"/>
          <w:sz w:val="24"/>
          <w:szCs w:val="24"/>
        </w:rPr>
        <w:t xml:space="preserve">Декларация на вносителя на заявлението /образец 2/; </w:t>
      </w:r>
    </w:p>
    <w:p w:rsidR="00027401" w:rsidRPr="00027401" w:rsidRDefault="00027401" w:rsidP="00027401">
      <w:pPr>
        <w:pStyle w:val="ListParagraph"/>
        <w:numPr>
          <w:ilvl w:val="0"/>
          <w:numId w:val="23"/>
        </w:numPr>
        <w:suppressAutoHyphens/>
        <w:spacing w:after="120" w:line="276" w:lineRule="auto"/>
        <w:jc w:val="both"/>
        <w:rPr>
          <w:rFonts w:ascii="Times New Roman" w:eastAsia="Calibri" w:hAnsi="Times New Roman" w:cs="Times New Roman"/>
          <w:bCs/>
          <w:color w:val="5B9BD5" w:themeColor="accent1"/>
          <w:sz w:val="24"/>
          <w:szCs w:val="24"/>
          <w:lang w:eastAsia="ar-SA"/>
        </w:rPr>
      </w:pPr>
      <w:r w:rsidRPr="00027401">
        <w:rPr>
          <w:rFonts w:ascii="Times New Roman" w:hAnsi="Times New Roman" w:cs="Times New Roman"/>
          <w:color w:val="5B9BD5" w:themeColor="accent1"/>
          <w:sz w:val="24"/>
          <w:szCs w:val="24"/>
        </w:rPr>
        <w:t xml:space="preserve">Декларация на вносителя за липса на двойно финансиране /образец 3/; </w:t>
      </w:r>
    </w:p>
    <w:p w:rsidR="00027401" w:rsidRPr="00027401" w:rsidRDefault="00027401" w:rsidP="00027401">
      <w:pPr>
        <w:pStyle w:val="ListParagraph"/>
        <w:numPr>
          <w:ilvl w:val="0"/>
          <w:numId w:val="23"/>
        </w:numPr>
        <w:suppressAutoHyphens/>
        <w:spacing w:after="120" w:line="276" w:lineRule="auto"/>
        <w:jc w:val="both"/>
        <w:rPr>
          <w:rFonts w:ascii="Times New Roman" w:eastAsia="Calibri" w:hAnsi="Times New Roman" w:cs="Times New Roman"/>
          <w:bCs/>
          <w:color w:val="5B9BD5" w:themeColor="accent1"/>
          <w:sz w:val="24"/>
          <w:szCs w:val="24"/>
          <w:lang w:eastAsia="ar-SA"/>
        </w:rPr>
      </w:pPr>
      <w:r w:rsidRPr="00027401">
        <w:rPr>
          <w:rFonts w:ascii="Times New Roman" w:hAnsi="Times New Roman" w:cs="Times New Roman"/>
          <w:color w:val="5B9BD5" w:themeColor="accent1"/>
          <w:sz w:val="24"/>
          <w:szCs w:val="24"/>
        </w:rPr>
        <w:t xml:space="preserve">Декларация на вносителя за съгласие за обработка на личните данни /образец 4/; </w:t>
      </w:r>
    </w:p>
    <w:p w:rsidR="00027401" w:rsidRPr="00027401" w:rsidRDefault="00027401" w:rsidP="00027401">
      <w:pPr>
        <w:pStyle w:val="ListParagraph"/>
        <w:numPr>
          <w:ilvl w:val="0"/>
          <w:numId w:val="23"/>
        </w:numPr>
        <w:suppressAutoHyphens/>
        <w:spacing w:after="120" w:line="276" w:lineRule="auto"/>
        <w:jc w:val="both"/>
        <w:rPr>
          <w:rFonts w:ascii="Times New Roman" w:eastAsia="Calibri" w:hAnsi="Times New Roman" w:cs="Times New Roman"/>
          <w:bCs/>
          <w:color w:val="5B9BD5" w:themeColor="accent1"/>
          <w:sz w:val="24"/>
          <w:szCs w:val="24"/>
          <w:lang w:eastAsia="ar-SA"/>
        </w:rPr>
      </w:pPr>
      <w:r w:rsidRPr="00027401">
        <w:rPr>
          <w:rFonts w:ascii="Times New Roman" w:hAnsi="Times New Roman" w:cs="Times New Roman"/>
          <w:color w:val="5B9BD5" w:themeColor="accent1"/>
          <w:sz w:val="24"/>
          <w:szCs w:val="24"/>
        </w:rPr>
        <w:t xml:space="preserve">Решение на Регионалната инспекция по околната среда и водите (РИОСВ) по оценка на въздействието върху околната среда (ОВОС) или решение за преценяване на необходимостта от извършване на ОВОС съгласно Закона за опазване на околната среда /ако е необходимо/; </w:t>
      </w:r>
    </w:p>
    <w:p w:rsidR="00027401" w:rsidRPr="00027401" w:rsidRDefault="00027401" w:rsidP="00027401">
      <w:pPr>
        <w:pStyle w:val="ListParagraph"/>
        <w:numPr>
          <w:ilvl w:val="0"/>
          <w:numId w:val="23"/>
        </w:numPr>
        <w:suppressAutoHyphens/>
        <w:spacing w:after="120" w:line="276" w:lineRule="auto"/>
        <w:jc w:val="both"/>
        <w:rPr>
          <w:rFonts w:ascii="Times New Roman" w:eastAsia="Calibri" w:hAnsi="Times New Roman" w:cs="Times New Roman"/>
          <w:bCs/>
          <w:color w:val="5B9BD5" w:themeColor="accent1"/>
          <w:sz w:val="24"/>
          <w:szCs w:val="24"/>
          <w:lang w:eastAsia="ar-SA"/>
        </w:rPr>
      </w:pPr>
      <w:r w:rsidRPr="00027401">
        <w:rPr>
          <w:rFonts w:ascii="Times New Roman" w:hAnsi="Times New Roman" w:cs="Times New Roman"/>
          <w:color w:val="5B9BD5" w:themeColor="accent1"/>
          <w:sz w:val="24"/>
          <w:szCs w:val="24"/>
        </w:rPr>
        <w:t>Подробен разчет на разходите /подробна количествено – стойностна сметка/;</w:t>
      </w:r>
    </w:p>
    <w:p w:rsidR="00027401" w:rsidRPr="00027401" w:rsidRDefault="00027401" w:rsidP="00027401">
      <w:pPr>
        <w:pStyle w:val="ListParagraph"/>
        <w:numPr>
          <w:ilvl w:val="0"/>
          <w:numId w:val="23"/>
        </w:numPr>
        <w:suppressAutoHyphens/>
        <w:spacing w:after="120" w:line="276" w:lineRule="auto"/>
        <w:jc w:val="both"/>
        <w:rPr>
          <w:rFonts w:ascii="Times New Roman" w:eastAsia="Calibri" w:hAnsi="Times New Roman" w:cs="Times New Roman"/>
          <w:bCs/>
          <w:color w:val="5B9BD5" w:themeColor="accent1"/>
          <w:sz w:val="24"/>
          <w:szCs w:val="24"/>
          <w:lang w:eastAsia="ar-SA"/>
        </w:rPr>
      </w:pPr>
      <w:r w:rsidRPr="00027401">
        <w:rPr>
          <w:rFonts w:ascii="Times New Roman" w:hAnsi="Times New Roman" w:cs="Times New Roman"/>
          <w:color w:val="5B9BD5" w:themeColor="accent1"/>
          <w:sz w:val="24"/>
          <w:szCs w:val="24"/>
        </w:rPr>
        <w:t xml:space="preserve">График за реализация на проекта; </w:t>
      </w:r>
    </w:p>
    <w:p w:rsidR="00027401" w:rsidRPr="00027401" w:rsidRDefault="00027401" w:rsidP="00027401">
      <w:pPr>
        <w:pStyle w:val="ListParagraph"/>
        <w:numPr>
          <w:ilvl w:val="0"/>
          <w:numId w:val="23"/>
        </w:numPr>
        <w:suppressAutoHyphens/>
        <w:spacing w:after="120" w:line="276" w:lineRule="auto"/>
        <w:jc w:val="both"/>
        <w:rPr>
          <w:rFonts w:ascii="Times New Roman" w:eastAsia="Calibri" w:hAnsi="Times New Roman" w:cs="Times New Roman"/>
          <w:bCs/>
          <w:color w:val="5B9BD5" w:themeColor="accent1"/>
          <w:sz w:val="24"/>
          <w:szCs w:val="24"/>
          <w:lang w:eastAsia="ar-SA"/>
        </w:rPr>
      </w:pPr>
      <w:r w:rsidRPr="00027401">
        <w:rPr>
          <w:rFonts w:ascii="Times New Roman" w:hAnsi="Times New Roman" w:cs="Times New Roman"/>
          <w:color w:val="5B9BD5" w:themeColor="accent1"/>
          <w:sz w:val="24"/>
          <w:szCs w:val="24"/>
        </w:rPr>
        <w:t xml:space="preserve">Обосновка на проекта; </w:t>
      </w:r>
    </w:p>
    <w:p w:rsidR="00027401" w:rsidRPr="00027401" w:rsidRDefault="00027401" w:rsidP="00027401">
      <w:pPr>
        <w:pStyle w:val="ListParagraph"/>
        <w:numPr>
          <w:ilvl w:val="0"/>
          <w:numId w:val="23"/>
        </w:numPr>
        <w:suppressAutoHyphens/>
        <w:spacing w:after="120" w:line="276" w:lineRule="auto"/>
        <w:jc w:val="both"/>
        <w:rPr>
          <w:rFonts w:ascii="Times New Roman" w:eastAsia="Calibri" w:hAnsi="Times New Roman" w:cs="Times New Roman"/>
          <w:bCs/>
          <w:color w:val="5B9BD5" w:themeColor="accent1"/>
          <w:sz w:val="24"/>
          <w:szCs w:val="24"/>
          <w:lang w:eastAsia="ar-SA"/>
        </w:rPr>
      </w:pPr>
      <w:r w:rsidRPr="00027401">
        <w:rPr>
          <w:rFonts w:ascii="Times New Roman" w:hAnsi="Times New Roman" w:cs="Times New Roman"/>
          <w:color w:val="5B9BD5" w:themeColor="accent1"/>
          <w:sz w:val="24"/>
          <w:szCs w:val="24"/>
        </w:rPr>
        <w:t>Посочване на мярката, която се изпълнява от Регионална/общинска програма за управление на отпадъците, която е актуална към датата на кандидатстване</w:t>
      </w:r>
    </w:p>
    <w:p w:rsidR="00027401" w:rsidRPr="00027401" w:rsidRDefault="00027401" w:rsidP="00027401">
      <w:pPr>
        <w:pStyle w:val="ListParagraph"/>
        <w:numPr>
          <w:ilvl w:val="0"/>
          <w:numId w:val="23"/>
        </w:numPr>
        <w:suppressAutoHyphens/>
        <w:spacing w:after="120" w:line="276" w:lineRule="auto"/>
        <w:jc w:val="both"/>
        <w:rPr>
          <w:rFonts w:ascii="Times New Roman" w:eastAsia="Calibri" w:hAnsi="Times New Roman" w:cs="Times New Roman"/>
          <w:bCs/>
          <w:color w:val="5B9BD5" w:themeColor="accent1"/>
          <w:sz w:val="24"/>
          <w:szCs w:val="24"/>
          <w:lang w:eastAsia="ar-SA"/>
        </w:rPr>
      </w:pPr>
      <w:r w:rsidRPr="00027401">
        <w:rPr>
          <w:rFonts w:ascii="Times New Roman" w:hAnsi="Times New Roman" w:cs="Times New Roman"/>
          <w:color w:val="5B9BD5" w:themeColor="accent1"/>
          <w:sz w:val="24"/>
          <w:szCs w:val="24"/>
        </w:rPr>
        <w:t>Решение на РИОСВ за преценяване на необходимостта от извършване на екологична оценка на регионалната/общинската програма за управление на отпадъците съгласно Закона за опазване на околната среда и Наредбата за условията и реда за извършване на екологична оценка на планове и програми.</w:t>
      </w:r>
    </w:p>
    <w:p w:rsidR="00027401" w:rsidRPr="00027401" w:rsidRDefault="00027401" w:rsidP="00027401">
      <w:pPr>
        <w:pStyle w:val="ListParagraph"/>
        <w:numPr>
          <w:ilvl w:val="0"/>
          <w:numId w:val="23"/>
        </w:numPr>
        <w:suppressAutoHyphens/>
        <w:spacing w:after="120" w:line="276" w:lineRule="auto"/>
        <w:jc w:val="both"/>
        <w:rPr>
          <w:rFonts w:ascii="Times New Roman" w:eastAsia="Calibri" w:hAnsi="Times New Roman" w:cs="Times New Roman"/>
          <w:bCs/>
          <w:color w:val="5B9BD5" w:themeColor="accent1"/>
          <w:sz w:val="24"/>
          <w:szCs w:val="24"/>
          <w:lang w:eastAsia="ar-SA"/>
        </w:rPr>
      </w:pPr>
      <w:r w:rsidRPr="00027401">
        <w:rPr>
          <w:rFonts w:ascii="Times New Roman" w:hAnsi="Times New Roman" w:cs="Times New Roman"/>
          <w:color w:val="5B9BD5" w:themeColor="accent1"/>
          <w:sz w:val="24"/>
          <w:szCs w:val="24"/>
        </w:rPr>
        <w:t xml:space="preserve">Решение на Общинския съвет на съответната община за кандидатстване; </w:t>
      </w:r>
    </w:p>
    <w:p w:rsidR="00027401" w:rsidRPr="00027401" w:rsidRDefault="00027401" w:rsidP="00027401">
      <w:pPr>
        <w:pStyle w:val="ListParagraph"/>
        <w:numPr>
          <w:ilvl w:val="0"/>
          <w:numId w:val="23"/>
        </w:numPr>
        <w:suppressAutoHyphens/>
        <w:spacing w:after="120" w:line="276" w:lineRule="auto"/>
        <w:jc w:val="both"/>
        <w:rPr>
          <w:rFonts w:ascii="Times New Roman" w:eastAsia="Calibri" w:hAnsi="Times New Roman" w:cs="Times New Roman"/>
          <w:bCs/>
          <w:color w:val="5B9BD5" w:themeColor="accent1"/>
          <w:sz w:val="24"/>
          <w:szCs w:val="24"/>
          <w:lang w:eastAsia="ar-SA"/>
        </w:rPr>
      </w:pPr>
      <w:r w:rsidRPr="00027401">
        <w:rPr>
          <w:rFonts w:ascii="Times New Roman" w:hAnsi="Times New Roman" w:cs="Times New Roman"/>
          <w:color w:val="5B9BD5" w:themeColor="accent1"/>
          <w:sz w:val="24"/>
          <w:szCs w:val="24"/>
        </w:rPr>
        <w:t>Решение на Общото събрание на регионалното сдружение (не се отнася за проектите по т.2.3).</w:t>
      </w:r>
    </w:p>
    <w:p w:rsidR="00027401" w:rsidRPr="00027401" w:rsidRDefault="00027401" w:rsidP="00027401">
      <w:pPr>
        <w:pStyle w:val="ListParagraph"/>
        <w:numPr>
          <w:ilvl w:val="0"/>
          <w:numId w:val="23"/>
        </w:numPr>
        <w:suppressAutoHyphens/>
        <w:spacing w:after="120" w:line="276" w:lineRule="auto"/>
        <w:jc w:val="both"/>
        <w:rPr>
          <w:rFonts w:ascii="Times New Roman" w:eastAsia="Calibri" w:hAnsi="Times New Roman" w:cs="Times New Roman"/>
          <w:bCs/>
          <w:color w:val="5B9BD5" w:themeColor="accent1"/>
          <w:sz w:val="24"/>
          <w:szCs w:val="24"/>
          <w:lang w:eastAsia="ar-SA"/>
        </w:rPr>
      </w:pPr>
      <w:r w:rsidRPr="00027401">
        <w:rPr>
          <w:rFonts w:ascii="Times New Roman" w:hAnsi="Times New Roman" w:cs="Times New Roman"/>
          <w:color w:val="5B9BD5" w:themeColor="accent1"/>
          <w:sz w:val="24"/>
          <w:szCs w:val="24"/>
        </w:rPr>
        <w:t>Копие на цялата документация на електронен носител.</w:t>
      </w:r>
    </w:p>
    <w:p w:rsidR="00027401" w:rsidRPr="00027401" w:rsidRDefault="00027401" w:rsidP="00027401">
      <w:pPr>
        <w:suppressAutoHyphens/>
        <w:spacing w:after="120" w:line="276" w:lineRule="auto"/>
        <w:jc w:val="both"/>
        <w:rPr>
          <w:rFonts w:ascii="Times New Roman" w:eastAsia="Calibri" w:hAnsi="Times New Roman" w:cs="Times New Roman"/>
          <w:bCs/>
          <w:color w:val="5B9BD5" w:themeColor="accent1"/>
          <w:sz w:val="24"/>
          <w:szCs w:val="24"/>
          <w:lang w:eastAsia="ar-SA"/>
        </w:rPr>
      </w:pPr>
      <w:r w:rsidRPr="00027401">
        <w:rPr>
          <w:rFonts w:ascii="Times New Roman" w:eastAsia="Calibri" w:hAnsi="Times New Roman" w:cs="Times New Roman"/>
          <w:bCs/>
          <w:color w:val="5B9BD5" w:themeColor="accent1"/>
          <w:sz w:val="24"/>
          <w:szCs w:val="24"/>
          <w:lang w:eastAsia="ar-SA"/>
        </w:rPr>
        <w:t xml:space="preserve">Освен общите документи за финансиране на проекти по точка 1, 2 и 3 се изискват и допълнителни документи. Те са детайлно описани в сайта на ПУДОС на следния линк. </w:t>
      </w:r>
      <w:hyperlink r:id="rId7" w:history="1">
        <w:r w:rsidRPr="00027401">
          <w:rPr>
            <w:rStyle w:val="Hyperlink"/>
            <w:rFonts w:ascii="Times New Roman" w:eastAsia="Calibri" w:hAnsi="Times New Roman" w:cs="Times New Roman"/>
            <w:bCs/>
            <w:color w:val="5B9BD5" w:themeColor="accent1"/>
            <w:sz w:val="24"/>
            <w:szCs w:val="24"/>
            <w:lang w:eastAsia="ar-SA"/>
          </w:rPr>
          <w:t>https://pudoos.bg/wp-content/uploads/2022/05/prilozhenie-2-Protokol-2-03-05-2022-iziskvaniya-sektor-upravlenie-na-otpadytsite.pdf</w:t>
        </w:r>
      </w:hyperlink>
      <w:r w:rsidRPr="00027401">
        <w:rPr>
          <w:rFonts w:ascii="Times New Roman" w:eastAsia="Calibri" w:hAnsi="Times New Roman" w:cs="Times New Roman"/>
          <w:bCs/>
          <w:color w:val="5B9BD5" w:themeColor="accent1"/>
          <w:sz w:val="24"/>
          <w:szCs w:val="24"/>
          <w:lang w:eastAsia="ar-SA"/>
        </w:rPr>
        <w:t xml:space="preserve"> . В линка може да се намери и детайлна информация относно основните изисквания за съдържанието на заявлението  за кандидатстване, при неговото изготвяне.</w:t>
      </w:r>
    </w:p>
    <w:p w:rsidR="00027401" w:rsidRPr="001D2671" w:rsidRDefault="00027401" w:rsidP="001D2671">
      <w:pPr>
        <w:pStyle w:val="ListParagraph"/>
        <w:numPr>
          <w:ilvl w:val="1"/>
          <w:numId w:val="9"/>
        </w:numPr>
        <w:suppressAutoHyphens/>
        <w:spacing w:after="120" w:line="276" w:lineRule="auto"/>
        <w:jc w:val="both"/>
        <w:rPr>
          <w:rFonts w:ascii="Times New Roman" w:hAnsi="Times New Roman" w:cs="Times New Roman"/>
          <w:color w:val="5B9BD5" w:themeColor="accent1"/>
          <w:sz w:val="24"/>
          <w:szCs w:val="24"/>
          <w:shd w:val="clear" w:color="auto" w:fill="FFFFFF"/>
        </w:rPr>
      </w:pPr>
      <w:r w:rsidRPr="001D2671">
        <w:rPr>
          <w:rFonts w:ascii="Times New Roman" w:hAnsi="Times New Roman" w:cs="Times New Roman"/>
          <w:color w:val="5B9BD5" w:themeColor="accent1"/>
          <w:sz w:val="24"/>
          <w:szCs w:val="24"/>
          <w:shd w:val="clear" w:color="auto" w:fill="FFFFFF"/>
        </w:rPr>
        <w:lastRenderedPageBreak/>
        <w:t>Програма „Околна среда“</w:t>
      </w:r>
    </w:p>
    <w:p w:rsidR="00027401" w:rsidRPr="00027401" w:rsidRDefault="00027401" w:rsidP="00027401">
      <w:pPr>
        <w:suppressAutoHyphens/>
        <w:spacing w:line="276" w:lineRule="auto"/>
        <w:rPr>
          <w:rFonts w:ascii="Times New Roman" w:hAnsi="Times New Roman" w:cs="Times New Roman"/>
          <w:color w:val="5B9BD5" w:themeColor="accent1"/>
          <w:sz w:val="24"/>
          <w:szCs w:val="24"/>
          <w:shd w:val="clear" w:color="auto" w:fill="FFFFFF"/>
        </w:rPr>
      </w:pPr>
      <w:r w:rsidRPr="00027401">
        <w:rPr>
          <w:rFonts w:ascii="Times New Roman" w:hAnsi="Times New Roman" w:cs="Times New Roman"/>
          <w:color w:val="5B9BD5" w:themeColor="accent1"/>
          <w:sz w:val="24"/>
          <w:szCs w:val="24"/>
          <w:shd w:val="clear" w:color="auto" w:fill="FFFFFF"/>
        </w:rPr>
        <w:t xml:space="preserve">Програма „Околна среда“ е секторна оперативна програма </w:t>
      </w:r>
      <w:r w:rsidRPr="00027401">
        <w:rPr>
          <w:rFonts w:ascii="Times New Roman" w:hAnsi="Times New Roman" w:cs="Times New Roman"/>
          <w:b/>
          <w:bCs/>
          <w:color w:val="5B9BD5" w:themeColor="accent1"/>
          <w:sz w:val="24"/>
          <w:szCs w:val="24"/>
          <w:shd w:val="clear" w:color="auto" w:fill="FFFFFF"/>
        </w:rPr>
        <w:t>за устойчиво развитие и утвърждаване целта за съхраняване, опазване   и подобряване на качеството на околната среда.</w:t>
      </w:r>
    </w:p>
    <w:p w:rsidR="00027401" w:rsidRPr="00027401" w:rsidRDefault="00027401" w:rsidP="00027401">
      <w:pPr>
        <w:suppressAutoHyphens/>
        <w:spacing w:after="120" w:line="276" w:lineRule="auto"/>
        <w:jc w:val="both"/>
        <w:rPr>
          <w:rFonts w:ascii="Times New Roman" w:hAnsi="Times New Roman" w:cs="Times New Roman"/>
          <w:color w:val="5B9BD5" w:themeColor="accent1"/>
          <w:sz w:val="24"/>
          <w:szCs w:val="24"/>
          <w:shd w:val="clear" w:color="auto" w:fill="FFFFFF"/>
        </w:rPr>
      </w:pPr>
      <w:r w:rsidRPr="00027401">
        <w:rPr>
          <w:rFonts w:ascii="Times New Roman" w:hAnsi="Times New Roman" w:cs="Times New Roman"/>
          <w:color w:val="5B9BD5" w:themeColor="accent1"/>
          <w:sz w:val="24"/>
          <w:szCs w:val="24"/>
          <w:shd w:val="clear" w:color="auto" w:fill="FFFFFF"/>
        </w:rPr>
        <w:t>На 20 юли 2022 г. Министерският съвет одобри новата Програма „Околна среда“ 2021-2027 г. (ПОС 2021-2027 г.). Стратегическият документ за следващите 7 години ще бъде представен в Европейската комисия за утвърждаване. Очаква се до през месец октомври или най-късно до края на календарната година програмата да бъде одобрена от ЕК. Финансовата рамка на ПОС 2021-2027 г. е 1 531 590 093 евро от ЕС. Общият бюджет на Програмата заедно с националното съфинансиране възлиза на 1 823 206 271 евро (3 565 881 521 лева). „Програма „Околна среда“ е единствената „зелена“ програма, която осигурява възможност с европейски средства да се реализират значими инвестиции за опазване на околната среда.</w:t>
      </w:r>
    </w:p>
    <w:p w:rsidR="00027401" w:rsidRPr="00027401" w:rsidRDefault="00027401" w:rsidP="00027401">
      <w:pPr>
        <w:suppressAutoHyphens/>
        <w:spacing w:after="120" w:line="276" w:lineRule="auto"/>
        <w:jc w:val="both"/>
        <w:rPr>
          <w:rFonts w:ascii="Times New Roman" w:hAnsi="Times New Roman" w:cs="Times New Roman"/>
          <w:color w:val="5B9BD5" w:themeColor="accent1"/>
          <w:sz w:val="24"/>
          <w:szCs w:val="24"/>
          <w:shd w:val="clear" w:color="auto" w:fill="FFFFFF"/>
        </w:rPr>
      </w:pPr>
      <w:r w:rsidRPr="00027401">
        <w:rPr>
          <w:rFonts w:ascii="Times New Roman" w:hAnsi="Times New Roman" w:cs="Times New Roman"/>
          <w:color w:val="5B9BD5" w:themeColor="accent1"/>
          <w:sz w:val="24"/>
          <w:szCs w:val="24"/>
          <w:shd w:val="clear" w:color="auto" w:fill="FFFFFF"/>
        </w:rPr>
        <w:t>Новият програмен период е естествено продължение на Оперативна програма „Околна среда“ през периодите 2007-2013 г. и 2014-2020 г. Целите на ПОС 2021-2027 г. продължават да са свързани с подобряване на ВиК инфраструктурата и качеството на атмосферния въздух, екологосъобразно управление на отпадъците и опазване на богатото ни биоразнообразие. Мерките за превенция и управление на риска от наводнения, свлачища и горски пожари са в Приоритет „Риск и изменение на климата“.</w:t>
      </w:r>
    </w:p>
    <w:p w:rsidR="00027401" w:rsidRPr="00027401" w:rsidRDefault="00027401" w:rsidP="00027401">
      <w:pPr>
        <w:suppressAutoHyphens/>
        <w:spacing w:after="120" w:line="276" w:lineRule="auto"/>
        <w:jc w:val="both"/>
        <w:rPr>
          <w:rFonts w:ascii="Times New Roman" w:hAnsi="Times New Roman" w:cs="Times New Roman"/>
          <w:color w:val="5B9BD5" w:themeColor="accent1"/>
          <w:sz w:val="24"/>
          <w:szCs w:val="24"/>
          <w:shd w:val="clear" w:color="auto" w:fill="FFFFFF"/>
        </w:rPr>
      </w:pPr>
      <w:r w:rsidRPr="00027401">
        <w:rPr>
          <w:rFonts w:ascii="Times New Roman" w:hAnsi="Times New Roman" w:cs="Times New Roman"/>
          <w:color w:val="5B9BD5" w:themeColor="accent1"/>
          <w:sz w:val="24"/>
          <w:szCs w:val="24"/>
          <w:shd w:val="clear" w:color="auto" w:fill="FFFFFF"/>
        </w:rPr>
        <w:t>Над 312 млн. евро (611,49 млн. лв.) са средствата по Приоритет 2 „Отпадъци“ за насърчаване на прехода към кръгова и основаваща се на ефективно използване на ресурсите икономика. Ще се финансират:</w:t>
      </w:r>
    </w:p>
    <w:p w:rsidR="00027401" w:rsidRPr="00027401" w:rsidRDefault="00027401" w:rsidP="00027401">
      <w:pPr>
        <w:pStyle w:val="ListParagraph"/>
        <w:numPr>
          <w:ilvl w:val="0"/>
          <w:numId w:val="25"/>
        </w:numPr>
        <w:suppressAutoHyphens/>
        <w:spacing w:after="120" w:line="276" w:lineRule="auto"/>
        <w:jc w:val="both"/>
        <w:rPr>
          <w:rFonts w:ascii="Times New Roman" w:hAnsi="Times New Roman" w:cs="Times New Roman"/>
          <w:color w:val="5B9BD5" w:themeColor="accent1"/>
          <w:sz w:val="24"/>
          <w:szCs w:val="24"/>
          <w:shd w:val="clear" w:color="auto" w:fill="FFFFFF"/>
        </w:rPr>
      </w:pPr>
      <w:r w:rsidRPr="00027401">
        <w:rPr>
          <w:rFonts w:ascii="Times New Roman" w:hAnsi="Times New Roman" w:cs="Times New Roman"/>
          <w:color w:val="5B9BD5" w:themeColor="accent1"/>
          <w:sz w:val="24"/>
          <w:szCs w:val="24"/>
          <w:shd w:val="clear" w:color="auto" w:fill="FFFFFF"/>
        </w:rPr>
        <w:t>системи за разделно събиране и рециклиране на биоразградимите отпадъци - Приложение № 8 на НПУО 2021-2028 г.;</w:t>
      </w:r>
    </w:p>
    <w:p w:rsidR="00027401" w:rsidRPr="00027401" w:rsidRDefault="00027401" w:rsidP="00027401">
      <w:pPr>
        <w:pStyle w:val="ListParagraph"/>
        <w:numPr>
          <w:ilvl w:val="0"/>
          <w:numId w:val="25"/>
        </w:numPr>
        <w:suppressAutoHyphens/>
        <w:spacing w:after="120" w:line="276" w:lineRule="auto"/>
        <w:jc w:val="both"/>
        <w:rPr>
          <w:rFonts w:ascii="Times New Roman" w:hAnsi="Times New Roman" w:cs="Times New Roman"/>
          <w:color w:val="5B9BD5" w:themeColor="accent1"/>
          <w:sz w:val="24"/>
          <w:szCs w:val="24"/>
          <w:shd w:val="clear" w:color="auto" w:fill="FFFFFF"/>
        </w:rPr>
      </w:pPr>
      <w:r w:rsidRPr="00027401">
        <w:rPr>
          <w:rFonts w:ascii="Times New Roman" w:hAnsi="Times New Roman" w:cs="Times New Roman"/>
          <w:color w:val="5B9BD5" w:themeColor="accent1"/>
          <w:sz w:val="24"/>
          <w:szCs w:val="24"/>
          <w:shd w:val="clear" w:color="auto" w:fill="FFFFFF"/>
        </w:rPr>
        <w:t>системи/, центрове за разделно събиране и подготовка за повторна употреба и поправка;</w:t>
      </w:r>
    </w:p>
    <w:p w:rsidR="00027401" w:rsidRPr="00027401" w:rsidRDefault="00027401" w:rsidP="00027401">
      <w:pPr>
        <w:pStyle w:val="ListParagraph"/>
        <w:numPr>
          <w:ilvl w:val="0"/>
          <w:numId w:val="25"/>
        </w:numPr>
        <w:suppressAutoHyphens/>
        <w:spacing w:after="120" w:line="276" w:lineRule="auto"/>
        <w:rPr>
          <w:rFonts w:ascii="Times New Roman" w:hAnsi="Times New Roman" w:cs="Times New Roman"/>
          <w:color w:val="5B9BD5" w:themeColor="accent1"/>
          <w:sz w:val="24"/>
          <w:szCs w:val="24"/>
          <w:shd w:val="clear" w:color="auto" w:fill="FFFFFF"/>
        </w:rPr>
      </w:pPr>
      <w:r w:rsidRPr="00027401">
        <w:rPr>
          <w:rFonts w:ascii="Times New Roman" w:hAnsi="Times New Roman" w:cs="Times New Roman"/>
          <w:color w:val="5B9BD5" w:themeColor="accent1"/>
          <w:sz w:val="24"/>
          <w:szCs w:val="24"/>
          <w:shd w:val="clear" w:color="auto" w:fill="FFFFFF"/>
        </w:rPr>
        <w:t xml:space="preserve">рециклиране на отпадъци (в комбинация с разделно събиране и предварително третиране на разделно събрани отпадъци); </w:t>
      </w:r>
    </w:p>
    <w:p w:rsidR="00027401" w:rsidRPr="00027401" w:rsidRDefault="00027401" w:rsidP="00027401">
      <w:pPr>
        <w:pStyle w:val="ListParagraph"/>
        <w:numPr>
          <w:ilvl w:val="0"/>
          <w:numId w:val="25"/>
        </w:numPr>
        <w:suppressAutoHyphens/>
        <w:spacing w:after="120" w:line="276" w:lineRule="auto"/>
        <w:rPr>
          <w:rFonts w:ascii="Times New Roman" w:hAnsi="Times New Roman" w:cs="Times New Roman"/>
          <w:color w:val="5B9BD5" w:themeColor="accent1"/>
          <w:sz w:val="24"/>
          <w:szCs w:val="24"/>
          <w:shd w:val="clear" w:color="auto" w:fill="FFFFFF"/>
        </w:rPr>
      </w:pPr>
      <w:r w:rsidRPr="00027401">
        <w:rPr>
          <w:rFonts w:ascii="Times New Roman" w:hAnsi="Times New Roman" w:cs="Times New Roman"/>
          <w:color w:val="5B9BD5" w:themeColor="accent1"/>
          <w:sz w:val="24"/>
          <w:szCs w:val="24"/>
          <w:shd w:val="clear" w:color="auto" w:fill="FFFFFF"/>
        </w:rPr>
        <w:t>модели за оптимизиране на процеса на управление на битовите отпадъци от общините в България;</w:t>
      </w:r>
    </w:p>
    <w:p w:rsidR="00027401" w:rsidRPr="00027401" w:rsidRDefault="00027401" w:rsidP="00027401">
      <w:pPr>
        <w:pStyle w:val="ListParagraph"/>
        <w:numPr>
          <w:ilvl w:val="0"/>
          <w:numId w:val="25"/>
        </w:numPr>
        <w:suppressAutoHyphens/>
        <w:spacing w:after="120" w:line="276" w:lineRule="auto"/>
        <w:rPr>
          <w:rFonts w:ascii="Times New Roman" w:hAnsi="Times New Roman" w:cs="Times New Roman"/>
          <w:color w:val="5B9BD5" w:themeColor="accent1"/>
          <w:sz w:val="24"/>
          <w:szCs w:val="24"/>
          <w:shd w:val="clear" w:color="auto" w:fill="FFFFFF"/>
        </w:rPr>
      </w:pPr>
      <w:r w:rsidRPr="00027401">
        <w:rPr>
          <w:rFonts w:ascii="Times New Roman" w:hAnsi="Times New Roman" w:cs="Times New Roman"/>
          <w:color w:val="5B9BD5" w:themeColor="accent1"/>
          <w:sz w:val="24"/>
          <w:szCs w:val="24"/>
          <w:shd w:val="clear" w:color="auto" w:fill="FFFFFF"/>
        </w:rPr>
        <w:t>информационни и разяснителни кампании;</w:t>
      </w:r>
    </w:p>
    <w:p w:rsidR="00027401" w:rsidRPr="00027401" w:rsidRDefault="00027401" w:rsidP="00027401">
      <w:pPr>
        <w:pStyle w:val="ListParagraph"/>
        <w:numPr>
          <w:ilvl w:val="0"/>
          <w:numId w:val="25"/>
        </w:numPr>
        <w:suppressAutoHyphens/>
        <w:spacing w:after="120" w:line="276" w:lineRule="auto"/>
        <w:jc w:val="both"/>
        <w:rPr>
          <w:rFonts w:ascii="Times New Roman" w:hAnsi="Times New Roman" w:cs="Times New Roman"/>
          <w:color w:val="5B9BD5" w:themeColor="accent1"/>
          <w:sz w:val="24"/>
          <w:szCs w:val="24"/>
          <w:shd w:val="clear" w:color="auto" w:fill="FFFFFF"/>
        </w:rPr>
      </w:pPr>
      <w:r w:rsidRPr="00027401">
        <w:rPr>
          <w:rFonts w:ascii="Times New Roman" w:hAnsi="Times New Roman" w:cs="Times New Roman"/>
          <w:color w:val="5B9BD5" w:themeColor="accent1"/>
          <w:sz w:val="24"/>
          <w:szCs w:val="24"/>
          <w:shd w:val="clear" w:color="auto" w:fill="FFFFFF"/>
        </w:rPr>
        <w:t>рекултивация на депа /безопасност на съществуващи депа без увеличаване на техния капацитет/.</w:t>
      </w:r>
    </w:p>
    <w:p w:rsidR="00027401" w:rsidRPr="00027401" w:rsidRDefault="00027401" w:rsidP="00027401">
      <w:pPr>
        <w:suppressAutoHyphens/>
        <w:spacing w:after="120"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shd w:val="clear" w:color="auto" w:fill="FFFFFF"/>
        </w:rPr>
        <w:t xml:space="preserve">Във всеки програмен период се публикуват </w:t>
      </w:r>
      <w:r w:rsidRPr="00027401">
        <w:rPr>
          <w:rFonts w:ascii="Times New Roman" w:hAnsi="Times New Roman" w:cs="Times New Roman"/>
          <w:color w:val="5B9BD5" w:themeColor="accent1"/>
          <w:sz w:val="24"/>
          <w:szCs w:val="24"/>
        </w:rPr>
        <w:t xml:space="preserve">насоки за кандидатстване, заедно с обявата за откриване на процедура за подбор на проекти. Те съдържат съществена информация, от която да се ръководят кандидатите по време на изготвянето и предаването на проектно предложение по Оперативна програма „Околна среда 2021-2027 г.” на Република България. Важно е кандидатите да разполагат с полезна документация за различните начини на изготвяне на предложения за проекти за различните процедури за подбор на проекти и различните администрации. Съгласно указанията на ОПОС бенефициентите (Член 2 на Регламент 1083/2006) са стопански субекти, организация или предприятие, </w:t>
      </w:r>
      <w:r w:rsidRPr="00027401">
        <w:rPr>
          <w:rFonts w:ascii="Times New Roman" w:hAnsi="Times New Roman" w:cs="Times New Roman"/>
          <w:color w:val="5B9BD5" w:themeColor="accent1"/>
          <w:sz w:val="24"/>
          <w:szCs w:val="24"/>
        </w:rPr>
        <w:lastRenderedPageBreak/>
        <w:t xml:space="preserve">публичен или частен, който отговаря за инициирането или за инициирането и изпълнението на проекти. Допустими бенефициенти по проектите на ОПОС са и общините. </w:t>
      </w:r>
    </w:p>
    <w:p w:rsidR="00027401" w:rsidRPr="00027401" w:rsidRDefault="00027401" w:rsidP="00027401">
      <w:pPr>
        <w:suppressAutoHyphens/>
        <w:spacing w:after="120"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Основните задачи на бенефициентите след постигането на съгласие по концепцията за проекта са следните:</w:t>
      </w:r>
    </w:p>
    <w:p w:rsidR="00027401" w:rsidRPr="00027401" w:rsidRDefault="00027401" w:rsidP="00027401">
      <w:pPr>
        <w:pStyle w:val="ListParagraph"/>
        <w:numPr>
          <w:ilvl w:val="0"/>
          <w:numId w:val="29"/>
        </w:numPr>
        <w:suppressAutoHyphens/>
        <w:spacing w:after="120" w:line="276" w:lineRule="auto"/>
        <w:jc w:val="both"/>
        <w:rPr>
          <w:rFonts w:ascii="Times New Roman" w:hAnsi="Times New Roman" w:cs="Times New Roman"/>
          <w:color w:val="5B9BD5" w:themeColor="accent1"/>
          <w:sz w:val="24"/>
          <w:szCs w:val="24"/>
          <w:shd w:val="clear" w:color="auto" w:fill="FFFFFF"/>
        </w:rPr>
      </w:pPr>
      <w:r w:rsidRPr="00027401">
        <w:rPr>
          <w:rFonts w:ascii="Times New Roman" w:hAnsi="Times New Roman" w:cs="Times New Roman"/>
          <w:color w:val="5B9BD5" w:themeColor="accent1"/>
          <w:sz w:val="24"/>
          <w:szCs w:val="24"/>
        </w:rPr>
        <w:t>дефиниране на обхвата на проекта;</w:t>
      </w:r>
    </w:p>
    <w:p w:rsidR="00027401" w:rsidRPr="00027401" w:rsidRDefault="00027401" w:rsidP="00027401">
      <w:pPr>
        <w:pStyle w:val="ListParagraph"/>
        <w:numPr>
          <w:ilvl w:val="0"/>
          <w:numId w:val="29"/>
        </w:numPr>
        <w:suppressAutoHyphens/>
        <w:spacing w:after="120" w:line="276" w:lineRule="auto"/>
        <w:jc w:val="both"/>
        <w:rPr>
          <w:rFonts w:ascii="Times New Roman" w:hAnsi="Times New Roman" w:cs="Times New Roman"/>
          <w:color w:val="5B9BD5" w:themeColor="accent1"/>
          <w:sz w:val="24"/>
          <w:szCs w:val="24"/>
          <w:shd w:val="clear" w:color="auto" w:fill="FFFFFF"/>
        </w:rPr>
      </w:pPr>
      <w:r w:rsidRPr="00027401">
        <w:rPr>
          <w:rFonts w:ascii="Times New Roman" w:hAnsi="Times New Roman" w:cs="Times New Roman"/>
          <w:color w:val="5B9BD5" w:themeColor="accent1"/>
          <w:sz w:val="24"/>
          <w:szCs w:val="24"/>
        </w:rPr>
        <w:t xml:space="preserve">изготвяне на проектно предложение; </w:t>
      </w:r>
    </w:p>
    <w:p w:rsidR="00027401" w:rsidRPr="00027401" w:rsidRDefault="00027401" w:rsidP="00027401">
      <w:pPr>
        <w:pStyle w:val="ListParagraph"/>
        <w:numPr>
          <w:ilvl w:val="0"/>
          <w:numId w:val="29"/>
        </w:numPr>
        <w:suppressAutoHyphens/>
        <w:spacing w:after="120" w:line="276" w:lineRule="auto"/>
        <w:jc w:val="both"/>
        <w:rPr>
          <w:rFonts w:ascii="Times New Roman" w:hAnsi="Times New Roman" w:cs="Times New Roman"/>
          <w:color w:val="5B9BD5" w:themeColor="accent1"/>
          <w:sz w:val="24"/>
          <w:szCs w:val="24"/>
          <w:shd w:val="clear" w:color="auto" w:fill="FFFFFF"/>
        </w:rPr>
      </w:pPr>
      <w:r w:rsidRPr="00027401">
        <w:rPr>
          <w:rFonts w:ascii="Times New Roman" w:hAnsi="Times New Roman" w:cs="Times New Roman"/>
          <w:color w:val="5B9BD5" w:themeColor="accent1"/>
          <w:sz w:val="24"/>
          <w:szCs w:val="24"/>
        </w:rPr>
        <w:t>подаване на изготвеното проектно предложение за оценка и одобряване; след одобряването и решението на УО се подписва договор за безвъзмездна финансова помощ за изпълнението на проекта;</w:t>
      </w:r>
    </w:p>
    <w:p w:rsidR="00027401" w:rsidRPr="00027401" w:rsidRDefault="00027401" w:rsidP="00027401">
      <w:pPr>
        <w:pStyle w:val="ListParagraph"/>
        <w:numPr>
          <w:ilvl w:val="0"/>
          <w:numId w:val="29"/>
        </w:numPr>
        <w:suppressAutoHyphens/>
        <w:spacing w:after="120" w:line="276" w:lineRule="auto"/>
        <w:jc w:val="both"/>
        <w:rPr>
          <w:rFonts w:ascii="Times New Roman" w:hAnsi="Times New Roman" w:cs="Times New Roman"/>
          <w:color w:val="5B9BD5" w:themeColor="accent1"/>
          <w:sz w:val="24"/>
          <w:szCs w:val="24"/>
          <w:shd w:val="clear" w:color="auto" w:fill="FFFFFF"/>
        </w:rPr>
      </w:pPr>
      <w:r w:rsidRPr="00027401">
        <w:rPr>
          <w:rFonts w:ascii="Times New Roman" w:hAnsi="Times New Roman" w:cs="Times New Roman"/>
          <w:color w:val="5B9BD5" w:themeColor="accent1"/>
          <w:sz w:val="24"/>
          <w:szCs w:val="24"/>
        </w:rPr>
        <w:t>възлагане на обществени поръчки за дейности – подготвя се документация за възлагане на обществени поръчки за строителство, доставки и услуги; подписват се договори с изпълнителите/ доставчиците/ консултанта, избрани в резултат на процедурата за обществени поръчки; В настоящата програма ще се насърчават бенефициентите да използват повече критерии, свързани с качеството и с разходите за жизнения цикъл, като се включват в ОП екологични и социални критерии, както и стимули за иновации;</w:t>
      </w:r>
    </w:p>
    <w:p w:rsidR="00027401" w:rsidRPr="00027401" w:rsidRDefault="00027401" w:rsidP="00027401">
      <w:pPr>
        <w:pStyle w:val="ListParagraph"/>
        <w:numPr>
          <w:ilvl w:val="0"/>
          <w:numId w:val="29"/>
        </w:numPr>
        <w:suppressAutoHyphens/>
        <w:spacing w:after="120" w:line="276" w:lineRule="auto"/>
        <w:jc w:val="both"/>
        <w:rPr>
          <w:rFonts w:ascii="Times New Roman" w:hAnsi="Times New Roman" w:cs="Times New Roman"/>
          <w:color w:val="5B9BD5" w:themeColor="accent1"/>
          <w:sz w:val="24"/>
          <w:szCs w:val="24"/>
          <w:shd w:val="clear" w:color="auto" w:fill="FFFFFF"/>
        </w:rPr>
      </w:pPr>
      <w:r w:rsidRPr="00027401">
        <w:rPr>
          <w:rFonts w:ascii="Times New Roman" w:hAnsi="Times New Roman" w:cs="Times New Roman"/>
          <w:color w:val="5B9BD5" w:themeColor="accent1"/>
          <w:sz w:val="24"/>
          <w:szCs w:val="24"/>
        </w:rPr>
        <w:t xml:space="preserve">изпълнение на проекта и финансово управление  - отговаря се за ежедневното управление на операциите/проектите, одобрени за финансиране по ОПОС, включително и за всички административни, финансови, технически и физически аспекти; </w:t>
      </w:r>
    </w:p>
    <w:p w:rsidR="00027401" w:rsidRPr="00027401" w:rsidRDefault="00027401" w:rsidP="00027401">
      <w:pPr>
        <w:pStyle w:val="ListParagraph"/>
        <w:numPr>
          <w:ilvl w:val="0"/>
          <w:numId w:val="29"/>
        </w:numPr>
        <w:suppressAutoHyphens/>
        <w:spacing w:after="120" w:line="276" w:lineRule="auto"/>
        <w:jc w:val="both"/>
        <w:rPr>
          <w:rFonts w:ascii="Times New Roman" w:hAnsi="Times New Roman" w:cs="Times New Roman"/>
          <w:color w:val="5B9BD5" w:themeColor="accent1"/>
          <w:sz w:val="24"/>
          <w:szCs w:val="24"/>
          <w:shd w:val="clear" w:color="auto" w:fill="FFFFFF"/>
        </w:rPr>
      </w:pPr>
      <w:r w:rsidRPr="00027401">
        <w:rPr>
          <w:rFonts w:ascii="Times New Roman" w:hAnsi="Times New Roman" w:cs="Times New Roman"/>
          <w:color w:val="5B9BD5" w:themeColor="accent1"/>
          <w:sz w:val="24"/>
          <w:szCs w:val="24"/>
        </w:rPr>
        <w:t>наблюдение и докладване - събират и се обработват нужните данни за наблюдението и оценката на одобрените проекти.</w:t>
      </w:r>
    </w:p>
    <w:p w:rsidR="00027401" w:rsidRPr="00027401" w:rsidRDefault="00027401" w:rsidP="00027401">
      <w:pPr>
        <w:suppressAutoHyphens/>
        <w:spacing w:after="120" w:line="276" w:lineRule="auto"/>
        <w:jc w:val="both"/>
        <w:rPr>
          <w:rFonts w:ascii="Times New Roman" w:hAnsi="Times New Roman" w:cs="Times New Roman"/>
          <w:color w:val="5B9BD5" w:themeColor="accent1"/>
          <w:sz w:val="24"/>
          <w:szCs w:val="24"/>
          <w:shd w:val="clear" w:color="auto" w:fill="FFFFFF"/>
        </w:rPr>
      </w:pPr>
      <w:r w:rsidRPr="00027401">
        <w:rPr>
          <w:rFonts w:ascii="Times New Roman" w:hAnsi="Times New Roman" w:cs="Times New Roman"/>
          <w:color w:val="5B9BD5" w:themeColor="accent1"/>
          <w:sz w:val="24"/>
          <w:szCs w:val="24"/>
          <w:shd w:val="clear" w:color="auto" w:fill="FFFFFF"/>
        </w:rPr>
        <w:t>Стъпки в подготовката на проект:</w:t>
      </w:r>
    </w:p>
    <w:p w:rsidR="00027401" w:rsidRPr="00027401" w:rsidRDefault="00027401" w:rsidP="00027401">
      <w:pPr>
        <w:pStyle w:val="ListParagraph"/>
        <w:numPr>
          <w:ilvl w:val="0"/>
          <w:numId w:val="30"/>
        </w:numPr>
        <w:suppressAutoHyphens/>
        <w:spacing w:after="120" w:line="276" w:lineRule="auto"/>
        <w:jc w:val="both"/>
        <w:rPr>
          <w:rFonts w:ascii="Times New Roman" w:hAnsi="Times New Roman" w:cs="Times New Roman"/>
          <w:color w:val="5B9BD5" w:themeColor="accent1"/>
          <w:sz w:val="24"/>
          <w:szCs w:val="24"/>
          <w:shd w:val="clear" w:color="auto" w:fill="FFFFFF"/>
        </w:rPr>
      </w:pPr>
      <w:r w:rsidRPr="00027401">
        <w:rPr>
          <w:rFonts w:ascii="Times New Roman" w:hAnsi="Times New Roman" w:cs="Times New Roman"/>
          <w:color w:val="5B9BD5" w:themeColor="accent1"/>
          <w:sz w:val="24"/>
          <w:szCs w:val="24"/>
          <w:shd w:val="clear" w:color="auto" w:fill="FFFFFF"/>
        </w:rPr>
        <w:t>Подготвителен етап – състои се в извършването на начално проучване на инвестиционните потребности, след което се групират необходимите дейности, за да се оформи концепцията на проекта. Най-общо проектите трябва да отговарят на следните изисквания:</w:t>
      </w:r>
    </w:p>
    <w:p w:rsidR="00027401" w:rsidRPr="00027401" w:rsidRDefault="00027401" w:rsidP="00027401">
      <w:pPr>
        <w:pStyle w:val="ListParagraph"/>
        <w:numPr>
          <w:ilvl w:val="0"/>
          <w:numId w:val="25"/>
        </w:numPr>
        <w:suppressAutoHyphens/>
        <w:spacing w:after="120" w:line="276" w:lineRule="auto"/>
        <w:jc w:val="both"/>
        <w:rPr>
          <w:rFonts w:ascii="Times New Roman" w:hAnsi="Times New Roman" w:cs="Times New Roman"/>
          <w:color w:val="5B9BD5" w:themeColor="accent1"/>
          <w:sz w:val="24"/>
          <w:szCs w:val="24"/>
          <w:shd w:val="clear" w:color="auto" w:fill="FFFFFF"/>
        </w:rPr>
      </w:pPr>
      <w:r w:rsidRPr="00027401">
        <w:rPr>
          <w:rFonts w:ascii="Times New Roman" w:hAnsi="Times New Roman" w:cs="Times New Roman"/>
          <w:color w:val="5B9BD5" w:themeColor="accent1"/>
          <w:sz w:val="24"/>
          <w:szCs w:val="24"/>
          <w:shd w:val="clear" w:color="auto" w:fill="FFFFFF"/>
        </w:rPr>
        <w:t>Да съответстват на приоритетите на Република България в областта на управлението на отпадъците;</w:t>
      </w:r>
    </w:p>
    <w:p w:rsidR="00027401" w:rsidRPr="00027401" w:rsidRDefault="00027401" w:rsidP="00027401">
      <w:pPr>
        <w:pStyle w:val="ListParagraph"/>
        <w:numPr>
          <w:ilvl w:val="0"/>
          <w:numId w:val="25"/>
        </w:numPr>
        <w:suppressAutoHyphens/>
        <w:spacing w:after="120" w:line="276" w:lineRule="auto"/>
        <w:jc w:val="both"/>
        <w:rPr>
          <w:rFonts w:ascii="Times New Roman" w:hAnsi="Times New Roman" w:cs="Times New Roman"/>
          <w:color w:val="5B9BD5" w:themeColor="accent1"/>
          <w:sz w:val="24"/>
          <w:szCs w:val="24"/>
          <w:shd w:val="clear" w:color="auto" w:fill="FFFFFF"/>
        </w:rPr>
      </w:pPr>
      <w:r w:rsidRPr="00027401">
        <w:rPr>
          <w:rFonts w:ascii="Times New Roman" w:hAnsi="Times New Roman" w:cs="Times New Roman"/>
          <w:color w:val="5B9BD5" w:themeColor="accent1"/>
          <w:sz w:val="24"/>
          <w:szCs w:val="24"/>
          <w:shd w:val="clear" w:color="auto" w:fill="FFFFFF"/>
        </w:rPr>
        <w:t>Да се отнасят за дейности включени в НПУО;</w:t>
      </w:r>
    </w:p>
    <w:p w:rsidR="00027401" w:rsidRPr="00027401" w:rsidRDefault="00027401" w:rsidP="00027401">
      <w:pPr>
        <w:pStyle w:val="ListParagraph"/>
        <w:numPr>
          <w:ilvl w:val="0"/>
          <w:numId w:val="25"/>
        </w:numPr>
        <w:suppressAutoHyphens/>
        <w:spacing w:after="120" w:line="276" w:lineRule="auto"/>
        <w:jc w:val="both"/>
        <w:rPr>
          <w:rFonts w:ascii="Times New Roman" w:hAnsi="Times New Roman" w:cs="Times New Roman"/>
          <w:color w:val="5B9BD5" w:themeColor="accent1"/>
          <w:sz w:val="24"/>
          <w:szCs w:val="24"/>
          <w:shd w:val="clear" w:color="auto" w:fill="FFFFFF"/>
        </w:rPr>
      </w:pPr>
      <w:r w:rsidRPr="00027401">
        <w:rPr>
          <w:rFonts w:ascii="Times New Roman" w:hAnsi="Times New Roman" w:cs="Times New Roman"/>
          <w:color w:val="5B9BD5" w:themeColor="accent1"/>
          <w:sz w:val="24"/>
          <w:szCs w:val="24"/>
          <w:shd w:val="clear" w:color="auto" w:fill="FFFFFF"/>
        </w:rPr>
        <w:t>Да са посочени като приоритетни в общинските или регионалните програми;</w:t>
      </w:r>
    </w:p>
    <w:p w:rsidR="00027401" w:rsidRPr="00027401" w:rsidRDefault="00027401" w:rsidP="00027401">
      <w:pPr>
        <w:pStyle w:val="ListParagraph"/>
        <w:numPr>
          <w:ilvl w:val="0"/>
          <w:numId w:val="25"/>
        </w:numPr>
        <w:suppressAutoHyphens/>
        <w:spacing w:after="120" w:line="276" w:lineRule="auto"/>
        <w:jc w:val="both"/>
        <w:rPr>
          <w:rFonts w:ascii="Times New Roman" w:hAnsi="Times New Roman" w:cs="Times New Roman"/>
          <w:color w:val="5B9BD5" w:themeColor="accent1"/>
          <w:sz w:val="24"/>
          <w:szCs w:val="24"/>
          <w:shd w:val="clear" w:color="auto" w:fill="FFFFFF"/>
        </w:rPr>
      </w:pPr>
      <w:r w:rsidRPr="00027401">
        <w:rPr>
          <w:rFonts w:ascii="Times New Roman" w:hAnsi="Times New Roman" w:cs="Times New Roman"/>
          <w:color w:val="5B9BD5" w:themeColor="accent1"/>
          <w:sz w:val="24"/>
          <w:szCs w:val="24"/>
          <w:shd w:val="clear" w:color="auto" w:fill="FFFFFF"/>
        </w:rPr>
        <w:t xml:space="preserve">Да предвиждат интегриран подход и да се оповават на йерархията за управление на отпадъците. </w:t>
      </w:r>
    </w:p>
    <w:p w:rsidR="00027401" w:rsidRPr="00027401" w:rsidRDefault="00027401" w:rsidP="00027401">
      <w:pPr>
        <w:pStyle w:val="ListParagraph"/>
        <w:numPr>
          <w:ilvl w:val="0"/>
          <w:numId w:val="30"/>
        </w:numPr>
        <w:suppressAutoHyphens/>
        <w:spacing w:after="120" w:line="276" w:lineRule="auto"/>
        <w:jc w:val="both"/>
        <w:rPr>
          <w:rFonts w:ascii="Times New Roman" w:hAnsi="Times New Roman" w:cs="Times New Roman"/>
          <w:color w:val="5B9BD5" w:themeColor="accent1"/>
          <w:sz w:val="24"/>
          <w:szCs w:val="24"/>
          <w:shd w:val="clear" w:color="auto" w:fill="FFFFFF"/>
        </w:rPr>
      </w:pPr>
      <w:r w:rsidRPr="00027401">
        <w:rPr>
          <w:rFonts w:ascii="Times New Roman" w:hAnsi="Times New Roman" w:cs="Times New Roman"/>
          <w:color w:val="5B9BD5" w:themeColor="accent1"/>
          <w:sz w:val="24"/>
          <w:szCs w:val="24"/>
          <w:shd w:val="clear" w:color="auto" w:fill="FFFFFF"/>
        </w:rPr>
        <w:t>Дефиниране на проекта</w:t>
      </w:r>
    </w:p>
    <w:p w:rsidR="00027401" w:rsidRPr="00027401" w:rsidRDefault="00027401" w:rsidP="00027401">
      <w:pPr>
        <w:pStyle w:val="ListParagraph"/>
        <w:numPr>
          <w:ilvl w:val="0"/>
          <w:numId w:val="25"/>
        </w:numPr>
        <w:suppressAutoHyphens/>
        <w:spacing w:after="120" w:line="276" w:lineRule="auto"/>
        <w:jc w:val="both"/>
        <w:rPr>
          <w:rFonts w:ascii="Times New Roman" w:hAnsi="Times New Roman" w:cs="Times New Roman"/>
          <w:color w:val="5B9BD5" w:themeColor="accent1"/>
          <w:sz w:val="24"/>
          <w:szCs w:val="24"/>
          <w:shd w:val="clear" w:color="auto" w:fill="FFFFFF"/>
        </w:rPr>
      </w:pPr>
      <w:r w:rsidRPr="00027401">
        <w:rPr>
          <w:rFonts w:ascii="Times New Roman" w:hAnsi="Times New Roman" w:cs="Times New Roman"/>
          <w:color w:val="5B9BD5" w:themeColor="accent1"/>
          <w:sz w:val="24"/>
          <w:szCs w:val="24"/>
          <w:shd w:val="clear" w:color="auto" w:fill="FFFFFF"/>
        </w:rPr>
        <w:t>Оценка на потребностите – да се покаже необходимостта или потребността от такъв проект;</w:t>
      </w:r>
    </w:p>
    <w:p w:rsidR="00027401" w:rsidRPr="00027401" w:rsidRDefault="00027401" w:rsidP="00027401">
      <w:pPr>
        <w:pStyle w:val="ListParagraph"/>
        <w:numPr>
          <w:ilvl w:val="0"/>
          <w:numId w:val="25"/>
        </w:numPr>
        <w:suppressAutoHyphens/>
        <w:spacing w:after="120" w:line="276" w:lineRule="auto"/>
        <w:jc w:val="both"/>
        <w:rPr>
          <w:rFonts w:ascii="Times New Roman" w:hAnsi="Times New Roman" w:cs="Times New Roman"/>
          <w:color w:val="5B9BD5" w:themeColor="accent1"/>
          <w:sz w:val="24"/>
          <w:szCs w:val="24"/>
          <w:shd w:val="clear" w:color="auto" w:fill="FFFFFF"/>
        </w:rPr>
      </w:pPr>
      <w:r w:rsidRPr="00027401">
        <w:rPr>
          <w:rFonts w:ascii="Times New Roman" w:hAnsi="Times New Roman" w:cs="Times New Roman"/>
          <w:color w:val="5B9BD5" w:themeColor="accent1"/>
          <w:sz w:val="24"/>
          <w:szCs w:val="24"/>
          <w:shd w:val="clear" w:color="auto" w:fill="FFFFFF"/>
        </w:rPr>
        <w:t>Определяне на задачите и целите;</w:t>
      </w:r>
    </w:p>
    <w:p w:rsidR="00027401" w:rsidRPr="00027401" w:rsidRDefault="00027401" w:rsidP="00027401">
      <w:pPr>
        <w:pStyle w:val="ListParagraph"/>
        <w:numPr>
          <w:ilvl w:val="0"/>
          <w:numId w:val="25"/>
        </w:numPr>
        <w:suppressAutoHyphens/>
        <w:spacing w:after="120" w:line="276" w:lineRule="auto"/>
        <w:jc w:val="both"/>
        <w:rPr>
          <w:rFonts w:ascii="Times New Roman" w:hAnsi="Times New Roman" w:cs="Times New Roman"/>
          <w:color w:val="5B9BD5" w:themeColor="accent1"/>
          <w:sz w:val="24"/>
          <w:szCs w:val="24"/>
          <w:shd w:val="clear" w:color="auto" w:fill="FFFFFF"/>
        </w:rPr>
      </w:pPr>
      <w:r w:rsidRPr="00027401">
        <w:rPr>
          <w:rFonts w:ascii="Times New Roman" w:hAnsi="Times New Roman" w:cs="Times New Roman"/>
          <w:color w:val="5B9BD5" w:themeColor="accent1"/>
          <w:sz w:val="24"/>
          <w:szCs w:val="24"/>
          <w:shd w:val="clear" w:color="auto" w:fill="FFFFFF"/>
        </w:rPr>
        <w:t>Описание на дефинирания проект – след като е изяснена необходимостта от такъв проект и са поставени целите и задачите, по-прецизно се определя начина за постигане на целите на проекта, т. с. дейностите, които ще се реализират.</w:t>
      </w:r>
    </w:p>
    <w:p w:rsidR="00027401" w:rsidRPr="00027401" w:rsidRDefault="00027401" w:rsidP="00027401">
      <w:pPr>
        <w:pStyle w:val="ListParagraph"/>
        <w:numPr>
          <w:ilvl w:val="0"/>
          <w:numId w:val="30"/>
        </w:numPr>
        <w:suppressAutoHyphens/>
        <w:spacing w:after="120" w:line="276" w:lineRule="auto"/>
        <w:jc w:val="both"/>
        <w:rPr>
          <w:rFonts w:ascii="Times New Roman" w:hAnsi="Times New Roman" w:cs="Times New Roman"/>
          <w:color w:val="5B9BD5" w:themeColor="accent1"/>
          <w:sz w:val="24"/>
          <w:szCs w:val="24"/>
          <w:shd w:val="clear" w:color="auto" w:fill="FFFFFF"/>
        </w:rPr>
      </w:pPr>
      <w:r w:rsidRPr="00027401">
        <w:rPr>
          <w:rFonts w:ascii="Times New Roman" w:hAnsi="Times New Roman" w:cs="Times New Roman"/>
          <w:color w:val="5B9BD5" w:themeColor="accent1"/>
          <w:sz w:val="24"/>
          <w:szCs w:val="24"/>
          <w:shd w:val="clear" w:color="auto" w:fill="FFFFFF"/>
        </w:rPr>
        <w:lastRenderedPageBreak/>
        <w:t>Подготовка на проекта – пред инвестиционно проучване и заявление за кандидатстване</w:t>
      </w:r>
    </w:p>
    <w:p w:rsidR="00027401" w:rsidRPr="00027401" w:rsidRDefault="00027401" w:rsidP="00027401">
      <w:pPr>
        <w:pStyle w:val="ListParagraph"/>
        <w:numPr>
          <w:ilvl w:val="0"/>
          <w:numId w:val="30"/>
        </w:numPr>
        <w:suppressAutoHyphens/>
        <w:spacing w:after="120" w:line="276" w:lineRule="auto"/>
        <w:jc w:val="both"/>
        <w:rPr>
          <w:rFonts w:ascii="Times New Roman" w:eastAsia="Calibri" w:hAnsi="Times New Roman" w:cs="Times New Roman"/>
          <w:bCs/>
          <w:color w:val="5B9BD5" w:themeColor="accent1"/>
          <w:sz w:val="24"/>
          <w:szCs w:val="24"/>
          <w:lang w:eastAsia="ar-SA"/>
        </w:rPr>
      </w:pPr>
      <w:r w:rsidRPr="00027401">
        <w:rPr>
          <w:rFonts w:ascii="Times New Roman" w:hAnsi="Times New Roman" w:cs="Times New Roman"/>
          <w:color w:val="5B9BD5" w:themeColor="accent1"/>
          <w:sz w:val="24"/>
          <w:szCs w:val="24"/>
          <w:shd w:val="clear" w:color="auto" w:fill="FFFFFF"/>
        </w:rPr>
        <w:t xml:space="preserve">Оценка на проекта  - </w:t>
      </w:r>
      <w:r w:rsidRPr="00027401">
        <w:rPr>
          <w:rFonts w:ascii="Times New Roman" w:hAnsi="Times New Roman" w:cs="Times New Roman"/>
          <w:color w:val="5B9BD5" w:themeColor="accent1"/>
          <w:sz w:val="24"/>
          <w:szCs w:val="24"/>
        </w:rPr>
        <w:t>Процесът на оценка и конкретните критерии, които ще се използват, зависят от различните обявления за набиране на проектни предложения в съответствие с целите на ОПОС 2021-2027 – резултат подписан договор с бенефициента за безвъзмездна финансова помощ.</w:t>
      </w:r>
    </w:p>
    <w:p w:rsidR="00027401" w:rsidRPr="001D2671" w:rsidRDefault="00027401" w:rsidP="001D2671">
      <w:pPr>
        <w:suppressAutoHyphens/>
        <w:spacing w:after="120" w:line="276" w:lineRule="auto"/>
        <w:ind w:left="360"/>
        <w:jc w:val="both"/>
        <w:rPr>
          <w:rFonts w:ascii="Times New Roman" w:hAnsi="Times New Roman" w:cs="Times New Roman"/>
          <w:color w:val="5B9BD5" w:themeColor="accent1"/>
          <w:sz w:val="24"/>
          <w:szCs w:val="24"/>
        </w:rPr>
      </w:pPr>
      <w:r w:rsidRPr="00027401">
        <w:rPr>
          <w:rFonts w:ascii="Times New Roman" w:eastAsia="Calibri" w:hAnsi="Times New Roman" w:cs="Times New Roman"/>
          <w:bCs/>
          <w:color w:val="5B9BD5" w:themeColor="accent1"/>
          <w:sz w:val="24"/>
          <w:szCs w:val="24"/>
          <w:lang w:eastAsia="ar-SA"/>
        </w:rPr>
        <w:t xml:space="preserve">Предвид анализа на реализацията на проектите за периода 2014-2020, в новия програмен период се предвиждат дейности за укрепване капацитета на (потенциални) бенефициенти и техните партньори. Предвижда се </w:t>
      </w:r>
      <w:r w:rsidRPr="00027401">
        <w:rPr>
          <w:rFonts w:ascii="Times New Roman" w:hAnsi="Times New Roman" w:cs="Times New Roman"/>
          <w:color w:val="5B9BD5" w:themeColor="accent1"/>
          <w:sz w:val="24"/>
          <w:szCs w:val="24"/>
        </w:rPr>
        <w:t>разработване и изпълнение на специфични програми за обучение с акцент върху подготовката и изпълнението на инфраструктурни проекти, наемане на експерти и лектори, семинари, обмен на опит и добри практики, представяне на новостите и изискванията в екологичното законодателство и съответните отговорности на бенефициентите. Планира се разработване и разпространение на учебни материали, предоставяне на методическа помощ и писмени инструкции относно изискванията за подготовка на проекти и последващо устойчиво управление на придобитите активи/резултати и др. Примерни теми, на които се залага се въвеждащи обучения след подписване на договор за БФП – отчетни документи по ПОС, показатели; прилагане на ЗУТ и условията на FIDIC, изпълнение на „зелени“ обществени поръчки”; финансови и технически измерения на финансиране или управление на ВиК услугите и/или активите, за постигане на целевите показатели за качество и ефективност на предоставяните услуги; прилагане на ФИ, подобряване на кредитоспособността, комбиниране на различни финансови източници, и др. В индикаторите за изпълнение на програмния период са заложени 30 на брой обучителни семинара и информационни срещи за бенефициенти (за изпълнение на проекти).</w:t>
      </w:r>
    </w:p>
    <w:p w:rsidR="00027401" w:rsidRPr="001D2671" w:rsidRDefault="00027401" w:rsidP="001D2671">
      <w:pPr>
        <w:pStyle w:val="ListParagraph"/>
        <w:numPr>
          <w:ilvl w:val="1"/>
          <w:numId w:val="9"/>
        </w:numPr>
        <w:suppressAutoHyphens/>
        <w:spacing w:after="120" w:line="276" w:lineRule="auto"/>
        <w:jc w:val="both"/>
        <w:rPr>
          <w:rFonts w:ascii="Times New Roman" w:hAnsi="Times New Roman" w:cs="Times New Roman"/>
          <w:color w:val="5B9BD5" w:themeColor="accent1"/>
          <w:sz w:val="24"/>
          <w:szCs w:val="24"/>
          <w:lang w:val="en-GB"/>
        </w:rPr>
      </w:pPr>
      <w:r w:rsidRPr="001D2671">
        <w:rPr>
          <w:rFonts w:ascii="Times New Roman" w:hAnsi="Times New Roman" w:cs="Times New Roman"/>
          <w:color w:val="5B9BD5" w:themeColor="accent1"/>
          <w:sz w:val="24"/>
          <w:szCs w:val="24"/>
        </w:rPr>
        <w:t>Програма</w:t>
      </w:r>
      <w:r w:rsidRPr="001D2671">
        <w:rPr>
          <w:rFonts w:ascii="Times New Roman" w:hAnsi="Times New Roman" w:cs="Times New Roman"/>
          <w:color w:val="5B9BD5" w:themeColor="accent1"/>
          <w:sz w:val="24"/>
          <w:szCs w:val="24"/>
          <w:lang w:val="en-GB"/>
        </w:rPr>
        <w:t xml:space="preserve"> LIFE</w:t>
      </w:r>
    </w:p>
    <w:p w:rsidR="00027401" w:rsidRPr="00027401" w:rsidRDefault="00027401" w:rsidP="00027401">
      <w:pPr>
        <w:suppressAutoHyphens/>
        <w:spacing w:after="120" w:line="276" w:lineRule="auto"/>
        <w:ind w:left="360"/>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 xml:space="preserve">Програма </w:t>
      </w:r>
      <w:r w:rsidRPr="00027401">
        <w:rPr>
          <w:rFonts w:ascii="Times New Roman" w:hAnsi="Times New Roman" w:cs="Times New Roman"/>
          <w:color w:val="5B9BD5" w:themeColor="accent1"/>
          <w:sz w:val="24"/>
          <w:szCs w:val="24"/>
          <w:lang w:val="en-GB"/>
        </w:rPr>
        <w:t>LIFE</w:t>
      </w:r>
      <w:r w:rsidRPr="00027401">
        <w:rPr>
          <w:rFonts w:ascii="Times New Roman" w:hAnsi="Times New Roman" w:cs="Times New Roman"/>
          <w:color w:val="5B9BD5" w:themeColor="accent1"/>
          <w:sz w:val="24"/>
          <w:szCs w:val="24"/>
        </w:rPr>
        <w:t xml:space="preserve"> е програма на Европейският съюз, която предоставя финансиране на проекти за опазване на околната среда и природата. През 2022 година, програмата отбеляза своята 30 годишнина.</w:t>
      </w:r>
    </w:p>
    <w:p w:rsidR="00027401" w:rsidRPr="00027401" w:rsidRDefault="00027401" w:rsidP="00027401">
      <w:pPr>
        <w:suppressAutoHyphens/>
        <w:spacing w:after="120" w:line="276" w:lineRule="auto"/>
        <w:ind w:left="360"/>
        <w:jc w:val="both"/>
        <w:rPr>
          <w:rFonts w:ascii="Times New Roman" w:hAnsi="Times New Roman" w:cs="Times New Roman"/>
          <w:color w:val="5B9BD5" w:themeColor="accent1"/>
          <w:sz w:val="24"/>
          <w:szCs w:val="24"/>
          <w:shd w:val="clear" w:color="auto" w:fill="FFFFFF"/>
        </w:rPr>
      </w:pPr>
      <w:r w:rsidRPr="00027401">
        <w:rPr>
          <w:rFonts w:ascii="Times New Roman" w:hAnsi="Times New Roman" w:cs="Times New Roman"/>
          <w:color w:val="5B9BD5" w:themeColor="accent1"/>
          <w:sz w:val="24"/>
          <w:szCs w:val="24"/>
        </w:rPr>
        <w:t>В България програмата има национално звено за контакт, което е отговорно за популяризирането и изпълнението на програмата на местно ниво. То е ситуирано в МОСВ, отдел Международни програми и проекти.</w:t>
      </w:r>
      <w:r w:rsidRPr="00027401">
        <w:rPr>
          <w:rFonts w:ascii="Arial" w:hAnsi="Arial" w:cs="Arial"/>
          <w:color w:val="5B9BD5" w:themeColor="accent1"/>
          <w:sz w:val="21"/>
          <w:szCs w:val="21"/>
          <w:shd w:val="clear" w:color="auto" w:fill="FFFFFF"/>
        </w:rPr>
        <w:t xml:space="preserve"> </w:t>
      </w:r>
      <w:r w:rsidRPr="00027401">
        <w:rPr>
          <w:rFonts w:ascii="Times New Roman" w:hAnsi="Times New Roman" w:cs="Times New Roman"/>
          <w:color w:val="5B9BD5" w:themeColor="accent1"/>
          <w:sz w:val="24"/>
          <w:szCs w:val="24"/>
          <w:shd w:val="clear" w:color="auto" w:fill="FFFFFF"/>
        </w:rPr>
        <w:t>На регионално ниво, съдействие и подкрепа оказват шест регионални звена за контакт (РЗК), създадени към регионалните инспекции по околна среда и водите (РИОСВ) в шест областни града – гр. Плевен, гр. Благоевград, гр. Монтана, гр. Бургас, гр. Русе и гр. Пловдив.</w:t>
      </w:r>
    </w:p>
    <w:p w:rsidR="00027401" w:rsidRPr="00027401" w:rsidRDefault="00027401" w:rsidP="00027401">
      <w:pPr>
        <w:suppressAutoHyphens/>
        <w:spacing w:after="120" w:line="276" w:lineRule="auto"/>
        <w:ind w:left="360"/>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shd w:val="clear" w:color="auto" w:fill="FFFFFF"/>
        </w:rPr>
        <w:t xml:space="preserve">В началото на месец юли 2022, експерти на програмата представиха отворените покани за подаване на проектни предложения по Програма </w:t>
      </w:r>
      <w:r w:rsidRPr="00027401">
        <w:rPr>
          <w:rFonts w:ascii="Times New Roman" w:hAnsi="Times New Roman" w:cs="Times New Roman"/>
          <w:color w:val="5B9BD5" w:themeColor="accent1"/>
          <w:sz w:val="24"/>
          <w:szCs w:val="24"/>
          <w:lang w:val="en-GB"/>
        </w:rPr>
        <w:t>LIFE</w:t>
      </w:r>
      <w:r w:rsidRPr="00027401">
        <w:rPr>
          <w:rFonts w:ascii="Times New Roman" w:hAnsi="Times New Roman" w:cs="Times New Roman"/>
          <w:color w:val="5B9BD5" w:themeColor="accent1"/>
          <w:sz w:val="24"/>
          <w:szCs w:val="24"/>
        </w:rPr>
        <w:t>.</w:t>
      </w:r>
    </w:p>
    <w:p w:rsidR="00027401" w:rsidRPr="00027401" w:rsidRDefault="00027401" w:rsidP="00027401">
      <w:pPr>
        <w:suppressAutoHyphens/>
        <w:spacing w:after="120" w:line="276" w:lineRule="auto"/>
        <w:ind w:left="360"/>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 xml:space="preserve">Основните цели на програмата са: </w:t>
      </w:r>
    </w:p>
    <w:p w:rsidR="00027401" w:rsidRPr="00027401" w:rsidRDefault="00027401" w:rsidP="00027401">
      <w:pPr>
        <w:pStyle w:val="ListParagraph"/>
        <w:numPr>
          <w:ilvl w:val="0"/>
          <w:numId w:val="31"/>
        </w:numPr>
        <w:suppressAutoHyphens/>
        <w:spacing w:after="120"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Да допринесе за преминаване към икономика, която е устойчива, кръгова, енергийноефективна, основана на възобновяема енергия, неутрална и стабилна по отношение на изменението на климата;</w:t>
      </w:r>
    </w:p>
    <w:p w:rsidR="00027401" w:rsidRPr="00027401" w:rsidRDefault="00027401" w:rsidP="00027401">
      <w:pPr>
        <w:pStyle w:val="ListParagraph"/>
        <w:numPr>
          <w:ilvl w:val="0"/>
          <w:numId w:val="31"/>
        </w:numPr>
        <w:suppressAutoHyphens/>
        <w:spacing w:after="120"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lastRenderedPageBreak/>
        <w:t>Да допринесе за опазване и подобряване на качеството на околната среда;</w:t>
      </w:r>
    </w:p>
    <w:p w:rsidR="00027401" w:rsidRPr="00027401" w:rsidRDefault="00027401" w:rsidP="00027401">
      <w:pPr>
        <w:pStyle w:val="ListParagraph"/>
        <w:numPr>
          <w:ilvl w:val="0"/>
          <w:numId w:val="31"/>
        </w:numPr>
        <w:suppressAutoHyphens/>
        <w:spacing w:after="120"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Да допринесе за опазване на биоразнообразието и да спре процеса на неговата загуба;</w:t>
      </w:r>
    </w:p>
    <w:p w:rsidR="00027401" w:rsidRPr="00027401" w:rsidRDefault="00027401" w:rsidP="00027401">
      <w:pPr>
        <w:suppressAutoHyphens/>
        <w:spacing w:after="120"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Проектите следва да постигат следните цели:</w:t>
      </w:r>
    </w:p>
    <w:p w:rsidR="00027401" w:rsidRPr="00027401" w:rsidRDefault="00027401" w:rsidP="00027401">
      <w:pPr>
        <w:pStyle w:val="ListParagraph"/>
        <w:numPr>
          <w:ilvl w:val="0"/>
          <w:numId w:val="32"/>
        </w:numPr>
        <w:suppressAutoHyphens/>
        <w:spacing w:after="120"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Да разработват и демонстрират еко-иновативни техники, методи и подходи</w:t>
      </w:r>
    </w:p>
    <w:p w:rsidR="00027401" w:rsidRPr="00027401" w:rsidRDefault="00027401" w:rsidP="00027401">
      <w:pPr>
        <w:pStyle w:val="ListParagraph"/>
        <w:numPr>
          <w:ilvl w:val="0"/>
          <w:numId w:val="32"/>
        </w:numPr>
        <w:suppressAutoHyphens/>
        <w:spacing w:after="120"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 xml:space="preserve">Да подкрепят изпълнението на планове и стратегии в съответствие със законодателство на ЕС </w:t>
      </w:r>
    </w:p>
    <w:p w:rsidR="00027401" w:rsidRPr="00027401" w:rsidRDefault="00027401" w:rsidP="00027401">
      <w:pPr>
        <w:pStyle w:val="ListParagraph"/>
        <w:numPr>
          <w:ilvl w:val="0"/>
          <w:numId w:val="32"/>
        </w:numPr>
        <w:suppressAutoHyphens/>
        <w:spacing w:after="120"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Да представят най -добрите практики и промяната в поведението на обществото</w:t>
      </w:r>
    </w:p>
    <w:p w:rsidR="00027401" w:rsidRPr="00027401" w:rsidRDefault="00027401" w:rsidP="00027401">
      <w:pPr>
        <w:pStyle w:val="ListParagraph"/>
        <w:numPr>
          <w:ilvl w:val="0"/>
          <w:numId w:val="32"/>
        </w:numPr>
        <w:suppressAutoHyphens/>
        <w:spacing w:after="120"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Да действат като катализатор на широкомащабни успешни решения</w:t>
      </w:r>
    </w:p>
    <w:p w:rsidR="00027401" w:rsidRPr="00027401" w:rsidRDefault="00027401" w:rsidP="00027401">
      <w:pPr>
        <w:suppressAutoHyphens/>
        <w:spacing w:after="120"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Бенефициенти на програмата могат да бъдат:</w:t>
      </w:r>
    </w:p>
    <w:p w:rsidR="00027401" w:rsidRPr="00027401" w:rsidRDefault="00027401" w:rsidP="00027401">
      <w:pPr>
        <w:pStyle w:val="ListParagraph"/>
        <w:numPr>
          <w:ilvl w:val="0"/>
          <w:numId w:val="33"/>
        </w:numPr>
        <w:suppressAutoHyphens/>
        <w:spacing w:after="120"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 xml:space="preserve">Частни предприятия </w:t>
      </w:r>
    </w:p>
    <w:p w:rsidR="00027401" w:rsidRPr="00027401" w:rsidRDefault="00027401" w:rsidP="00027401">
      <w:pPr>
        <w:pStyle w:val="ListParagraph"/>
        <w:numPr>
          <w:ilvl w:val="0"/>
          <w:numId w:val="33"/>
        </w:numPr>
        <w:suppressAutoHyphens/>
        <w:spacing w:after="120"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 xml:space="preserve">Неправителствени и граждански организации </w:t>
      </w:r>
    </w:p>
    <w:p w:rsidR="00027401" w:rsidRPr="00027401" w:rsidRDefault="00027401" w:rsidP="00027401">
      <w:pPr>
        <w:pStyle w:val="ListParagraph"/>
        <w:numPr>
          <w:ilvl w:val="0"/>
          <w:numId w:val="33"/>
        </w:numPr>
        <w:suppressAutoHyphens/>
        <w:spacing w:after="120"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Публичния сектор</w:t>
      </w:r>
    </w:p>
    <w:p w:rsidR="00027401" w:rsidRPr="00027401" w:rsidRDefault="00027401" w:rsidP="00027401">
      <w:pPr>
        <w:suppressAutoHyphens/>
        <w:spacing w:after="120" w:line="276" w:lineRule="auto"/>
        <w:jc w:val="both"/>
        <w:rPr>
          <w:rFonts w:ascii="Times New Roman" w:hAnsi="Times New Roman" w:cs="Times New Roman"/>
          <w:b/>
          <w:color w:val="5B9BD5" w:themeColor="accent1"/>
          <w:sz w:val="24"/>
          <w:szCs w:val="24"/>
        </w:rPr>
      </w:pPr>
      <w:r w:rsidRPr="00027401">
        <w:rPr>
          <w:rFonts w:ascii="Times New Roman" w:hAnsi="Times New Roman" w:cs="Times New Roman"/>
          <w:b/>
          <w:color w:val="5B9BD5" w:themeColor="accent1"/>
          <w:sz w:val="24"/>
          <w:szCs w:val="24"/>
        </w:rPr>
        <w:t xml:space="preserve">Подпрограмите на Програма </w:t>
      </w:r>
      <w:r w:rsidRPr="00027401">
        <w:rPr>
          <w:rFonts w:ascii="Times New Roman" w:hAnsi="Times New Roman" w:cs="Times New Roman"/>
          <w:b/>
          <w:color w:val="5B9BD5" w:themeColor="accent1"/>
          <w:sz w:val="24"/>
          <w:szCs w:val="24"/>
          <w:lang w:val="en-GB"/>
        </w:rPr>
        <w:t>LIFE</w:t>
      </w:r>
      <w:r w:rsidRPr="00027401">
        <w:rPr>
          <w:rFonts w:ascii="Times New Roman" w:hAnsi="Times New Roman" w:cs="Times New Roman"/>
          <w:b/>
          <w:color w:val="5B9BD5" w:themeColor="accent1"/>
          <w:sz w:val="24"/>
          <w:szCs w:val="24"/>
        </w:rPr>
        <w:t xml:space="preserve"> 2022</w:t>
      </w:r>
      <w:r w:rsidRPr="00027401">
        <w:rPr>
          <w:rFonts w:ascii="Times New Roman" w:hAnsi="Times New Roman" w:cs="Times New Roman"/>
          <w:b/>
          <w:color w:val="5B9BD5" w:themeColor="accent1"/>
          <w:sz w:val="24"/>
          <w:szCs w:val="24"/>
          <w:lang w:val="en-GB"/>
        </w:rPr>
        <w:t xml:space="preserve"> </w:t>
      </w:r>
      <w:r w:rsidRPr="00027401">
        <w:rPr>
          <w:rFonts w:ascii="Times New Roman" w:hAnsi="Times New Roman" w:cs="Times New Roman"/>
          <w:b/>
          <w:color w:val="5B9BD5" w:themeColor="accent1"/>
          <w:sz w:val="24"/>
          <w:szCs w:val="24"/>
        </w:rPr>
        <w:t>са:</w:t>
      </w:r>
    </w:p>
    <w:p w:rsidR="00027401" w:rsidRPr="00027401" w:rsidRDefault="00027401" w:rsidP="00027401">
      <w:pPr>
        <w:pStyle w:val="ListParagraph"/>
        <w:numPr>
          <w:ilvl w:val="0"/>
          <w:numId w:val="34"/>
        </w:numPr>
        <w:suppressAutoHyphens/>
        <w:spacing w:after="120"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Подпрограма „Опазване на природата и биологичното разнообразие“ – обхваща проекти в сферата на „Натура 2000“, биоразнообразие, борба с инвазивни чужди видове, намаляване загубата на биологично разнообразие, възстановяване на екосистеми, интегрирано прилагане на НПРД и Стратегията на ЕС за биоразнообразие и др.</w:t>
      </w:r>
    </w:p>
    <w:p w:rsidR="00027401" w:rsidRPr="00027401" w:rsidRDefault="00027401" w:rsidP="00027401">
      <w:pPr>
        <w:pStyle w:val="ListParagraph"/>
        <w:numPr>
          <w:ilvl w:val="0"/>
          <w:numId w:val="34"/>
        </w:numPr>
        <w:suppressAutoHyphens/>
        <w:spacing w:after="120"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Подпрограма „Смекчаване на последиците от изменението на климата и приспособяване към това изменение“ – обхваща проекти насочени към мерки за адаптация към климатичните промени, за смекчаване изменението на климата и подпомагане управлението и осигуряване на информация;</w:t>
      </w:r>
    </w:p>
    <w:p w:rsidR="00027401" w:rsidRPr="00027401" w:rsidRDefault="00027401" w:rsidP="00027401">
      <w:pPr>
        <w:pStyle w:val="ListParagraph"/>
        <w:numPr>
          <w:ilvl w:val="0"/>
          <w:numId w:val="34"/>
        </w:numPr>
        <w:suppressAutoHyphens/>
        <w:spacing w:after="120"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Подпрограма „Кръгова икономика и качество на живот“ - обхваща проекти в областта на кръговата икономика, отпадъците, шум, опазване чистотата на въздуха, води, почви, химикали и др. Подпомага прилагането на законодателството на ЕС в сферата (иновативни решения, най-добри практики);</w:t>
      </w:r>
    </w:p>
    <w:p w:rsidR="00027401" w:rsidRPr="00027401" w:rsidRDefault="00027401" w:rsidP="00027401">
      <w:pPr>
        <w:pStyle w:val="ListParagraph"/>
        <w:numPr>
          <w:ilvl w:val="0"/>
          <w:numId w:val="34"/>
        </w:numPr>
        <w:suppressAutoHyphens/>
        <w:spacing w:after="120"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Подпрограма „Преход към чиста енергия“ – изцяло нова подпрограма, която обхваща проекти насочени към разпространението на най-добри практики, мобилизирането на инвестиции, подобряване на професионалните умения, повишаване на осведомеността и др.</w:t>
      </w:r>
    </w:p>
    <w:p w:rsidR="00027401" w:rsidRPr="00027401" w:rsidRDefault="00027401" w:rsidP="00027401">
      <w:pPr>
        <w:suppressAutoHyphens/>
        <w:spacing w:after="120" w:line="276" w:lineRule="auto"/>
        <w:jc w:val="both"/>
        <w:rPr>
          <w:rFonts w:ascii="Times New Roman" w:hAnsi="Times New Roman" w:cs="Times New Roman"/>
          <w:b/>
          <w:color w:val="5B9BD5" w:themeColor="accent1"/>
          <w:sz w:val="24"/>
          <w:szCs w:val="24"/>
        </w:rPr>
      </w:pPr>
      <w:r w:rsidRPr="00027401">
        <w:rPr>
          <w:rFonts w:ascii="Times New Roman" w:hAnsi="Times New Roman" w:cs="Times New Roman"/>
          <w:b/>
          <w:color w:val="5B9BD5" w:themeColor="accent1"/>
          <w:sz w:val="24"/>
          <w:szCs w:val="24"/>
        </w:rPr>
        <w:t>Срокове за кандидатстване по отворените програми</w:t>
      </w:r>
      <w:r w:rsidRPr="00027401">
        <w:rPr>
          <w:rFonts w:ascii="Times New Roman" w:hAnsi="Times New Roman" w:cs="Times New Roman"/>
          <w:b/>
          <w:color w:val="5B9BD5" w:themeColor="accent1"/>
          <w:sz w:val="24"/>
          <w:szCs w:val="24"/>
          <w:lang w:val="en-GB"/>
        </w:rPr>
        <w:t xml:space="preserve"> LIFE 2022</w:t>
      </w:r>
      <w:r w:rsidRPr="00027401">
        <w:rPr>
          <w:rFonts w:ascii="Times New Roman" w:hAnsi="Times New Roman" w:cs="Times New Roman"/>
          <w:b/>
          <w:color w:val="5B9BD5" w:themeColor="accent1"/>
          <w:sz w:val="24"/>
          <w:szCs w:val="24"/>
        </w:rPr>
        <w:t>:</w:t>
      </w:r>
    </w:p>
    <w:p w:rsidR="00027401" w:rsidRPr="00027401" w:rsidRDefault="00027401" w:rsidP="00027401">
      <w:pPr>
        <w:pStyle w:val="ListParagraph"/>
        <w:numPr>
          <w:ilvl w:val="0"/>
          <w:numId w:val="36"/>
        </w:numPr>
        <w:suppressAutoHyphens/>
        <w:spacing w:after="120"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 xml:space="preserve">Подаване на проекти: </w:t>
      </w:r>
      <w:r w:rsidRPr="00027401">
        <w:rPr>
          <w:rFonts w:ascii="Times New Roman" w:hAnsi="Times New Roman" w:cs="Times New Roman"/>
          <w:b/>
          <w:color w:val="5B9BD5" w:themeColor="accent1"/>
          <w:sz w:val="24"/>
          <w:szCs w:val="24"/>
        </w:rPr>
        <w:t>04.10.2022г., до 17.00 часа</w:t>
      </w:r>
    </w:p>
    <w:p w:rsidR="00027401" w:rsidRPr="00027401" w:rsidRDefault="00027401" w:rsidP="00027401">
      <w:pPr>
        <w:pStyle w:val="ListParagraph"/>
        <w:numPr>
          <w:ilvl w:val="0"/>
          <w:numId w:val="36"/>
        </w:numPr>
        <w:suppressAutoHyphens/>
        <w:spacing w:after="120"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 xml:space="preserve">Информация за оценка на проектите: </w:t>
      </w:r>
      <w:r w:rsidRPr="00027401">
        <w:rPr>
          <w:rFonts w:ascii="Times New Roman" w:hAnsi="Times New Roman" w:cs="Times New Roman"/>
          <w:b/>
          <w:color w:val="5B9BD5" w:themeColor="accent1"/>
          <w:sz w:val="24"/>
          <w:szCs w:val="24"/>
        </w:rPr>
        <w:t>Март 2023 г.</w:t>
      </w:r>
    </w:p>
    <w:p w:rsidR="00027401" w:rsidRPr="00027401" w:rsidRDefault="00027401" w:rsidP="00027401">
      <w:pPr>
        <w:pStyle w:val="ListParagraph"/>
        <w:numPr>
          <w:ilvl w:val="0"/>
          <w:numId w:val="36"/>
        </w:numPr>
        <w:suppressAutoHyphens/>
        <w:spacing w:after="120" w:line="276" w:lineRule="auto"/>
        <w:jc w:val="both"/>
        <w:rPr>
          <w:rFonts w:ascii="Times New Roman" w:hAnsi="Times New Roman" w:cs="Times New Roman"/>
          <w:b/>
          <w:color w:val="5B9BD5" w:themeColor="accent1"/>
          <w:sz w:val="24"/>
          <w:szCs w:val="24"/>
        </w:rPr>
      </w:pPr>
      <w:r w:rsidRPr="00027401">
        <w:rPr>
          <w:rFonts w:ascii="Times New Roman" w:hAnsi="Times New Roman" w:cs="Times New Roman"/>
          <w:color w:val="5B9BD5" w:themeColor="accent1"/>
          <w:sz w:val="24"/>
          <w:szCs w:val="24"/>
        </w:rPr>
        <w:t xml:space="preserve">Подписване на договор: </w:t>
      </w:r>
      <w:r w:rsidRPr="00027401">
        <w:rPr>
          <w:rFonts w:ascii="Times New Roman" w:hAnsi="Times New Roman" w:cs="Times New Roman"/>
          <w:b/>
          <w:color w:val="5B9BD5" w:themeColor="accent1"/>
          <w:sz w:val="24"/>
          <w:szCs w:val="24"/>
        </w:rPr>
        <w:t>Юни/юли 2023 г.</w:t>
      </w:r>
    </w:p>
    <w:p w:rsidR="00027401" w:rsidRPr="00027401" w:rsidRDefault="00027401" w:rsidP="00027401">
      <w:pPr>
        <w:suppressAutoHyphens/>
        <w:spacing w:after="120" w:line="276" w:lineRule="auto"/>
        <w:jc w:val="both"/>
        <w:rPr>
          <w:rFonts w:ascii="Times New Roman" w:hAnsi="Times New Roman" w:cs="Times New Roman"/>
          <w:b/>
          <w:color w:val="5B9BD5" w:themeColor="accent1"/>
          <w:sz w:val="24"/>
          <w:szCs w:val="24"/>
        </w:rPr>
      </w:pPr>
    </w:p>
    <w:p w:rsidR="00027401" w:rsidRPr="00027401" w:rsidRDefault="00027401" w:rsidP="00027401">
      <w:pPr>
        <w:suppressAutoHyphens/>
        <w:spacing w:after="120"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 xml:space="preserve">Поканите за кандидатстване могат да бъдат намерени на следния линк: Funding and Tenders Portal - </w:t>
      </w:r>
      <w:hyperlink r:id="rId8" w:history="1">
        <w:r w:rsidRPr="00027401">
          <w:rPr>
            <w:rStyle w:val="Hyperlink"/>
            <w:rFonts w:ascii="Times New Roman" w:hAnsi="Times New Roman" w:cs="Times New Roman"/>
            <w:color w:val="5B9BD5" w:themeColor="accent1"/>
            <w:sz w:val="24"/>
            <w:szCs w:val="24"/>
          </w:rPr>
          <w:t>https://ec.europa.eu/info/fundingtenders/opportunities/portal/screen/home</w:t>
        </w:r>
      </w:hyperlink>
      <w:r w:rsidRPr="00027401">
        <w:rPr>
          <w:rFonts w:ascii="Times New Roman" w:hAnsi="Times New Roman" w:cs="Times New Roman"/>
          <w:color w:val="5B9BD5" w:themeColor="accent1"/>
          <w:sz w:val="24"/>
          <w:szCs w:val="24"/>
        </w:rPr>
        <w:t>;</w:t>
      </w:r>
    </w:p>
    <w:p w:rsidR="00027401" w:rsidRPr="00027401" w:rsidRDefault="00027401" w:rsidP="00027401">
      <w:pPr>
        <w:suppressAutoHyphens/>
        <w:spacing w:after="120"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lastRenderedPageBreak/>
        <w:t>По отношение на темите в Подпрограма „Кръгова икономика и качество на живот“, по конкретно оползотворяване на ресурси от отпадъци, се насърчават проектни решения, които са иновативни и осигуряват висококачествени рециклирани материали. Подкрепят  се проекти в посока разделно събиране и рециклиране на електрическо и електронно оборудване, батерии и акумулатори, биоотпадъци, текстил, селективно отделяне и рециклиране на строителни работи или сгради, възстановяване на суровини от критично значение и др. Стимулира се внедряване на бизнес и потребителски модели или решения в подкрепа на вериги за създаване на стойност, създаване на решения за околната среда – с цел повторно използване, увеличаване на дълготрайността, поправката, повторната употреба, надграждане, рециклиране и използване на рециклирани материали в нови продукти, също така внедряване на решения „продукти като услуга“ и др.</w:t>
      </w:r>
    </w:p>
    <w:p w:rsidR="00027401" w:rsidRPr="00027401" w:rsidRDefault="00027401" w:rsidP="00027401">
      <w:pPr>
        <w:suppressAutoHyphens/>
        <w:spacing w:after="120"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 xml:space="preserve">Във връзка с всяка покана се публикуват специално разработени наръчници за кандидатстване, които напътстват кандидатите в процеса на подготовка и подаване на проектните им предложения. На сайта на програмата са качени ръководства за кандидатстване по покана </w:t>
      </w:r>
      <w:r w:rsidRPr="00027401">
        <w:rPr>
          <w:rFonts w:ascii="Times New Roman" w:hAnsi="Times New Roman" w:cs="Times New Roman"/>
          <w:color w:val="5B9BD5" w:themeColor="accent1"/>
          <w:sz w:val="24"/>
          <w:szCs w:val="24"/>
          <w:lang w:val="en-GB"/>
        </w:rPr>
        <w:t>LIFE</w:t>
      </w:r>
      <w:r w:rsidRPr="00027401">
        <w:rPr>
          <w:rFonts w:ascii="Times New Roman" w:hAnsi="Times New Roman" w:cs="Times New Roman"/>
          <w:color w:val="5B9BD5" w:themeColor="accent1"/>
          <w:sz w:val="24"/>
          <w:szCs w:val="24"/>
          <w:lang w:val="en-US"/>
        </w:rPr>
        <w:t xml:space="preserve"> 2020 </w:t>
      </w:r>
      <w:r w:rsidRPr="00027401">
        <w:rPr>
          <w:rFonts w:ascii="Times New Roman" w:hAnsi="Times New Roman" w:cs="Times New Roman"/>
          <w:color w:val="5B9BD5" w:themeColor="accent1"/>
          <w:sz w:val="24"/>
          <w:szCs w:val="24"/>
        </w:rPr>
        <w:t xml:space="preserve"> преведени на български. На този етап това са последните актуални указания, качени от програмата. При изготвяне на предложението кандидатите могат също така да се консултират със съответните звена за контакт по програма LIFE на национално и на регионално ниво. Кандидатите за финансиране по програмата следва да представят проектните си предложения чрез “eProposal” уеб базиран инструмент, съдържащ всички необходими административни, технически и финансови форми, и разполага с функционални възможности за прикачване/изпращане на съответните документи. </w:t>
      </w:r>
    </w:p>
    <w:p w:rsidR="00027401" w:rsidRPr="00027401" w:rsidRDefault="00027401" w:rsidP="00027401">
      <w:pPr>
        <w:suppressAutoHyphens/>
        <w:spacing w:after="120"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Програмата прилага различни механизми за финансиране:</w:t>
      </w:r>
    </w:p>
    <w:p w:rsidR="00027401" w:rsidRPr="00027401" w:rsidRDefault="00027401" w:rsidP="00027401">
      <w:pPr>
        <w:pStyle w:val="ListParagraph"/>
        <w:numPr>
          <w:ilvl w:val="0"/>
          <w:numId w:val="41"/>
        </w:numPr>
        <w:suppressAutoHyphens/>
        <w:spacing w:after="120" w:line="276" w:lineRule="auto"/>
        <w:jc w:val="both"/>
        <w:rPr>
          <w:rFonts w:ascii="Times New Roman" w:eastAsia="Times New Roman" w:hAnsi="Times New Roman" w:cs="Times New Roman"/>
          <w:color w:val="5B9BD5" w:themeColor="accent1"/>
          <w:sz w:val="24"/>
          <w:szCs w:val="24"/>
          <w:lang w:eastAsia="bg-BG"/>
        </w:rPr>
      </w:pPr>
      <w:r w:rsidRPr="00027401">
        <w:rPr>
          <w:rFonts w:ascii="Times New Roman" w:eastAsia="Times New Roman" w:hAnsi="Times New Roman" w:cs="Times New Roman"/>
          <w:b/>
          <w:bCs/>
          <w:iCs/>
          <w:color w:val="5B9BD5" w:themeColor="accent1"/>
          <w:sz w:val="24"/>
          <w:szCs w:val="24"/>
          <w:lang w:eastAsia="bg-BG"/>
        </w:rPr>
        <w:t>Безвъзмездно съ-финансиране на проекти (action grants)</w:t>
      </w:r>
      <w:r w:rsidRPr="00027401">
        <w:rPr>
          <w:rFonts w:ascii="Times New Roman" w:eastAsia="Times New Roman" w:hAnsi="Times New Roman" w:cs="Times New Roman"/>
          <w:iCs/>
          <w:color w:val="5B9BD5" w:themeColor="accent1"/>
          <w:sz w:val="24"/>
          <w:szCs w:val="24"/>
          <w:lang w:eastAsia="bg-BG"/>
        </w:rPr>
        <w:t> – </w:t>
      </w:r>
      <w:r w:rsidRPr="00027401">
        <w:rPr>
          <w:rFonts w:ascii="Times New Roman" w:eastAsia="Times New Roman" w:hAnsi="Times New Roman" w:cs="Times New Roman"/>
          <w:color w:val="5B9BD5" w:themeColor="accent1"/>
          <w:sz w:val="24"/>
          <w:szCs w:val="24"/>
          <w:lang w:eastAsia="bg-BG"/>
        </w:rPr>
        <w:t xml:space="preserve">предназначено за следните категории проекти: </w:t>
      </w:r>
    </w:p>
    <w:p w:rsidR="00027401" w:rsidRPr="00027401" w:rsidRDefault="00027401" w:rsidP="00027401">
      <w:pPr>
        <w:pStyle w:val="ListParagraph"/>
        <w:numPr>
          <w:ilvl w:val="0"/>
          <w:numId w:val="25"/>
        </w:numPr>
        <w:shd w:val="clear" w:color="auto" w:fill="FFFFFF"/>
        <w:spacing w:before="100" w:beforeAutospacing="1" w:after="100" w:afterAutospacing="1" w:line="276" w:lineRule="auto"/>
        <w:rPr>
          <w:rFonts w:ascii="Times New Roman" w:eastAsia="Times New Roman" w:hAnsi="Times New Roman" w:cs="Times New Roman"/>
          <w:color w:val="5B9BD5" w:themeColor="accent1"/>
          <w:sz w:val="24"/>
          <w:szCs w:val="24"/>
          <w:lang w:eastAsia="bg-BG"/>
        </w:rPr>
      </w:pPr>
      <w:r w:rsidRPr="00027401">
        <w:rPr>
          <w:rFonts w:ascii="Times New Roman" w:eastAsia="Times New Roman" w:hAnsi="Times New Roman" w:cs="Times New Roman"/>
          <w:color w:val="5B9BD5" w:themeColor="accent1"/>
          <w:sz w:val="24"/>
          <w:szCs w:val="24"/>
          <w:lang w:eastAsia="bg-BG"/>
        </w:rPr>
        <w:t>Традиционни проекти – които включват „пилотни проекти“, „демонстрационни проекти“, „проекти с най-добра практика“, „проекти за информация, осведоменост и разпространяване“;</w:t>
      </w:r>
    </w:p>
    <w:p w:rsidR="00027401" w:rsidRPr="00027401" w:rsidRDefault="00027401" w:rsidP="00027401">
      <w:pPr>
        <w:pStyle w:val="ListParagraph"/>
        <w:numPr>
          <w:ilvl w:val="0"/>
          <w:numId w:val="25"/>
        </w:numPr>
        <w:shd w:val="clear" w:color="auto" w:fill="FFFFFF"/>
        <w:spacing w:before="100" w:beforeAutospacing="1" w:after="100" w:afterAutospacing="1" w:line="276" w:lineRule="auto"/>
        <w:rPr>
          <w:rFonts w:ascii="Times New Roman" w:eastAsia="Times New Roman" w:hAnsi="Times New Roman" w:cs="Times New Roman"/>
          <w:color w:val="5B9BD5" w:themeColor="accent1"/>
          <w:sz w:val="24"/>
          <w:szCs w:val="24"/>
          <w:lang w:eastAsia="bg-BG"/>
        </w:rPr>
      </w:pPr>
      <w:r w:rsidRPr="00027401">
        <w:rPr>
          <w:rFonts w:ascii="Times New Roman" w:eastAsia="Times New Roman" w:hAnsi="Times New Roman" w:cs="Times New Roman"/>
          <w:color w:val="5B9BD5" w:themeColor="accent1"/>
          <w:sz w:val="24"/>
          <w:szCs w:val="24"/>
          <w:lang w:eastAsia="bg-BG"/>
        </w:rPr>
        <w:t>Интегрирани проекти</w:t>
      </w:r>
    </w:p>
    <w:p w:rsidR="00027401" w:rsidRPr="00027401" w:rsidRDefault="00027401" w:rsidP="00027401">
      <w:pPr>
        <w:pStyle w:val="ListParagraph"/>
        <w:numPr>
          <w:ilvl w:val="0"/>
          <w:numId w:val="25"/>
        </w:numPr>
        <w:shd w:val="clear" w:color="auto" w:fill="FFFFFF"/>
        <w:spacing w:before="100" w:beforeAutospacing="1" w:after="100" w:afterAutospacing="1" w:line="276" w:lineRule="auto"/>
        <w:rPr>
          <w:rFonts w:ascii="Times New Roman" w:eastAsia="Times New Roman" w:hAnsi="Times New Roman" w:cs="Times New Roman"/>
          <w:color w:val="5B9BD5" w:themeColor="accent1"/>
          <w:sz w:val="24"/>
          <w:szCs w:val="24"/>
          <w:lang w:eastAsia="bg-BG"/>
        </w:rPr>
      </w:pPr>
      <w:r w:rsidRPr="00027401">
        <w:rPr>
          <w:rFonts w:ascii="Times New Roman" w:eastAsia="Times New Roman" w:hAnsi="Times New Roman" w:cs="Times New Roman"/>
          <w:color w:val="5B9BD5" w:themeColor="accent1"/>
          <w:sz w:val="24"/>
          <w:szCs w:val="24"/>
          <w:lang w:eastAsia="bg-BG"/>
        </w:rPr>
        <w:t>Проекти за техническа помощ</w:t>
      </w:r>
    </w:p>
    <w:p w:rsidR="00027401" w:rsidRPr="00027401" w:rsidRDefault="00027401" w:rsidP="00027401">
      <w:pPr>
        <w:pStyle w:val="ListParagraph"/>
        <w:numPr>
          <w:ilvl w:val="0"/>
          <w:numId w:val="25"/>
        </w:numPr>
        <w:shd w:val="clear" w:color="auto" w:fill="FFFFFF"/>
        <w:spacing w:before="100" w:beforeAutospacing="1" w:after="100" w:afterAutospacing="1" w:line="276" w:lineRule="auto"/>
        <w:rPr>
          <w:rFonts w:ascii="Times New Roman" w:eastAsia="Times New Roman" w:hAnsi="Times New Roman" w:cs="Times New Roman"/>
          <w:color w:val="5B9BD5" w:themeColor="accent1"/>
          <w:sz w:val="24"/>
          <w:szCs w:val="24"/>
          <w:lang w:eastAsia="bg-BG"/>
        </w:rPr>
      </w:pPr>
      <w:r w:rsidRPr="00027401">
        <w:rPr>
          <w:rFonts w:ascii="Times New Roman" w:eastAsia="Times New Roman" w:hAnsi="Times New Roman" w:cs="Times New Roman"/>
          <w:color w:val="5B9BD5" w:themeColor="accent1"/>
          <w:sz w:val="24"/>
          <w:szCs w:val="24"/>
          <w:lang w:eastAsia="bg-BG"/>
        </w:rPr>
        <w:t>Проекти за изграждане на капацитет</w:t>
      </w:r>
    </w:p>
    <w:p w:rsidR="00027401" w:rsidRPr="00027401" w:rsidRDefault="00027401" w:rsidP="00027401">
      <w:pPr>
        <w:pStyle w:val="ListParagraph"/>
        <w:numPr>
          <w:ilvl w:val="0"/>
          <w:numId w:val="25"/>
        </w:numPr>
        <w:shd w:val="clear" w:color="auto" w:fill="FFFFFF"/>
        <w:spacing w:before="100" w:beforeAutospacing="1" w:after="100" w:afterAutospacing="1" w:line="276" w:lineRule="auto"/>
        <w:rPr>
          <w:rFonts w:ascii="Times New Roman" w:eastAsia="Times New Roman" w:hAnsi="Times New Roman" w:cs="Times New Roman"/>
          <w:color w:val="5B9BD5" w:themeColor="accent1"/>
          <w:sz w:val="24"/>
          <w:szCs w:val="24"/>
          <w:lang w:eastAsia="bg-BG"/>
        </w:rPr>
      </w:pPr>
      <w:r w:rsidRPr="00027401">
        <w:rPr>
          <w:rFonts w:ascii="Times New Roman" w:eastAsia="Times New Roman" w:hAnsi="Times New Roman" w:cs="Times New Roman"/>
          <w:color w:val="5B9BD5" w:themeColor="accent1"/>
          <w:sz w:val="24"/>
          <w:szCs w:val="24"/>
          <w:lang w:eastAsia="bg-BG"/>
        </w:rPr>
        <w:t>Подготвителни проекти</w:t>
      </w:r>
    </w:p>
    <w:p w:rsidR="00027401" w:rsidRPr="00027401" w:rsidRDefault="00027401" w:rsidP="00027401">
      <w:pPr>
        <w:pStyle w:val="ListParagraph"/>
        <w:numPr>
          <w:ilvl w:val="0"/>
          <w:numId w:val="37"/>
        </w:numPr>
        <w:shd w:val="clear" w:color="auto" w:fill="FFFFFF"/>
        <w:spacing w:before="100" w:beforeAutospacing="1" w:after="100" w:afterAutospacing="1" w:line="276" w:lineRule="auto"/>
        <w:rPr>
          <w:rFonts w:ascii="Times New Roman" w:eastAsia="Times New Roman" w:hAnsi="Times New Roman" w:cs="Times New Roman"/>
          <w:color w:val="5B9BD5" w:themeColor="accent1"/>
          <w:sz w:val="24"/>
          <w:szCs w:val="24"/>
          <w:lang w:eastAsia="bg-BG"/>
        </w:rPr>
      </w:pPr>
      <w:r w:rsidRPr="00027401">
        <w:rPr>
          <w:rFonts w:ascii="Times New Roman" w:eastAsia="Times New Roman" w:hAnsi="Times New Roman" w:cs="Times New Roman"/>
          <w:b/>
          <w:bCs/>
          <w:iCs/>
          <w:color w:val="5B9BD5" w:themeColor="accent1"/>
          <w:sz w:val="24"/>
          <w:szCs w:val="24"/>
          <w:lang w:eastAsia="bg-BG"/>
        </w:rPr>
        <w:t>Грантове за оперативни и административни разходи на НПО:</w:t>
      </w:r>
    </w:p>
    <w:p w:rsidR="00027401" w:rsidRPr="00027401" w:rsidRDefault="00027401" w:rsidP="00027401">
      <w:pPr>
        <w:numPr>
          <w:ilvl w:val="0"/>
          <w:numId w:val="37"/>
        </w:numPr>
        <w:shd w:val="clear" w:color="auto" w:fill="FFFFFF"/>
        <w:spacing w:before="100" w:beforeAutospacing="1" w:after="100" w:afterAutospacing="1" w:line="276" w:lineRule="auto"/>
        <w:rPr>
          <w:rFonts w:ascii="Times New Roman" w:eastAsia="Times New Roman" w:hAnsi="Times New Roman" w:cs="Times New Roman"/>
          <w:color w:val="5B9BD5" w:themeColor="accent1"/>
          <w:sz w:val="24"/>
          <w:szCs w:val="24"/>
          <w:lang w:eastAsia="bg-BG"/>
        </w:rPr>
      </w:pPr>
      <w:r w:rsidRPr="00027401">
        <w:rPr>
          <w:rFonts w:ascii="Times New Roman" w:eastAsia="Times New Roman" w:hAnsi="Times New Roman" w:cs="Times New Roman"/>
          <w:b/>
          <w:bCs/>
          <w:color w:val="5B9BD5" w:themeColor="accent1"/>
          <w:sz w:val="24"/>
          <w:szCs w:val="24"/>
          <w:lang w:eastAsia="bg-BG"/>
        </w:rPr>
        <w:t>Механизъм за финансиране на природен капитал (NCFF) – възмездно финансиране</w:t>
      </w:r>
    </w:p>
    <w:p w:rsidR="00027401" w:rsidRPr="00027401" w:rsidRDefault="00027401" w:rsidP="00027401">
      <w:pPr>
        <w:pStyle w:val="ListParagraph"/>
        <w:numPr>
          <w:ilvl w:val="0"/>
          <w:numId w:val="37"/>
        </w:numPr>
        <w:shd w:val="clear" w:color="auto" w:fill="FFFFFF"/>
        <w:spacing w:before="100" w:beforeAutospacing="1" w:after="100" w:afterAutospacing="1" w:line="276" w:lineRule="auto"/>
        <w:rPr>
          <w:rStyle w:val="Strong"/>
          <w:rFonts w:ascii="Times New Roman" w:eastAsia="Times New Roman" w:hAnsi="Times New Roman" w:cs="Times New Roman"/>
          <w:b w:val="0"/>
          <w:bCs w:val="0"/>
          <w:color w:val="5B9BD5" w:themeColor="accent1"/>
          <w:sz w:val="24"/>
          <w:szCs w:val="24"/>
          <w:lang w:eastAsia="bg-BG"/>
        </w:rPr>
      </w:pPr>
      <w:r w:rsidRPr="00027401">
        <w:rPr>
          <w:rStyle w:val="Strong"/>
          <w:rFonts w:ascii="Times New Roman" w:hAnsi="Times New Roman" w:cs="Times New Roman"/>
          <w:color w:val="5B9BD5" w:themeColor="accent1"/>
          <w:sz w:val="24"/>
          <w:szCs w:val="24"/>
          <w:shd w:val="clear" w:color="auto" w:fill="FFFFFF"/>
        </w:rPr>
        <w:t>Инструмент за частно финансиране на енергийна ефективност (PF4EE) – възмездно финансиране;</w:t>
      </w:r>
    </w:p>
    <w:p w:rsidR="00027401" w:rsidRPr="00027401" w:rsidRDefault="00027401" w:rsidP="00027401">
      <w:pPr>
        <w:shd w:val="clear" w:color="auto" w:fill="FFFFFF"/>
        <w:spacing w:before="100" w:beforeAutospacing="1" w:after="100" w:afterAutospacing="1" w:line="276" w:lineRule="auto"/>
        <w:rPr>
          <w:rFonts w:ascii="Times New Roman" w:eastAsia="Times New Roman" w:hAnsi="Times New Roman" w:cs="Times New Roman"/>
          <w:color w:val="5B9BD5" w:themeColor="accent1"/>
          <w:sz w:val="24"/>
          <w:szCs w:val="24"/>
          <w:lang w:eastAsia="bg-BG"/>
        </w:rPr>
      </w:pPr>
      <w:r w:rsidRPr="00027401">
        <w:rPr>
          <w:rFonts w:ascii="Times New Roman" w:eastAsia="Times New Roman" w:hAnsi="Times New Roman" w:cs="Times New Roman"/>
          <w:color w:val="5B9BD5" w:themeColor="accent1"/>
          <w:sz w:val="24"/>
          <w:szCs w:val="24"/>
          <w:lang w:eastAsia="bg-BG"/>
        </w:rPr>
        <w:t>Ключов момент от политиката на финансиране на програмата е подсигуряването на съ-финансиране. Процента на съ-финансиране за различните програмни периоди и проекти е различен, като варира между 60 % и 55%.</w:t>
      </w:r>
    </w:p>
    <w:p w:rsidR="00F31DB1" w:rsidRDefault="00027401" w:rsidP="00F31DB1">
      <w:pPr>
        <w:pStyle w:val="ListParagraph"/>
        <w:numPr>
          <w:ilvl w:val="1"/>
          <w:numId w:val="9"/>
        </w:numPr>
        <w:shd w:val="clear" w:color="auto" w:fill="FFFFFF"/>
        <w:spacing w:before="100" w:beforeAutospacing="1" w:after="100" w:afterAutospacing="1" w:line="276" w:lineRule="auto"/>
        <w:rPr>
          <w:rFonts w:ascii="Times New Roman" w:eastAsia="Times New Roman" w:hAnsi="Times New Roman" w:cs="Times New Roman"/>
          <w:color w:val="5B9BD5" w:themeColor="accent1"/>
          <w:sz w:val="24"/>
          <w:szCs w:val="24"/>
          <w:lang w:eastAsia="bg-BG"/>
        </w:rPr>
      </w:pPr>
      <w:r w:rsidRPr="00F31DB1">
        <w:rPr>
          <w:rFonts w:ascii="Times New Roman" w:eastAsia="Times New Roman" w:hAnsi="Times New Roman" w:cs="Times New Roman"/>
          <w:color w:val="5B9BD5" w:themeColor="accent1"/>
          <w:sz w:val="24"/>
          <w:szCs w:val="24"/>
          <w:lang w:eastAsia="bg-BG"/>
        </w:rPr>
        <w:t>Норвежка програма за сътрудничество</w:t>
      </w:r>
    </w:p>
    <w:p w:rsidR="00027401" w:rsidRPr="00F31DB1" w:rsidRDefault="00027401" w:rsidP="00F31DB1">
      <w:pPr>
        <w:shd w:val="clear" w:color="auto" w:fill="FFFFFF"/>
        <w:spacing w:before="100" w:beforeAutospacing="1" w:after="100" w:afterAutospacing="1" w:line="276" w:lineRule="auto"/>
        <w:jc w:val="both"/>
        <w:rPr>
          <w:rFonts w:ascii="Times New Roman" w:eastAsia="Times New Roman" w:hAnsi="Times New Roman" w:cs="Times New Roman"/>
          <w:color w:val="5B9BD5" w:themeColor="accent1"/>
          <w:sz w:val="24"/>
          <w:szCs w:val="24"/>
          <w:lang w:eastAsia="bg-BG"/>
        </w:rPr>
      </w:pPr>
      <w:r w:rsidRPr="00F31DB1">
        <w:rPr>
          <w:rFonts w:ascii="Times New Roman" w:hAnsi="Times New Roman" w:cs="Times New Roman"/>
          <w:color w:val="5B9BD5" w:themeColor="accent1"/>
          <w:sz w:val="24"/>
          <w:szCs w:val="24"/>
        </w:rPr>
        <w:lastRenderedPageBreak/>
        <w:t>Финансовия механизъм на Европейското икономическо пространство (ЕИП) и Финансовия механизъм на Норвегия си поставят две основни цели - намаляване на икономическото и социалното неравенство в Европа и укрепване на двустранните отношения между Исландия, Лихтенщайн и Норвегия (държавите д</w:t>
      </w:r>
      <w:r w:rsidR="001D2671" w:rsidRPr="00F31DB1">
        <w:rPr>
          <w:rFonts w:ascii="Times New Roman" w:hAnsi="Times New Roman" w:cs="Times New Roman"/>
          <w:color w:val="5B9BD5" w:themeColor="accent1"/>
          <w:sz w:val="24"/>
          <w:szCs w:val="24"/>
        </w:rPr>
        <w:t xml:space="preserve">онори) и всяка от 15-те държави </w:t>
      </w:r>
      <w:r w:rsidRPr="00F31DB1">
        <w:rPr>
          <w:rFonts w:ascii="Times New Roman" w:hAnsi="Times New Roman" w:cs="Times New Roman"/>
          <w:color w:val="5B9BD5" w:themeColor="accent1"/>
          <w:sz w:val="24"/>
          <w:szCs w:val="24"/>
        </w:rPr>
        <w:t>бенефициери, посредством предоставянето на финансова помощ по приоритетни сектори. С</w:t>
      </w:r>
      <w:r w:rsidRPr="00F31DB1">
        <w:rPr>
          <w:rFonts w:ascii="Times New Roman" w:hAnsi="Times New Roman" w:cs="Times New Roman"/>
          <w:color w:val="5B9BD5" w:themeColor="accent1"/>
          <w:sz w:val="24"/>
          <w:szCs w:val="24"/>
          <w:shd w:val="clear" w:color="auto" w:fill="FFFFFF"/>
        </w:rPr>
        <w:t>ъщо както и Структурните фондове на ЕС, този фонд предоставя подпомагане на държавите-членки, чийто брутен национален продукт на глава от населението е под 90% от средния за ЕС.</w:t>
      </w:r>
      <w:r w:rsidRPr="00F31DB1">
        <w:rPr>
          <w:color w:val="5B9BD5" w:themeColor="accent1"/>
        </w:rPr>
        <w:t xml:space="preserve"> </w:t>
      </w:r>
      <w:r w:rsidRPr="00F31DB1">
        <w:rPr>
          <w:rFonts w:ascii="Times New Roman" w:hAnsi="Times New Roman" w:cs="Times New Roman"/>
          <w:color w:val="5B9BD5" w:themeColor="accent1"/>
          <w:sz w:val="24"/>
          <w:szCs w:val="24"/>
          <w:shd w:val="clear" w:color="auto" w:fill="FFFFFF"/>
        </w:rPr>
        <w:t>Механизмът отразява приоритетите на ЕС за зелена, конкурентноспособна и приобщаваща Европа.</w:t>
      </w:r>
      <w:r w:rsidRPr="00F31DB1">
        <w:rPr>
          <w:rFonts w:ascii="EuropeC" w:hAnsi="EuropeC"/>
          <w:color w:val="5B9BD5" w:themeColor="accent1"/>
          <w:sz w:val="23"/>
          <w:szCs w:val="23"/>
          <w:shd w:val="clear" w:color="auto" w:fill="FFFFFF"/>
        </w:rPr>
        <w:t xml:space="preserve"> </w:t>
      </w:r>
      <w:r w:rsidRPr="00F31DB1">
        <w:rPr>
          <w:rFonts w:ascii="Times New Roman" w:hAnsi="Times New Roman" w:cs="Times New Roman"/>
          <w:color w:val="5B9BD5" w:themeColor="accent1"/>
          <w:sz w:val="24"/>
          <w:szCs w:val="24"/>
          <w:shd w:val="clear" w:color="auto" w:fill="FFFFFF"/>
        </w:rPr>
        <w:t>Страната ни е сред първите от общо 15 държави, която подписва меморандумите за разбирателство.</w:t>
      </w:r>
      <w:r w:rsidRPr="00F31DB1">
        <w:rPr>
          <w:rFonts w:ascii="Times New Roman" w:hAnsi="Times New Roman" w:cs="Times New Roman"/>
          <w:color w:val="5B9BD5" w:themeColor="accent1"/>
          <w:sz w:val="24"/>
          <w:szCs w:val="24"/>
        </w:rPr>
        <w:t xml:space="preserve"> За осигуряване на устойчивост и гъвкавост при постигане на целите, инструментите на двустранните отношения включват:</w:t>
      </w:r>
    </w:p>
    <w:p w:rsidR="00027401" w:rsidRPr="00027401" w:rsidRDefault="00027401" w:rsidP="00027401">
      <w:pPr>
        <w:pStyle w:val="ListParagraph"/>
        <w:numPr>
          <w:ilvl w:val="0"/>
          <w:numId w:val="42"/>
        </w:numPr>
        <w:shd w:val="clear" w:color="auto" w:fill="FFFFFF"/>
        <w:spacing w:before="100" w:beforeAutospacing="1" w:after="100" w:afterAutospacing="1"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институционално сътрудничество на програмно ниво</w:t>
      </w:r>
    </w:p>
    <w:p w:rsidR="00027401" w:rsidRPr="00027401" w:rsidRDefault="00027401" w:rsidP="00027401">
      <w:pPr>
        <w:pStyle w:val="ListParagraph"/>
        <w:numPr>
          <w:ilvl w:val="0"/>
          <w:numId w:val="42"/>
        </w:numPr>
        <w:shd w:val="clear" w:color="auto" w:fill="FFFFFF"/>
        <w:spacing w:before="100" w:beforeAutospacing="1" w:after="100" w:afterAutospacing="1"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донорски партньорства по проекти;</w:t>
      </w:r>
    </w:p>
    <w:p w:rsidR="00027401" w:rsidRPr="00027401" w:rsidRDefault="00027401" w:rsidP="00027401">
      <w:pPr>
        <w:pStyle w:val="ListParagraph"/>
        <w:numPr>
          <w:ilvl w:val="0"/>
          <w:numId w:val="42"/>
        </w:numPr>
        <w:shd w:val="clear" w:color="auto" w:fill="FFFFFF"/>
        <w:spacing w:before="100" w:beforeAutospacing="1" w:after="100" w:afterAutospacing="1"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гъвкави двустранни фондове за текущи въпроси от двустранен интерес.</w:t>
      </w:r>
    </w:p>
    <w:p w:rsidR="00027401" w:rsidRPr="00027401" w:rsidRDefault="00027401" w:rsidP="00027401">
      <w:pPr>
        <w:shd w:val="clear" w:color="auto" w:fill="FFFFFF"/>
        <w:spacing w:before="100" w:beforeAutospacing="1" w:after="100" w:afterAutospacing="1"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 xml:space="preserve">През периода 2014-2021 финансовият механизъм на ЕИП и Норвежкият финансов механизъм подкрепя проекти по пет приоритетни оси, по предварително гласуван и одобрен бюджет в размер на над 210 млн. евро. </w:t>
      </w:r>
    </w:p>
    <w:p w:rsidR="00027401" w:rsidRPr="00027401" w:rsidRDefault="00027401" w:rsidP="00027401">
      <w:pPr>
        <w:numPr>
          <w:ilvl w:val="0"/>
          <w:numId w:val="43"/>
        </w:numPr>
        <w:shd w:val="clear" w:color="auto" w:fill="FFFFFF"/>
        <w:spacing w:after="0" w:line="276" w:lineRule="auto"/>
        <w:ind w:left="375"/>
        <w:jc w:val="both"/>
        <w:rPr>
          <w:rFonts w:ascii="Times New Roman" w:eastAsia="Times New Roman" w:hAnsi="Times New Roman" w:cs="Times New Roman"/>
          <w:color w:val="5B9BD5" w:themeColor="accent1"/>
          <w:sz w:val="24"/>
          <w:szCs w:val="24"/>
          <w:lang w:eastAsia="bg-BG"/>
        </w:rPr>
      </w:pPr>
      <w:r w:rsidRPr="00027401">
        <w:rPr>
          <w:rFonts w:ascii="Times New Roman" w:eastAsia="Times New Roman" w:hAnsi="Times New Roman" w:cs="Times New Roman"/>
          <w:color w:val="5B9BD5" w:themeColor="accent1"/>
          <w:sz w:val="24"/>
          <w:szCs w:val="24"/>
          <w:lang w:eastAsia="bg-BG"/>
        </w:rPr>
        <w:t>Иновации, научни изследвания, образование и конкурентоспособност;</w:t>
      </w:r>
    </w:p>
    <w:p w:rsidR="00027401" w:rsidRPr="00027401" w:rsidRDefault="00027401" w:rsidP="00027401">
      <w:pPr>
        <w:numPr>
          <w:ilvl w:val="0"/>
          <w:numId w:val="43"/>
        </w:numPr>
        <w:shd w:val="clear" w:color="auto" w:fill="FFFFFF"/>
        <w:spacing w:after="0" w:line="276" w:lineRule="auto"/>
        <w:ind w:left="375"/>
        <w:jc w:val="both"/>
        <w:rPr>
          <w:rFonts w:ascii="Times New Roman" w:eastAsia="Times New Roman" w:hAnsi="Times New Roman" w:cs="Times New Roman"/>
          <w:color w:val="5B9BD5" w:themeColor="accent1"/>
          <w:sz w:val="24"/>
          <w:szCs w:val="24"/>
          <w:lang w:eastAsia="bg-BG"/>
        </w:rPr>
      </w:pPr>
      <w:r w:rsidRPr="00027401">
        <w:rPr>
          <w:rFonts w:ascii="Times New Roman" w:eastAsia="Times New Roman" w:hAnsi="Times New Roman" w:cs="Times New Roman"/>
          <w:color w:val="5B9BD5" w:themeColor="accent1"/>
          <w:sz w:val="24"/>
          <w:szCs w:val="24"/>
          <w:lang w:eastAsia="bg-BG"/>
        </w:rPr>
        <w:t>Социална интеграция, младежка заетост и намаляване на бедността;</w:t>
      </w:r>
    </w:p>
    <w:p w:rsidR="00027401" w:rsidRPr="00027401" w:rsidRDefault="00027401" w:rsidP="00027401">
      <w:pPr>
        <w:numPr>
          <w:ilvl w:val="0"/>
          <w:numId w:val="43"/>
        </w:numPr>
        <w:shd w:val="clear" w:color="auto" w:fill="FFFFFF"/>
        <w:spacing w:after="0" w:line="276" w:lineRule="auto"/>
        <w:ind w:left="375"/>
        <w:jc w:val="both"/>
        <w:rPr>
          <w:rFonts w:ascii="Times New Roman" w:eastAsia="Times New Roman" w:hAnsi="Times New Roman" w:cs="Times New Roman"/>
          <w:color w:val="5B9BD5" w:themeColor="accent1"/>
          <w:sz w:val="24"/>
          <w:szCs w:val="24"/>
          <w:lang w:eastAsia="bg-BG"/>
        </w:rPr>
      </w:pPr>
      <w:r w:rsidRPr="00027401">
        <w:rPr>
          <w:rFonts w:ascii="Times New Roman" w:eastAsia="Times New Roman" w:hAnsi="Times New Roman" w:cs="Times New Roman"/>
          <w:color w:val="5B9BD5" w:themeColor="accent1"/>
          <w:sz w:val="24"/>
          <w:szCs w:val="24"/>
          <w:lang w:eastAsia="bg-BG"/>
        </w:rPr>
        <w:t>Околна среда, енергетика, изменение на климата и нисковъглеродна икономика;</w:t>
      </w:r>
    </w:p>
    <w:p w:rsidR="00027401" w:rsidRPr="00027401" w:rsidRDefault="00027401" w:rsidP="00027401">
      <w:pPr>
        <w:numPr>
          <w:ilvl w:val="0"/>
          <w:numId w:val="43"/>
        </w:numPr>
        <w:shd w:val="clear" w:color="auto" w:fill="FFFFFF"/>
        <w:spacing w:after="0" w:line="276" w:lineRule="auto"/>
        <w:ind w:left="375"/>
        <w:jc w:val="both"/>
        <w:rPr>
          <w:rFonts w:ascii="Times New Roman" w:eastAsia="Times New Roman" w:hAnsi="Times New Roman" w:cs="Times New Roman"/>
          <w:color w:val="5B9BD5" w:themeColor="accent1"/>
          <w:sz w:val="24"/>
          <w:szCs w:val="24"/>
          <w:lang w:eastAsia="bg-BG"/>
        </w:rPr>
      </w:pPr>
      <w:r w:rsidRPr="00027401">
        <w:rPr>
          <w:rFonts w:ascii="Times New Roman" w:eastAsia="Times New Roman" w:hAnsi="Times New Roman" w:cs="Times New Roman"/>
          <w:color w:val="5B9BD5" w:themeColor="accent1"/>
          <w:sz w:val="24"/>
          <w:szCs w:val="24"/>
          <w:lang w:eastAsia="bg-BG"/>
        </w:rPr>
        <w:t>Култура, гражданско общество, добро управление и основни права и свободи;</w:t>
      </w:r>
    </w:p>
    <w:p w:rsidR="00027401" w:rsidRPr="00027401" w:rsidRDefault="00027401" w:rsidP="00027401">
      <w:pPr>
        <w:numPr>
          <w:ilvl w:val="0"/>
          <w:numId w:val="43"/>
        </w:numPr>
        <w:shd w:val="clear" w:color="auto" w:fill="FFFFFF"/>
        <w:spacing w:after="0" w:line="276" w:lineRule="auto"/>
        <w:ind w:left="375"/>
        <w:jc w:val="both"/>
        <w:rPr>
          <w:rFonts w:ascii="Times New Roman" w:eastAsia="Times New Roman" w:hAnsi="Times New Roman" w:cs="Times New Roman"/>
          <w:color w:val="5B9BD5" w:themeColor="accent1"/>
          <w:sz w:val="24"/>
          <w:szCs w:val="24"/>
          <w:lang w:eastAsia="bg-BG"/>
        </w:rPr>
      </w:pPr>
      <w:r w:rsidRPr="00027401">
        <w:rPr>
          <w:rFonts w:ascii="Times New Roman" w:eastAsia="Times New Roman" w:hAnsi="Times New Roman" w:cs="Times New Roman"/>
          <w:color w:val="5B9BD5" w:themeColor="accent1"/>
          <w:sz w:val="24"/>
          <w:szCs w:val="24"/>
          <w:lang w:eastAsia="bg-BG"/>
        </w:rPr>
        <w:t>Правосъдие и вътрешни работи.</w:t>
      </w:r>
    </w:p>
    <w:p w:rsidR="00027401" w:rsidRPr="00027401" w:rsidRDefault="00027401" w:rsidP="00027401">
      <w:pPr>
        <w:shd w:val="clear" w:color="auto" w:fill="FFFFFF"/>
        <w:spacing w:after="0" w:line="240" w:lineRule="auto"/>
        <w:ind w:left="375"/>
        <w:jc w:val="both"/>
        <w:rPr>
          <w:rFonts w:ascii="Verdana" w:eastAsia="Times New Roman" w:hAnsi="Verdana" w:cs="Times New Roman"/>
          <w:color w:val="5B9BD5" w:themeColor="accent1"/>
          <w:sz w:val="17"/>
          <w:szCs w:val="17"/>
          <w:lang w:eastAsia="bg-BG"/>
        </w:rPr>
      </w:pPr>
    </w:p>
    <w:p w:rsidR="00027401" w:rsidRPr="00027401" w:rsidRDefault="00027401" w:rsidP="00027401">
      <w:pPr>
        <w:shd w:val="clear" w:color="auto" w:fill="FFFFFF"/>
        <w:spacing w:after="0" w:line="240" w:lineRule="auto"/>
        <w:ind w:left="375"/>
        <w:jc w:val="both"/>
        <w:rPr>
          <w:rFonts w:ascii="Verdana" w:eastAsia="Times New Roman" w:hAnsi="Verdana" w:cs="Times New Roman"/>
          <w:color w:val="5B9BD5" w:themeColor="accent1"/>
          <w:sz w:val="17"/>
          <w:szCs w:val="17"/>
          <w:lang w:eastAsia="bg-BG"/>
        </w:rPr>
      </w:pPr>
    </w:p>
    <w:p w:rsidR="00027401" w:rsidRPr="00027401" w:rsidRDefault="00027401" w:rsidP="00027401">
      <w:pPr>
        <w:shd w:val="clear" w:color="auto" w:fill="FFFFFF"/>
        <w:spacing w:after="0" w:line="276" w:lineRule="auto"/>
        <w:jc w:val="both"/>
        <w:rPr>
          <w:rFonts w:ascii="Times New Roman" w:eastAsia="Times New Roman" w:hAnsi="Times New Roman" w:cs="Times New Roman"/>
          <w:color w:val="5B9BD5" w:themeColor="accent1"/>
          <w:sz w:val="24"/>
          <w:szCs w:val="24"/>
          <w:lang w:eastAsia="bg-BG"/>
        </w:rPr>
      </w:pPr>
      <w:r w:rsidRPr="00027401">
        <w:rPr>
          <w:rFonts w:ascii="Times New Roman" w:hAnsi="Times New Roman" w:cs="Times New Roman"/>
          <w:color w:val="5B9BD5" w:themeColor="accent1"/>
          <w:sz w:val="24"/>
          <w:szCs w:val="24"/>
        </w:rPr>
        <w:t>Държавата бенефициер отговаря за управлението и контрола на програмите. Системите за управление и контрол, създадени от държавата бенефициер за Норвежкия финансовия механизъм 2014–2021 г., осигуряват зачитане на принципите на отчетност, икономичност, ефикасност и ефективност.</w:t>
      </w:r>
    </w:p>
    <w:p w:rsidR="00027401" w:rsidRPr="00027401" w:rsidRDefault="00027401" w:rsidP="00027401">
      <w:pPr>
        <w:shd w:val="clear" w:color="auto" w:fill="FFFFFF"/>
        <w:spacing w:after="0"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Националното координационно звено носи цялостната отговорност да се осигури програмите да допринасят за целите на Норвежкия финансовия механизъм 2014–2021 г., както и да се осигури изпълнението на Норвежкия финансовия механизъм 2014–2021 г. в държавата бенефициер да бъде в съответствие с член 1.3. То служи като звено за контакт, отговаря и се отчита за изпълнението на Меморандума за разбирателство. Националното координационно звено осигурява изпълнението на програмите в съответствие с правната рамка на Норвежкия финансовия механизъм 2014–2021 г. и наблюдава напредъка и качеството на тяхното изпълнение.</w:t>
      </w:r>
    </w:p>
    <w:p w:rsidR="00027401" w:rsidRPr="00027401" w:rsidRDefault="00027401" w:rsidP="00027401">
      <w:pPr>
        <w:shd w:val="clear" w:color="auto" w:fill="FFFFFF"/>
        <w:spacing w:after="0" w:line="276" w:lineRule="auto"/>
        <w:jc w:val="both"/>
        <w:rPr>
          <w:rFonts w:ascii="Times New Roman" w:hAnsi="Times New Roman" w:cs="Times New Roman"/>
          <w:color w:val="5B9BD5" w:themeColor="accent1"/>
          <w:sz w:val="24"/>
          <w:szCs w:val="24"/>
        </w:rPr>
      </w:pPr>
    </w:p>
    <w:p w:rsidR="00027401" w:rsidRPr="00027401" w:rsidRDefault="00027401" w:rsidP="00027401">
      <w:pPr>
        <w:shd w:val="clear" w:color="auto" w:fill="FFFFFF"/>
        <w:spacing w:after="0"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Последно обявената отворена покана по програма „Опазване на околната среда и климатични промени“ е по Открита покана № 3 Климат, резултат 4 : Повишена способност на местните о</w:t>
      </w:r>
      <w:r w:rsidRPr="00027401">
        <w:rPr>
          <w:rFonts w:ascii="Times New Roman" w:hAnsi="Times New Roman" w:cs="Times New Roman"/>
          <w:color w:val="5B9BD5" w:themeColor="accent1"/>
          <w:sz w:val="24"/>
          <w:szCs w:val="24"/>
          <w:shd w:val="clear" w:color="auto" w:fill="FFFFFF"/>
        </w:rPr>
        <w:t>бщности да намаляват емисиите и да се адаптират към променящия се климат“</w:t>
      </w:r>
      <w:r w:rsidRPr="00027401">
        <w:rPr>
          <w:rFonts w:ascii="Times New Roman" w:hAnsi="Times New Roman" w:cs="Times New Roman"/>
          <w:color w:val="5B9BD5" w:themeColor="accent1"/>
          <w:sz w:val="24"/>
          <w:szCs w:val="24"/>
        </w:rPr>
        <w:t xml:space="preserve"> . Целта  на поканата е да се финансират проекти на общини за </w:t>
      </w:r>
      <w:r w:rsidRPr="00027401">
        <w:rPr>
          <w:rFonts w:ascii="Times New Roman" w:hAnsi="Times New Roman" w:cs="Times New Roman"/>
          <w:color w:val="5B9BD5" w:themeColor="accent1"/>
          <w:sz w:val="24"/>
          <w:szCs w:val="24"/>
        </w:rPr>
        <w:lastRenderedPageBreak/>
        <w:t xml:space="preserve">изпълнение на дейности по техните стратегически планове, както и дейности водещи до намаляване на  емисиите на парникови газове и  адаптация към очакваните неблагоприятни последици от изменението на климата. Цели се също така да се  улесни планирането и изпълнението на нови стратегически стъпки за въвеждане на добрите практики  за предотвратяване или свеждане до минимум на щетите, които те могат да причинят. Крайният срок за подаване на проектни предложения е бил до 16/11/2021. </w:t>
      </w:r>
    </w:p>
    <w:p w:rsidR="00027401" w:rsidRPr="00027401" w:rsidRDefault="00027401" w:rsidP="00027401">
      <w:pPr>
        <w:shd w:val="clear" w:color="auto" w:fill="FFFFFF"/>
        <w:spacing w:after="0" w:line="276" w:lineRule="auto"/>
        <w:jc w:val="both"/>
        <w:rPr>
          <w:rFonts w:ascii="Times New Roman" w:hAnsi="Times New Roman" w:cs="Times New Roman"/>
          <w:color w:val="5B9BD5" w:themeColor="accent1"/>
          <w:sz w:val="24"/>
          <w:szCs w:val="24"/>
        </w:rPr>
      </w:pPr>
    </w:p>
    <w:p w:rsidR="00027401" w:rsidRPr="00027401" w:rsidRDefault="00027401" w:rsidP="00027401">
      <w:pPr>
        <w:shd w:val="clear" w:color="auto" w:fill="FFFFFF"/>
        <w:spacing w:after="0" w:line="276" w:lineRule="auto"/>
        <w:jc w:val="both"/>
        <w:rPr>
          <w:rFonts w:ascii="Times New Roman" w:hAnsi="Times New Roman" w:cs="Times New Roman"/>
          <w:b/>
          <w:color w:val="5B9BD5" w:themeColor="accent1"/>
          <w:sz w:val="24"/>
          <w:szCs w:val="24"/>
        </w:rPr>
      </w:pPr>
      <w:r w:rsidRPr="00027401">
        <w:rPr>
          <w:rFonts w:ascii="Times New Roman" w:hAnsi="Times New Roman" w:cs="Times New Roman"/>
          <w:b/>
          <w:color w:val="5B9BD5" w:themeColor="accent1"/>
          <w:sz w:val="24"/>
          <w:szCs w:val="24"/>
        </w:rPr>
        <w:t>Допустими кандидати и общи параметри на поканата:</w:t>
      </w:r>
    </w:p>
    <w:p w:rsidR="00027401" w:rsidRPr="00027401" w:rsidRDefault="00027401" w:rsidP="00027401">
      <w:pPr>
        <w:shd w:val="clear" w:color="auto" w:fill="FFFFFF"/>
        <w:spacing w:after="0"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 xml:space="preserve">Допустими кандидати са общини на територията на Република България, като могат да кандидатстват самостоятелно или в партньорство. Една община може да бъде бенефициент само по 1 проект и/или партньор в не повече от 2 проекта в тази покана. Идеята е да се насърчат пилотни и иновативни проекти, които се изпълняват в консорциум от няколко общини – 1 община бенефициент с няколко общини партньори, като идеята е резултатите да се трансферират в повече от една община. </w:t>
      </w:r>
    </w:p>
    <w:p w:rsidR="00027401" w:rsidRPr="00027401" w:rsidRDefault="00027401" w:rsidP="00027401">
      <w:pPr>
        <w:shd w:val="clear" w:color="auto" w:fill="FFFFFF"/>
        <w:spacing w:after="0"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Основен принцип на програмата, е че се поощряват проекти с партньори от страните донори. Параметрите на финансиране по поканата са от 200 хил. евро до 500 хил. евро. Проектните дейности са с продължителност от 12 до 24 месеца, като крайната дата за приключване е април 2024 г. Безвъзмездната финансова помощ за бюджетни организации може да бъде до 100 % от общите допустими разходи. Плащанията най-общо се извършват на три транша: авансово, междинно и финално, на базата на одобрени междинни и финални отчети за извършени проектни дейности.</w:t>
      </w:r>
    </w:p>
    <w:p w:rsidR="00027401" w:rsidRPr="00027401" w:rsidRDefault="00027401" w:rsidP="00027401">
      <w:pPr>
        <w:shd w:val="clear" w:color="auto" w:fill="FFFFFF"/>
        <w:spacing w:after="0"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Детайлна информация за насоки за кандидатстване, апликационна форма и документи за кандидатстване се намират в сайта на ИСУН 2020. Те са достъпни при активна покана.</w:t>
      </w:r>
    </w:p>
    <w:p w:rsidR="00027401" w:rsidRPr="00027401" w:rsidRDefault="0033194E" w:rsidP="00027401">
      <w:pPr>
        <w:pStyle w:val="NormalWeb"/>
        <w:shd w:val="clear" w:color="auto" w:fill="FFFFFF"/>
        <w:spacing w:line="276" w:lineRule="auto"/>
        <w:jc w:val="both"/>
        <w:rPr>
          <w:color w:val="5B9BD5" w:themeColor="accent1"/>
        </w:rPr>
      </w:pPr>
      <w:r>
        <w:rPr>
          <w:rStyle w:val="Strong"/>
          <w:color w:val="5B9BD5" w:themeColor="accent1"/>
        </w:rPr>
        <w:t>Как може</w:t>
      </w:r>
      <w:r w:rsidR="00027401" w:rsidRPr="00027401">
        <w:rPr>
          <w:rStyle w:val="Strong"/>
          <w:color w:val="5B9BD5" w:themeColor="accent1"/>
        </w:rPr>
        <w:t xml:space="preserve"> да </w:t>
      </w:r>
      <w:r>
        <w:rPr>
          <w:rStyle w:val="Strong"/>
          <w:color w:val="5B9BD5" w:themeColor="accent1"/>
        </w:rPr>
        <w:t xml:space="preserve"> се кандидатства</w:t>
      </w:r>
      <w:r w:rsidR="00027401" w:rsidRPr="00027401">
        <w:rPr>
          <w:rStyle w:val="Strong"/>
          <w:color w:val="5B9BD5" w:themeColor="accent1"/>
        </w:rPr>
        <w:t>?</w:t>
      </w:r>
    </w:p>
    <w:p w:rsidR="00027401" w:rsidRPr="00027401" w:rsidRDefault="00027401" w:rsidP="00027401">
      <w:pPr>
        <w:numPr>
          <w:ilvl w:val="0"/>
          <w:numId w:val="44"/>
        </w:numPr>
        <w:shd w:val="clear" w:color="auto" w:fill="FFFFFF"/>
        <w:spacing w:after="0" w:line="276" w:lineRule="auto"/>
        <w:ind w:left="375"/>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Кандидатстването по Норвежкия финансов механизъм се извършва през електронен портал, който се открива за всяка една отделна процедура. МСП могат да следят за налични възможности за финансиране на интернет страницата на </w:t>
      </w:r>
      <w:hyperlink r:id="rId9" w:tgtFrame="_blank" w:history="1">
        <w:r w:rsidRPr="00027401">
          <w:rPr>
            <w:rStyle w:val="Hyperlink"/>
            <w:rFonts w:ascii="Times New Roman" w:hAnsi="Times New Roman" w:cs="Times New Roman"/>
            <w:color w:val="5B9BD5" w:themeColor="accent1"/>
            <w:sz w:val="24"/>
            <w:szCs w:val="24"/>
          </w:rPr>
          <w:t>Норвежкия финансов механизъм</w:t>
        </w:r>
      </w:hyperlink>
      <w:r w:rsidRPr="00027401">
        <w:rPr>
          <w:rFonts w:ascii="Times New Roman" w:hAnsi="Times New Roman" w:cs="Times New Roman"/>
          <w:color w:val="5B9BD5" w:themeColor="accent1"/>
          <w:sz w:val="24"/>
          <w:szCs w:val="24"/>
        </w:rPr>
        <w:t>. Приоритет имат проекти, които включват сътрудничество с норвежки партньор (МСП, научна/образователна институция или друго юридическо лице);</w:t>
      </w:r>
    </w:p>
    <w:p w:rsidR="00027401" w:rsidRPr="00027401" w:rsidRDefault="00027401" w:rsidP="00027401">
      <w:pPr>
        <w:numPr>
          <w:ilvl w:val="0"/>
          <w:numId w:val="44"/>
        </w:numPr>
        <w:shd w:val="clear" w:color="auto" w:fill="FFFFFF"/>
        <w:spacing w:after="0" w:line="276" w:lineRule="auto"/>
        <w:ind w:left="375"/>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 по отделните програми и процедури има специфични изисквания за допустимост на кандидатите, дейностите и разходите, критериите за оценяване и т.н.</w:t>
      </w:r>
    </w:p>
    <w:p w:rsidR="00027401" w:rsidRPr="00027401" w:rsidRDefault="00027401" w:rsidP="00027401">
      <w:pPr>
        <w:shd w:val="clear" w:color="auto" w:fill="FFFFFF"/>
        <w:spacing w:before="100" w:beforeAutospacing="1" w:after="100" w:afterAutospacing="1" w:line="276" w:lineRule="auto"/>
        <w:jc w:val="both"/>
        <w:rPr>
          <w:rFonts w:ascii="Times New Roman" w:hAnsi="Times New Roman" w:cs="Times New Roman"/>
          <w:color w:val="5B9BD5" w:themeColor="accent1"/>
          <w:sz w:val="24"/>
          <w:szCs w:val="24"/>
        </w:rPr>
      </w:pPr>
      <w:r w:rsidRPr="00027401">
        <w:rPr>
          <w:rFonts w:ascii="Times New Roman" w:hAnsi="Times New Roman" w:cs="Times New Roman"/>
          <w:color w:val="5B9BD5" w:themeColor="accent1"/>
          <w:sz w:val="24"/>
          <w:szCs w:val="24"/>
        </w:rPr>
        <w:t xml:space="preserve">Към момента са в етап на финализиране преговорите за новия програмен период и се очаква поетапно обявяване на поканите. </w:t>
      </w:r>
      <w:r w:rsidRPr="00027401">
        <w:rPr>
          <w:rFonts w:ascii="Times New Roman" w:hAnsi="Times New Roman" w:cs="Times New Roman"/>
          <w:color w:val="5B9BD5" w:themeColor="accent1"/>
          <w:sz w:val="24"/>
          <w:szCs w:val="24"/>
          <w:shd w:val="clear" w:color="auto" w:fill="FFFFFF"/>
        </w:rPr>
        <w:t>Целите на Европейския зелен пакт са от стратегическо значение, както за ЕС, така и за Норвегия и се очаква засилен фокус към прин</w:t>
      </w:r>
      <w:r w:rsidR="002D2103">
        <w:rPr>
          <w:rFonts w:ascii="Times New Roman" w:hAnsi="Times New Roman" w:cs="Times New Roman"/>
          <w:color w:val="5B9BD5" w:themeColor="accent1"/>
          <w:sz w:val="24"/>
          <w:szCs w:val="24"/>
          <w:shd w:val="clear" w:color="auto" w:fill="FFFFFF"/>
        </w:rPr>
        <w:t>о</w:t>
      </w:r>
      <w:r w:rsidRPr="00027401">
        <w:rPr>
          <w:rFonts w:ascii="Times New Roman" w:hAnsi="Times New Roman" w:cs="Times New Roman"/>
          <w:color w:val="5B9BD5" w:themeColor="accent1"/>
          <w:sz w:val="24"/>
          <w:szCs w:val="24"/>
          <w:shd w:val="clear" w:color="auto" w:fill="FFFFFF"/>
        </w:rPr>
        <w:t>са в тази област в следващия програмен период.</w:t>
      </w:r>
    </w:p>
    <w:p w:rsidR="00CE3DF1" w:rsidRPr="0033194E" w:rsidRDefault="00CE3DF1" w:rsidP="0033194E">
      <w:pPr>
        <w:pStyle w:val="ListParagraph"/>
        <w:numPr>
          <w:ilvl w:val="0"/>
          <w:numId w:val="30"/>
        </w:numPr>
        <w:tabs>
          <w:tab w:val="left" w:pos="426"/>
        </w:tabs>
        <w:suppressAutoHyphens/>
        <w:spacing w:after="120" w:line="276" w:lineRule="auto"/>
        <w:jc w:val="both"/>
        <w:rPr>
          <w:rFonts w:ascii="Times New Roman" w:eastAsia="Calibri" w:hAnsi="Times New Roman" w:cs="Times New Roman"/>
          <w:b/>
          <w:bCs/>
          <w:sz w:val="24"/>
          <w:szCs w:val="24"/>
          <w:lang w:eastAsia="ar-SA"/>
        </w:rPr>
      </w:pPr>
      <w:r w:rsidRPr="0033194E">
        <w:rPr>
          <w:rFonts w:ascii="Times New Roman" w:eastAsia="Calibri" w:hAnsi="Times New Roman" w:cs="Times New Roman"/>
          <w:b/>
          <w:bCs/>
          <w:sz w:val="24"/>
          <w:szCs w:val="24"/>
          <w:lang w:eastAsia="ar-SA"/>
        </w:rPr>
        <w:t>Регионални асоциации</w:t>
      </w:r>
    </w:p>
    <w:p w:rsidR="00CE3DF1" w:rsidRPr="00CE3DF1" w:rsidRDefault="00CE3DF1" w:rsidP="00CE3DF1">
      <w:pPr>
        <w:spacing w:after="0" w:line="276" w:lineRule="auto"/>
        <w:ind w:firstLine="708"/>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 xml:space="preserve">РСУО има за цел да постигне ефективно събиране, транспортиране и третиране на отпадъците съобразно изискванията на ЗУО, както и изпълнение на задълженията по ЗУО на общините при минимизирани разходи. Добрата организация на дейността на </w:t>
      </w:r>
      <w:r w:rsidRPr="00CE3DF1">
        <w:rPr>
          <w:rFonts w:ascii="Times New Roman" w:eastAsia="Calibri" w:hAnsi="Times New Roman" w:cs="Times New Roman"/>
          <w:sz w:val="24"/>
          <w:szCs w:val="24"/>
        </w:rPr>
        <w:lastRenderedPageBreak/>
        <w:t>РСУО е основен фактор за постигане на целите от общините за оползотворяване и рециклиране на отпадъците, тъй като съгласно ЗУО целите са регионални, изпълняват се съвместно от общините, които разпределят задълженията си за изпълнение на тези цели</w:t>
      </w:r>
    </w:p>
    <w:p w:rsidR="00CE3DF1" w:rsidRPr="00CE3DF1" w:rsidRDefault="00CE3DF1" w:rsidP="00CE3DF1">
      <w:pPr>
        <w:spacing w:after="0" w:line="276" w:lineRule="auto"/>
        <w:ind w:firstLine="708"/>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 xml:space="preserve">Членове на регионалното сдружение могат да бъдат само общини. Регионалното сдружение е юридическо лице със седалище в общината, която е собственик на терена, върху който е изградено или се предвижда изграждането на съоръжението за третиране на отпадъци, или която има учредено право на строеж. Регионалното сдружение няма за цел да формира и не разпределя печалба, не придобива собственост. Неговата дейност се подпомага и осигурява от съответните общински администрации. </w:t>
      </w:r>
    </w:p>
    <w:p w:rsidR="00CE3DF1" w:rsidRPr="00CE3DF1" w:rsidRDefault="00CE3DF1" w:rsidP="00CE3DF1">
      <w:pPr>
        <w:spacing w:after="0" w:line="276" w:lineRule="auto"/>
        <w:ind w:firstLine="708"/>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 xml:space="preserve">Общините могат да получат финансиране на проекти в областта на управление на отпадъците от европейските фондове, държавния бюджет, Предприятието за управление на дейностите по опазване на околната среда (ПУДООС) към Министерството на околната среда и водите или други национални публични източници на финансиране само след създаването на регионално сдружение. Министърът на финансите дава указания относно реда и начина на събиране, разходване, планиране и отчитане от бюджетните предприятия на тези средства. </w:t>
      </w:r>
    </w:p>
    <w:p w:rsidR="00CE3DF1" w:rsidRPr="00CE3DF1" w:rsidRDefault="00CE3DF1" w:rsidP="00CE3DF1">
      <w:pPr>
        <w:spacing w:after="0" w:line="276" w:lineRule="auto"/>
        <w:ind w:firstLine="708"/>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Членовете на сдружението превеждат средствата пропорционално на количествата депонирани отпадъци.</w:t>
      </w:r>
    </w:p>
    <w:p w:rsidR="00CE3DF1" w:rsidRPr="00CE3DF1" w:rsidRDefault="00CE3DF1" w:rsidP="00CE3DF1">
      <w:pPr>
        <w:spacing w:after="0" w:line="276" w:lineRule="auto"/>
        <w:jc w:val="both"/>
        <w:rPr>
          <w:rFonts w:ascii="Times New Roman" w:eastAsia="Calibri" w:hAnsi="Times New Roman" w:cs="Times New Roman"/>
          <w:sz w:val="24"/>
          <w:szCs w:val="24"/>
        </w:rPr>
      </w:pPr>
    </w:p>
    <w:p w:rsidR="00CE3DF1" w:rsidRPr="0033194E" w:rsidRDefault="00CE3DF1" w:rsidP="0033194E">
      <w:pPr>
        <w:pStyle w:val="ListParagraph"/>
        <w:numPr>
          <w:ilvl w:val="1"/>
          <w:numId w:val="45"/>
        </w:numPr>
        <w:spacing w:after="0" w:line="276" w:lineRule="auto"/>
        <w:jc w:val="both"/>
        <w:rPr>
          <w:rFonts w:ascii="Times New Roman" w:eastAsia="Calibri" w:hAnsi="Times New Roman" w:cs="Times New Roman"/>
          <w:sz w:val="24"/>
          <w:szCs w:val="24"/>
        </w:rPr>
      </w:pPr>
      <w:r w:rsidRPr="0033194E">
        <w:rPr>
          <w:rFonts w:ascii="Times New Roman" w:eastAsia="Calibri" w:hAnsi="Times New Roman" w:cs="Times New Roman"/>
          <w:b/>
          <w:sz w:val="24"/>
          <w:szCs w:val="24"/>
        </w:rPr>
        <w:t>Анализ на дейността на регионалните сдружения по управление на отпадъците</w:t>
      </w:r>
    </w:p>
    <w:p w:rsidR="00CE3DF1" w:rsidRPr="00CE3DF1" w:rsidRDefault="00CE3DF1" w:rsidP="00CE3DF1">
      <w:pPr>
        <w:numPr>
          <w:ilvl w:val="0"/>
          <w:numId w:val="19"/>
        </w:numPr>
        <w:spacing w:after="120" w:line="276" w:lineRule="auto"/>
        <w:contextualSpacing/>
        <w:jc w:val="both"/>
        <w:rPr>
          <w:rFonts w:ascii="Times New Roman" w:eastAsia="Times New Roman" w:hAnsi="Times New Roman" w:cs="Times New Roman"/>
          <w:sz w:val="24"/>
          <w:szCs w:val="24"/>
        </w:rPr>
      </w:pPr>
      <w:r w:rsidRPr="00CE3DF1">
        <w:rPr>
          <w:rFonts w:ascii="Times New Roman" w:eastAsia="Times New Roman" w:hAnsi="Times New Roman" w:cs="Times New Roman"/>
          <w:sz w:val="24"/>
          <w:szCs w:val="24"/>
        </w:rPr>
        <w:t>Регионалните депа се експлоатират преобладаващо от изпълнители, избрани по Закона за обществени поръчки.</w:t>
      </w:r>
    </w:p>
    <w:p w:rsidR="00CE3DF1" w:rsidRPr="00CE3DF1" w:rsidRDefault="00CE3DF1" w:rsidP="00CE3DF1">
      <w:pPr>
        <w:numPr>
          <w:ilvl w:val="0"/>
          <w:numId w:val="19"/>
        </w:numPr>
        <w:spacing w:after="120" w:line="276" w:lineRule="auto"/>
        <w:contextualSpacing/>
        <w:jc w:val="both"/>
        <w:rPr>
          <w:rFonts w:ascii="Times New Roman" w:eastAsia="Times New Roman" w:hAnsi="Times New Roman" w:cs="Times New Roman"/>
          <w:sz w:val="24"/>
          <w:szCs w:val="24"/>
        </w:rPr>
      </w:pPr>
      <w:r w:rsidRPr="00CE3DF1">
        <w:rPr>
          <w:rFonts w:ascii="Times New Roman" w:eastAsia="Times New Roman" w:hAnsi="Times New Roman" w:cs="Times New Roman"/>
          <w:sz w:val="24"/>
          <w:szCs w:val="24"/>
        </w:rPr>
        <w:t>Освен регионалните депа, операторите им в повечето случаи експлоатират и сепариращи инсталации и инсталации за компостиране на зелени и др. биоразградими отпадъци.</w:t>
      </w:r>
    </w:p>
    <w:p w:rsidR="00CE3DF1" w:rsidRPr="00CE3DF1" w:rsidRDefault="00CE3DF1" w:rsidP="00CE3DF1">
      <w:pPr>
        <w:numPr>
          <w:ilvl w:val="0"/>
          <w:numId w:val="19"/>
        </w:numPr>
        <w:spacing w:after="120" w:line="276" w:lineRule="auto"/>
        <w:contextualSpacing/>
        <w:jc w:val="both"/>
        <w:rPr>
          <w:rFonts w:ascii="Times New Roman" w:eastAsia="Times New Roman" w:hAnsi="Times New Roman" w:cs="Times New Roman"/>
          <w:sz w:val="24"/>
          <w:szCs w:val="24"/>
        </w:rPr>
      </w:pPr>
      <w:r w:rsidRPr="00CE3DF1">
        <w:rPr>
          <w:rFonts w:ascii="Times New Roman" w:eastAsia="Times New Roman" w:hAnsi="Times New Roman" w:cs="Times New Roman"/>
          <w:sz w:val="24"/>
          <w:szCs w:val="24"/>
        </w:rPr>
        <w:t xml:space="preserve">Активността на участие на общините в заседанията на Общите събрания на РСУО е много висока, като почти всички общини участват редовно в заседанията. </w:t>
      </w:r>
    </w:p>
    <w:p w:rsidR="00CE3DF1" w:rsidRPr="00CE3DF1" w:rsidRDefault="00CE3DF1" w:rsidP="00CE3DF1">
      <w:pPr>
        <w:numPr>
          <w:ilvl w:val="0"/>
          <w:numId w:val="19"/>
        </w:numPr>
        <w:spacing w:after="120" w:line="276" w:lineRule="auto"/>
        <w:contextualSpacing/>
        <w:jc w:val="both"/>
        <w:rPr>
          <w:rFonts w:ascii="Times New Roman" w:eastAsia="Times New Roman" w:hAnsi="Times New Roman" w:cs="Times New Roman"/>
          <w:sz w:val="24"/>
          <w:szCs w:val="24"/>
        </w:rPr>
      </w:pPr>
      <w:r w:rsidRPr="00CE3DF1">
        <w:rPr>
          <w:rFonts w:ascii="Times New Roman" w:eastAsia="Times New Roman" w:hAnsi="Times New Roman" w:cs="Times New Roman"/>
          <w:sz w:val="24"/>
          <w:szCs w:val="24"/>
        </w:rPr>
        <w:t xml:space="preserve">Наблюдава се висока степен на единомислие на общините при вземането на решения от РСУО. Въпросите, по които са възниквали разногласия, са свързани с вземането на решения за бъдещи проекти и съоръжения, които да обслужват РСУО и с определянето на цените и тарифите за услугите за ползване на общи съоръжения от общините от РСУО. </w:t>
      </w:r>
    </w:p>
    <w:p w:rsidR="00CE3DF1" w:rsidRPr="00CE3DF1" w:rsidRDefault="00CE3DF1" w:rsidP="00CE3DF1">
      <w:pPr>
        <w:numPr>
          <w:ilvl w:val="0"/>
          <w:numId w:val="19"/>
        </w:numPr>
        <w:spacing w:after="120" w:line="276" w:lineRule="auto"/>
        <w:contextualSpacing/>
        <w:jc w:val="both"/>
        <w:rPr>
          <w:rFonts w:ascii="Times New Roman" w:eastAsia="Times New Roman" w:hAnsi="Times New Roman" w:cs="Times New Roman"/>
          <w:sz w:val="24"/>
          <w:szCs w:val="24"/>
        </w:rPr>
      </w:pPr>
      <w:r w:rsidRPr="00CE3DF1">
        <w:rPr>
          <w:rFonts w:ascii="Times New Roman" w:eastAsia="Times New Roman" w:hAnsi="Times New Roman" w:cs="Times New Roman"/>
          <w:sz w:val="24"/>
          <w:szCs w:val="24"/>
        </w:rPr>
        <w:t xml:space="preserve">Мнозинството от общините оценяват положително резултатите от дейността на РСУО, като под 4% от всички общини, участвали в проучването, считат, че са необходими промени в организацията на дейността и подобряване на работата на РСУО. </w:t>
      </w:r>
    </w:p>
    <w:p w:rsidR="0033194E" w:rsidRDefault="0033194E" w:rsidP="0033194E">
      <w:pPr>
        <w:spacing w:after="120" w:line="276" w:lineRule="auto"/>
        <w:contextualSpacing/>
        <w:jc w:val="both"/>
        <w:rPr>
          <w:rFonts w:ascii="Times New Roman" w:eastAsia="Times New Roman" w:hAnsi="Times New Roman" w:cs="Times New Roman"/>
          <w:sz w:val="24"/>
          <w:szCs w:val="24"/>
        </w:rPr>
      </w:pPr>
    </w:p>
    <w:p w:rsidR="00CE3DF1" w:rsidRPr="0033194E" w:rsidRDefault="00CE3DF1" w:rsidP="0033194E">
      <w:pPr>
        <w:pStyle w:val="ListParagraph"/>
        <w:numPr>
          <w:ilvl w:val="1"/>
          <w:numId w:val="45"/>
        </w:numPr>
        <w:spacing w:after="120" w:line="276" w:lineRule="auto"/>
        <w:jc w:val="both"/>
        <w:rPr>
          <w:rFonts w:ascii="Times New Roman" w:eastAsia="Times New Roman" w:hAnsi="Times New Roman" w:cs="Times New Roman"/>
          <w:b/>
          <w:sz w:val="24"/>
          <w:szCs w:val="24"/>
        </w:rPr>
      </w:pPr>
      <w:r w:rsidRPr="0033194E">
        <w:rPr>
          <w:rFonts w:ascii="Times New Roman" w:eastAsia="Times New Roman" w:hAnsi="Times New Roman" w:cs="Times New Roman"/>
          <w:b/>
          <w:sz w:val="24"/>
          <w:szCs w:val="24"/>
        </w:rPr>
        <w:t>Финансиране на дейностите на регионалните сдружения</w:t>
      </w:r>
    </w:p>
    <w:p w:rsidR="0063332C" w:rsidRDefault="00CE3DF1" w:rsidP="00CE3DF1">
      <w:pPr>
        <w:spacing w:after="120" w:line="276" w:lineRule="auto"/>
        <w:jc w:val="both"/>
        <w:rPr>
          <w:rFonts w:ascii="Times New Roman" w:eastAsia="Calibri" w:hAnsi="Times New Roman" w:cs="Times New Roman"/>
          <w:bCs/>
          <w:sz w:val="24"/>
          <w:szCs w:val="24"/>
          <w:lang w:eastAsia="bg-BG"/>
        </w:rPr>
      </w:pPr>
      <w:r w:rsidRPr="00CE3DF1">
        <w:rPr>
          <w:rFonts w:ascii="Times New Roman" w:eastAsia="Calibri" w:hAnsi="Times New Roman" w:cs="Times New Roman"/>
          <w:bCs/>
          <w:sz w:val="24"/>
          <w:szCs w:val="24"/>
          <w:lang w:eastAsia="bg-BG"/>
        </w:rPr>
        <w:t>Общото събрание взема решения за определяне на реда и начините за събиране и разпределение на дължимата цена от потребителите на системата (общините - членове на регионалното сдружение), както и за разпределението на задълженията между отделните общини за изпълнение на целите по чл. 31, ал. 1.</w:t>
      </w:r>
    </w:p>
    <w:p w:rsidR="00CE3DF1" w:rsidRPr="00CE3DF1" w:rsidRDefault="00CE3DF1" w:rsidP="00CE3DF1">
      <w:pPr>
        <w:spacing w:after="120" w:line="276" w:lineRule="auto"/>
        <w:jc w:val="both"/>
        <w:rPr>
          <w:rFonts w:ascii="Times New Roman" w:eastAsia="Calibri" w:hAnsi="Times New Roman" w:cs="Times New Roman"/>
          <w:bCs/>
          <w:sz w:val="24"/>
          <w:szCs w:val="24"/>
          <w:lang w:eastAsia="bg-BG"/>
        </w:rPr>
      </w:pPr>
      <w:r w:rsidRPr="00CE3DF1">
        <w:rPr>
          <w:rFonts w:ascii="Times New Roman" w:eastAsia="Calibri" w:hAnsi="Times New Roman" w:cs="Times New Roman"/>
          <w:bCs/>
          <w:sz w:val="24"/>
          <w:szCs w:val="24"/>
          <w:lang w:eastAsia="bg-BG"/>
        </w:rPr>
        <w:lastRenderedPageBreak/>
        <w:t xml:space="preserve"> Обикновено възможните източници са следните:</w:t>
      </w:r>
    </w:p>
    <w:p w:rsidR="00CE3DF1" w:rsidRPr="00CE3DF1" w:rsidRDefault="00CE3DF1" w:rsidP="00CE3DF1">
      <w:pPr>
        <w:numPr>
          <w:ilvl w:val="0"/>
          <w:numId w:val="19"/>
        </w:numPr>
        <w:spacing w:after="120" w:line="276" w:lineRule="auto"/>
        <w:contextualSpacing/>
        <w:jc w:val="both"/>
        <w:rPr>
          <w:rFonts w:ascii="Times New Roman" w:eastAsia="Times New Roman" w:hAnsi="Times New Roman" w:cs="Times New Roman"/>
          <w:sz w:val="24"/>
          <w:szCs w:val="24"/>
        </w:rPr>
      </w:pPr>
      <w:r w:rsidRPr="00CE3DF1">
        <w:rPr>
          <w:rFonts w:ascii="Times New Roman" w:eastAsia="Times New Roman" w:hAnsi="Times New Roman" w:cs="Times New Roman"/>
          <w:sz w:val="24"/>
          <w:szCs w:val="24"/>
        </w:rPr>
        <w:t>Такса битови отпадъци;</w:t>
      </w:r>
    </w:p>
    <w:p w:rsidR="00CE3DF1" w:rsidRPr="00CE3DF1" w:rsidRDefault="00CE3DF1" w:rsidP="00CE3DF1">
      <w:pPr>
        <w:numPr>
          <w:ilvl w:val="0"/>
          <w:numId w:val="19"/>
        </w:numPr>
        <w:spacing w:after="120" w:line="276" w:lineRule="auto"/>
        <w:jc w:val="both"/>
        <w:rPr>
          <w:rFonts w:ascii="Times New Roman" w:eastAsia="Times New Roman" w:hAnsi="Times New Roman" w:cs="Times New Roman"/>
          <w:sz w:val="24"/>
          <w:szCs w:val="24"/>
        </w:rPr>
      </w:pPr>
      <w:r w:rsidRPr="00CE3DF1">
        <w:rPr>
          <w:rFonts w:ascii="Times New Roman" w:eastAsia="Times New Roman" w:hAnsi="Times New Roman" w:cs="Times New Roman"/>
          <w:sz w:val="24"/>
          <w:szCs w:val="24"/>
        </w:rPr>
        <w:t>ОПОС - е водещият източник за финансиране на публична инфраструктура в управлението на битовите отпадъци. През програмен период 2007-2013 г. по програмата са финансирани инвестиционни проекти в 20 РСУО в т.ч.: клетки на депа за битови отпадъци с общ капацитет 6 408 887 тона; инсталации за предварително третиране на смесени битови отпадъци с общ капацитет 387 065 тона/год.; инсталации за компостиране на зелени отпадъци с общ капацитет 200 667 тона/год.; инсталации за анаеробно разграждане с общ капацитет 20 000 тона/год. и др. През програмен период 2014-2020 г. са финансирани инвестиционни проекти в 24 РСУО в т.ч.: за изграждане на инсталации за предварително третиране на отпадъци; инсталации за компостиране на зелени отпадъци и инсталации за анаеробно разграждане.</w:t>
      </w:r>
    </w:p>
    <w:p w:rsidR="00CE3DF1" w:rsidRPr="00CE3DF1" w:rsidRDefault="00CE3DF1" w:rsidP="00CE3DF1">
      <w:pPr>
        <w:numPr>
          <w:ilvl w:val="0"/>
          <w:numId w:val="19"/>
        </w:numPr>
        <w:suppressAutoHyphens/>
        <w:spacing w:after="120" w:line="276" w:lineRule="auto"/>
        <w:jc w:val="both"/>
        <w:rPr>
          <w:rFonts w:ascii="Times New Roman" w:eastAsia="Calibri" w:hAnsi="Times New Roman" w:cs="Times New Roman"/>
          <w:bCs/>
          <w:sz w:val="24"/>
          <w:szCs w:val="24"/>
          <w:lang w:eastAsia="ar-SA"/>
        </w:rPr>
      </w:pPr>
      <w:r w:rsidRPr="00CE3DF1">
        <w:rPr>
          <w:rFonts w:ascii="Times New Roman" w:eastAsia="Calibri" w:hAnsi="Times New Roman" w:cs="Times New Roman"/>
          <w:bCs/>
          <w:sz w:val="24"/>
          <w:szCs w:val="24"/>
          <w:lang w:eastAsia="ar-SA"/>
        </w:rPr>
        <w:t>Разпределяне на финанс</w:t>
      </w:r>
      <w:r w:rsidR="00212A4A">
        <w:rPr>
          <w:rFonts w:ascii="Times New Roman" w:eastAsia="Calibri" w:hAnsi="Times New Roman" w:cs="Times New Roman"/>
          <w:bCs/>
          <w:sz w:val="24"/>
          <w:szCs w:val="24"/>
          <w:lang w:eastAsia="ar-SA"/>
        </w:rPr>
        <w:t>ови ангажименти между общината и</w:t>
      </w:r>
      <w:r w:rsidRPr="00CE3DF1">
        <w:rPr>
          <w:rFonts w:ascii="Times New Roman" w:eastAsia="Calibri" w:hAnsi="Times New Roman" w:cs="Times New Roman"/>
          <w:bCs/>
          <w:sz w:val="24"/>
          <w:szCs w:val="24"/>
          <w:lang w:eastAsia="ar-SA"/>
        </w:rPr>
        <w:t xml:space="preserve"> организация за оползотворяване на отпадъци от опаковки;</w:t>
      </w:r>
    </w:p>
    <w:p w:rsidR="00CE3DF1" w:rsidRPr="00CE3DF1" w:rsidRDefault="00CE3DF1" w:rsidP="00CE3DF1">
      <w:pPr>
        <w:numPr>
          <w:ilvl w:val="0"/>
          <w:numId w:val="19"/>
        </w:numPr>
        <w:suppressAutoHyphens/>
        <w:spacing w:after="120" w:line="276" w:lineRule="auto"/>
        <w:jc w:val="both"/>
        <w:rPr>
          <w:rFonts w:ascii="Times New Roman" w:eastAsia="Calibri" w:hAnsi="Times New Roman" w:cs="Times New Roman"/>
          <w:bCs/>
          <w:sz w:val="24"/>
          <w:szCs w:val="24"/>
          <w:lang w:eastAsia="ar-SA"/>
        </w:rPr>
      </w:pPr>
      <w:r w:rsidRPr="00CE3DF1">
        <w:rPr>
          <w:rFonts w:ascii="Times New Roman" w:eastAsia="Calibri" w:hAnsi="Times New Roman" w:cs="Times New Roman"/>
          <w:bCs/>
          <w:sz w:val="24"/>
          <w:szCs w:val="24"/>
          <w:lang w:eastAsia="ar-SA"/>
        </w:rPr>
        <w:t>безлихвени заеми от Предприятието за управление на дейностите по опазване на околната среда</w:t>
      </w:r>
    </w:p>
    <w:p w:rsidR="00CE3DF1" w:rsidRPr="00CE3DF1" w:rsidRDefault="00CE3DF1" w:rsidP="00CE3DF1">
      <w:pPr>
        <w:numPr>
          <w:ilvl w:val="0"/>
          <w:numId w:val="19"/>
        </w:numPr>
        <w:spacing w:after="120" w:line="276" w:lineRule="auto"/>
        <w:contextualSpacing/>
        <w:jc w:val="both"/>
        <w:rPr>
          <w:rFonts w:ascii="Times New Roman" w:eastAsia="Times New Roman" w:hAnsi="Times New Roman" w:cs="Times New Roman"/>
          <w:sz w:val="24"/>
          <w:szCs w:val="24"/>
        </w:rPr>
      </w:pPr>
      <w:r w:rsidRPr="00CE3DF1">
        <w:rPr>
          <w:rFonts w:ascii="Times New Roman" w:eastAsia="Calibri" w:hAnsi="Times New Roman" w:cs="Times New Roman"/>
          <w:bCs/>
          <w:sz w:val="24"/>
          <w:szCs w:val="24"/>
          <w:lang w:eastAsia="ar-SA"/>
        </w:rPr>
        <w:t>поставяне на условие в тръжните документи при избор на изпълнители по ЗОП за осигуряване от избрания изпълнител на контейнери за изхвърляне на отпадъците и сметоизвозващи автомобили. В този случай услугата също се заплаща от общината, но я освобождава от ангажимента да осигури средства за целта от общинския бюджет, банково или друго кредитиране.</w:t>
      </w:r>
    </w:p>
    <w:p w:rsidR="00CE3DF1" w:rsidRPr="00CE3DF1" w:rsidRDefault="00CE3DF1" w:rsidP="00CE3DF1">
      <w:pPr>
        <w:spacing w:after="0" w:line="276" w:lineRule="auto"/>
        <w:jc w:val="both"/>
        <w:rPr>
          <w:rFonts w:ascii="Times New Roman" w:eastAsia="Calibri" w:hAnsi="Times New Roman" w:cs="Times New Roman"/>
          <w:sz w:val="24"/>
          <w:szCs w:val="24"/>
        </w:rPr>
      </w:pPr>
    </w:p>
    <w:p w:rsidR="00CE3DF1" w:rsidRPr="0033194E" w:rsidRDefault="00CE3DF1" w:rsidP="0033194E">
      <w:pPr>
        <w:pStyle w:val="ListParagraph"/>
        <w:numPr>
          <w:ilvl w:val="0"/>
          <w:numId w:val="45"/>
        </w:numPr>
        <w:tabs>
          <w:tab w:val="left" w:pos="426"/>
        </w:tabs>
        <w:spacing w:after="0" w:line="276" w:lineRule="auto"/>
        <w:jc w:val="both"/>
        <w:rPr>
          <w:rFonts w:ascii="Times New Roman" w:eastAsia="Calibri" w:hAnsi="Times New Roman" w:cs="Times New Roman"/>
          <w:b/>
          <w:sz w:val="24"/>
          <w:szCs w:val="24"/>
        </w:rPr>
      </w:pPr>
      <w:r w:rsidRPr="0033194E">
        <w:rPr>
          <w:rFonts w:ascii="Times New Roman" w:eastAsia="Calibri" w:hAnsi="Times New Roman" w:cs="Times New Roman"/>
          <w:b/>
          <w:sz w:val="24"/>
          <w:szCs w:val="24"/>
        </w:rPr>
        <w:t>Взаимодействие със заинтересовани страни за организация на конкретни дейности</w:t>
      </w:r>
    </w:p>
    <w:p w:rsidR="00CE3DF1" w:rsidRPr="00CE3DF1" w:rsidRDefault="00CE3DF1" w:rsidP="00CE3DF1">
      <w:pPr>
        <w:spacing w:after="0" w:line="276" w:lineRule="auto"/>
        <w:jc w:val="both"/>
        <w:rPr>
          <w:rFonts w:ascii="Times New Roman" w:eastAsia="Calibri" w:hAnsi="Times New Roman" w:cs="Times New Roman"/>
          <w:sz w:val="24"/>
          <w:szCs w:val="24"/>
        </w:rPr>
      </w:pPr>
    </w:p>
    <w:p w:rsidR="00CE3DF1" w:rsidRPr="00CE3DF1" w:rsidRDefault="00CE3DF1" w:rsidP="00CE3DF1">
      <w:p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Освен организациите по оползотворяване, заинтересовани страни могат да бъдат:</w:t>
      </w:r>
    </w:p>
    <w:p w:rsidR="00CE3DF1" w:rsidRPr="00CE3DF1" w:rsidRDefault="00CE3DF1" w:rsidP="00CE3DF1">
      <w:pPr>
        <w:spacing w:after="0" w:line="276" w:lineRule="auto"/>
        <w:jc w:val="both"/>
        <w:rPr>
          <w:rFonts w:ascii="Times New Roman" w:eastAsia="Calibri" w:hAnsi="Times New Roman" w:cs="Times New Roman"/>
          <w:sz w:val="24"/>
          <w:szCs w:val="24"/>
        </w:rPr>
      </w:pPr>
    </w:p>
    <w:p w:rsidR="00CE3DF1" w:rsidRPr="00CE3DF1" w:rsidRDefault="00CE3DF1" w:rsidP="00CE3DF1">
      <w:pPr>
        <w:spacing w:after="0" w:line="276" w:lineRule="auto"/>
        <w:jc w:val="both"/>
        <w:rPr>
          <w:rFonts w:ascii="Times New Roman" w:eastAsia="Calibri" w:hAnsi="Times New Roman" w:cs="Times New Roman"/>
          <w:b/>
          <w:i/>
          <w:sz w:val="24"/>
          <w:szCs w:val="24"/>
        </w:rPr>
      </w:pPr>
      <w:r w:rsidRPr="00CE3DF1">
        <w:rPr>
          <w:rFonts w:ascii="Times New Roman" w:eastAsia="Calibri" w:hAnsi="Times New Roman" w:cs="Times New Roman"/>
          <w:b/>
          <w:i/>
          <w:sz w:val="24"/>
          <w:szCs w:val="24"/>
        </w:rPr>
        <w:t>Граждански и неправителствени организации (НПО)</w:t>
      </w:r>
    </w:p>
    <w:p w:rsidR="00CE3DF1" w:rsidRPr="00CE3DF1" w:rsidRDefault="00CE3DF1" w:rsidP="00CE3DF1">
      <w:p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Неправителствените организации са основна част от гражданското общество или т.нар. трети сектор (след правителството и бизнеса). Хората, които са в неправителствените организации, посвещават знанията и уменията си за разрешаването на различни проблеми, например при управлението на отпадъците и това ги прави добре подготвени да изискват действия, адекватни на нуждите на хората.</w:t>
      </w:r>
    </w:p>
    <w:p w:rsidR="00CE3DF1" w:rsidRPr="00CE3DF1" w:rsidRDefault="00CE3DF1" w:rsidP="00CE3DF1">
      <w:p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НПО могат да са полезни в следните дейности:</w:t>
      </w:r>
    </w:p>
    <w:p w:rsidR="00CE3DF1" w:rsidRPr="00CE3DF1" w:rsidRDefault="00CE3DF1" w:rsidP="00CE3DF1">
      <w:pPr>
        <w:numPr>
          <w:ilvl w:val="0"/>
          <w:numId w:val="14"/>
        </w:num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Образователни кампании по отношение на предотвратяване образуването на отпадъци и рециклирането напр. чрез писмено, устно и/или визуално послание така, че населението да бъде запознато със значението на разделянето при източника, както и за важността интегриране на дейностите по повторна употреба и подготовка за повторна употреба.</w:t>
      </w:r>
    </w:p>
    <w:p w:rsidR="00CE3DF1" w:rsidRPr="00CE3DF1" w:rsidRDefault="00CE3DF1" w:rsidP="00CE3DF1">
      <w:pPr>
        <w:numPr>
          <w:ilvl w:val="0"/>
          <w:numId w:val="14"/>
        </w:num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Публикуване на различни статии и книги, както и видеоклипове за училища и институции, които управляват битови отпадъци.</w:t>
      </w:r>
    </w:p>
    <w:p w:rsidR="00CE3DF1" w:rsidRPr="00CE3DF1" w:rsidRDefault="00CE3DF1" w:rsidP="00CE3DF1">
      <w:pPr>
        <w:numPr>
          <w:ilvl w:val="0"/>
          <w:numId w:val="14"/>
        </w:num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lastRenderedPageBreak/>
        <w:t>Организиране на благотворителни магазини, базари, вкл. онлайн магазини, интернет-форуми за обмен на информация, организирани форуми за размяна на предмети и ремонтирани уреди/оборудване на местно ниво.</w:t>
      </w:r>
    </w:p>
    <w:p w:rsidR="00CE3DF1" w:rsidRPr="00CE3DF1" w:rsidRDefault="00CE3DF1" w:rsidP="00CE3DF1">
      <w:pPr>
        <w:spacing w:after="0" w:line="276" w:lineRule="auto"/>
        <w:jc w:val="both"/>
        <w:rPr>
          <w:rFonts w:ascii="Times New Roman" w:eastAsia="Calibri" w:hAnsi="Times New Roman" w:cs="Times New Roman"/>
          <w:sz w:val="24"/>
          <w:szCs w:val="24"/>
        </w:rPr>
      </w:pPr>
    </w:p>
    <w:p w:rsidR="00CE3DF1" w:rsidRPr="00CE3DF1" w:rsidRDefault="00CE3DF1" w:rsidP="00CE3DF1">
      <w:pPr>
        <w:spacing w:after="0" w:line="276" w:lineRule="auto"/>
        <w:jc w:val="both"/>
        <w:rPr>
          <w:rFonts w:ascii="Times New Roman" w:eastAsia="Calibri" w:hAnsi="Times New Roman" w:cs="Times New Roman"/>
          <w:b/>
          <w:i/>
          <w:sz w:val="24"/>
          <w:szCs w:val="24"/>
        </w:rPr>
      </w:pPr>
      <w:r w:rsidRPr="00CE3DF1">
        <w:rPr>
          <w:rFonts w:ascii="Times New Roman" w:eastAsia="Calibri" w:hAnsi="Times New Roman" w:cs="Times New Roman"/>
          <w:b/>
          <w:i/>
          <w:sz w:val="24"/>
          <w:szCs w:val="24"/>
        </w:rPr>
        <w:t>Търговските вериги  в сътрудничество със социалните институции</w:t>
      </w:r>
    </w:p>
    <w:p w:rsidR="00CE3DF1" w:rsidRPr="00CE3DF1" w:rsidRDefault="00CE3DF1" w:rsidP="00CE3DF1">
      <w:pPr>
        <w:spacing w:after="0" w:line="276"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rPr>
        <w:t>Големите търговски</w:t>
      </w:r>
      <w:r w:rsidRPr="00CE3DF1">
        <w:rPr>
          <w:rFonts w:ascii="Times New Roman" w:eastAsia="Calibri" w:hAnsi="Times New Roman" w:cs="Times New Roman"/>
          <w:sz w:val="24"/>
          <w:szCs w:val="24"/>
        </w:rPr>
        <w:t xml:space="preserve"> вериги, заедно със социалните институции могат да бъдат добър пример за ефективното сътрудничество в областта. Към момента, големите търговски вериги, следват две цели в рамките на международната стратегия </w:t>
      </w:r>
      <w:r w:rsidRPr="00CE3DF1">
        <w:rPr>
          <w:rFonts w:ascii="Times New Roman" w:eastAsia="Calibri" w:hAnsi="Times New Roman" w:cs="Times New Roman"/>
          <w:sz w:val="24"/>
          <w:szCs w:val="24"/>
          <w:lang w:val="en-US"/>
        </w:rPr>
        <w:t>REset</w:t>
      </w:r>
      <w:r w:rsidRPr="00CE3DF1">
        <w:rPr>
          <w:rFonts w:ascii="Times New Roman" w:eastAsia="Calibri" w:hAnsi="Times New Roman" w:cs="Times New Roman"/>
          <w:sz w:val="24"/>
          <w:szCs w:val="24"/>
          <w:lang w:val="ru-RU"/>
        </w:rPr>
        <w:t xml:space="preserve"> </w:t>
      </w:r>
      <w:r w:rsidRPr="00CE3DF1">
        <w:rPr>
          <w:rFonts w:ascii="Times New Roman" w:eastAsia="Calibri" w:hAnsi="Times New Roman" w:cs="Times New Roman"/>
          <w:sz w:val="24"/>
          <w:szCs w:val="24"/>
          <w:lang w:val="en-US"/>
        </w:rPr>
        <w:t>Plastics</w:t>
      </w:r>
      <w:r w:rsidRPr="00CE3DF1">
        <w:rPr>
          <w:rFonts w:ascii="Times New Roman" w:eastAsia="Calibri" w:hAnsi="Times New Roman" w:cs="Times New Roman"/>
          <w:sz w:val="24"/>
          <w:szCs w:val="24"/>
          <w:lang w:val="ru-RU"/>
        </w:rPr>
        <w:t>:</w:t>
      </w:r>
    </w:p>
    <w:p w:rsidR="00CE3DF1" w:rsidRPr="00CE3DF1" w:rsidRDefault="00CE3DF1" w:rsidP="00CE3DF1">
      <w:pPr>
        <w:numPr>
          <w:ilvl w:val="0"/>
          <w:numId w:val="14"/>
        </w:numPr>
        <w:spacing w:after="0" w:line="276" w:lineRule="auto"/>
        <w:jc w:val="both"/>
        <w:rPr>
          <w:rFonts w:ascii="Times New Roman" w:eastAsia="Calibri" w:hAnsi="Times New Roman" w:cs="Times New Roman"/>
          <w:sz w:val="24"/>
          <w:szCs w:val="24"/>
          <w:lang w:val="ru-RU"/>
        </w:rPr>
      </w:pPr>
      <w:r w:rsidRPr="00CE3DF1">
        <w:rPr>
          <w:rFonts w:ascii="Times New Roman" w:eastAsia="Calibri" w:hAnsi="Times New Roman" w:cs="Times New Roman"/>
          <w:sz w:val="24"/>
          <w:szCs w:val="24"/>
        </w:rPr>
        <w:t>Да се намали с 20% използваната пластмаса в опаковката на продуктите;</w:t>
      </w:r>
    </w:p>
    <w:p w:rsidR="00CE3DF1" w:rsidRPr="00CE3DF1" w:rsidRDefault="00CE3DF1" w:rsidP="00CE3DF1">
      <w:pPr>
        <w:numPr>
          <w:ilvl w:val="0"/>
          <w:numId w:val="14"/>
        </w:numPr>
        <w:spacing w:after="0" w:line="276" w:lineRule="auto"/>
        <w:jc w:val="both"/>
        <w:rPr>
          <w:rFonts w:ascii="Times New Roman" w:eastAsia="Calibri" w:hAnsi="Times New Roman" w:cs="Times New Roman"/>
          <w:sz w:val="24"/>
          <w:szCs w:val="24"/>
          <w:lang w:val="ru-RU"/>
        </w:rPr>
      </w:pPr>
      <w:r w:rsidRPr="00CE3DF1">
        <w:rPr>
          <w:rFonts w:ascii="Times New Roman" w:eastAsia="Calibri" w:hAnsi="Times New Roman" w:cs="Times New Roman"/>
          <w:sz w:val="24"/>
          <w:szCs w:val="24"/>
        </w:rPr>
        <w:t>100 % от тях да са максимално рециклируеми;</w:t>
      </w:r>
    </w:p>
    <w:p w:rsidR="0005792E" w:rsidRDefault="00CE3DF1" w:rsidP="00E625C9">
      <w:p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Големите търговски вериги разпол</w:t>
      </w:r>
      <w:r>
        <w:rPr>
          <w:rFonts w:ascii="Times New Roman" w:eastAsia="Calibri" w:hAnsi="Times New Roman" w:cs="Times New Roman"/>
          <w:sz w:val="24"/>
          <w:szCs w:val="24"/>
        </w:rPr>
        <w:t>а</w:t>
      </w:r>
      <w:r w:rsidRPr="00CE3DF1">
        <w:rPr>
          <w:rFonts w:ascii="Times New Roman" w:eastAsia="Calibri" w:hAnsi="Times New Roman" w:cs="Times New Roman"/>
          <w:sz w:val="24"/>
          <w:szCs w:val="24"/>
        </w:rPr>
        <w:t>гат с контейнери за събиране на НУБА, контейнери за текстилни отпадъци (пример Лидл България), събират разделно отпадъците от опаковки. Примерите от Европа показват, че за намаляване на отпадъците от опаковки в големите търговски вериги могат да бъдат поставени и субсидирани дозатори на перилни препарати, придружени от разбираема информационна кампания.</w:t>
      </w:r>
      <w:r w:rsidR="00212A4A">
        <w:rPr>
          <w:rFonts w:ascii="Times New Roman" w:eastAsia="Calibri" w:hAnsi="Times New Roman" w:cs="Times New Roman"/>
          <w:sz w:val="24"/>
          <w:szCs w:val="24"/>
        </w:rPr>
        <w:t xml:space="preserve"> </w:t>
      </w:r>
    </w:p>
    <w:p w:rsidR="00657619" w:rsidRDefault="00212A4A" w:rsidP="00E625C9">
      <w:pPr>
        <w:spacing w:after="0" w:line="276" w:lineRule="auto"/>
        <w:jc w:val="both"/>
        <w:rPr>
          <w:rFonts w:ascii="Times New Roman" w:eastAsia="Calibri" w:hAnsi="Times New Roman" w:cs="Times New Roman"/>
          <w:color w:val="5B9BD5" w:themeColor="accent1"/>
          <w:sz w:val="24"/>
          <w:szCs w:val="24"/>
        </w:rPr>
      </w:pPr>
      <w:r w:rsidRPr="00E625C9">
        <w:rPr>
          <w:rFonts w:ascii="Times New Roman" w:eastAsia="Calibri" w:hAnsi="Times New Roman" w:cs="Times New Roman"/>
          <w:color w:val="5B9BD5" w:themeColor="accent1"/>
          <w:sz w:val="24"/>
          <w:szCs w:val="24"/>
        </w:rPr>
        <w:t xml:space="preserve">Към момента се </w:t>
      </w:r>
      <w:r w:rsidR="0005792E">
        <w:rPr>
          <w:rFonts w:ascii="Times New Roman" w:eastAsia="Calibri" w:hAnsi="Times New Roman" w:cs="Times New Roman"/>
          <w:color w:val="5B9BD5" w:themeColor="accent1"/>
          <w:sz w:val="24"/>
          <w:szCs w:val="24"/>
        </w:rPr>
        <w:t xml:space="preserve">водят преговори и се </w:t>
      </w:r>
      <w:r w:rsidRPr="00E625C9">
        <w:rPr>
          <w:rFonts w:ascii="Times New Roman" w:eastAsia="Calibri" w:hAnsi="Times New Roman" w:cs="Times New Roman"/>
          <w:color w:val="5B9BD5" w:themeColor="accent1"/>
          <w:sz w:val="24"/>
          <w:szCs w:val="24"/>
        </w:rPr>
        <w:t>работи в посока въвеждане на депозитна система за опаковки в България, като целта е с нейното въвеждане отпадъците да бъдат превърнати в ресурси.</w:t>
      </w:r>
      <w:r w:rsidR="00E625C9" w:rsidRPr="00E625C9">
        <w:t xml:space="preserve"> </w:t>
      </w:r>
      <w:r w:rsidR="00E625C9" w:rsidRPr="00E625C9">
        <w:rPr>
          <w:rFonts w:ascii="Times New Roman" w:eastAsia="Calibri" w:hAnsi="Times New Roman" w:cs="Times New Roman"/>
          <w:color w:val="5B9BD5" w:themeColor="accent1"/>
          <w:sz w:val="24"/>
          <w:szCs w:val="24"/>
        </w:rPr>
        <w:t>Депозитната система е метод за събиране на отпадъците, в който се включва паричен стимул. Тя се базира на малка допълнителна сума, добавена към цената на закупената напитка, която се възстановява на потребителя на 100 процента при връщането на празната опаковка на продукта в пункта за събиране</w:t>
      </w:r>
      <w:r w:rsidR="00E625C9">
        <w:rPr>
          <w:rFonts w:ascii="Times New Roman" w:eastAsia="Calibri" w:hAnsi="Times New Roman" w:cs="Times New Roman"/>
          <w:color w:val="5B9BD5" w:themeColor="accent1"/>
          <w:sz w:val="24"/>
          <w:szCs w:val="24"/>
        </w:rPr>
        <w:t xml:space="preserve">. </w:t>
      </w:r>
      <w:r w:rsidR="00E625C9" w:rsidRPr="00E625C9">
        <w:rPr>
          <w:rFonts w:ascii="Times New Roman" w:eastAsia="Calibri" w:hAnsi="Times New Roman" w:cs="Times New Roman"/>
          <w:color w:val="5B9BD5" w:themeColor="accent1"/>
          <w:sz w:val="24"/>
          <w:szCs w:val="24"/>
        </w:rPr>
        <w:t xml:space="preserve">Финансовият ангажимент за тази система ще бъде при производителите и търговските обекти. </w:t>
      </w:r>
    </w:p>
    <w:p w:rsidR="00657619" w:rsidRDefault="00657619" w:rsidP="00E625C9">
      <w:pPr>
        <w:spacing w:after="0" w:line="276" w:lineRule="auto"/>
        <w:jc w:val="both"/>
        <w:rPr>
          <w:rFonts w:ascii="Times New Roman" w:eastAsia="Calibri" w:hAnsi="Times New Roman" w:cs="Times New Roman"/>
          <w:color w:val="5B9BD5" w:themeColor="accent1"/>
          <w:sz w:val="24"/>
          <w:szCs w:val="24"/>
        </w:rPr>
      </w:pPr>
      <w:r>
        <w:rPr>
          <w:rFonts w:ascii="Times New Roman" w:eastAsia="Calibri" w:hAnsi="Times New Roman" w:cs="Times New Roman"/>
          <w:color w:val="5B9BD5" w:themeColor="accent1"/>
          <w:sz w:val="24"/>
          <w:szCs w:val="24"/>
        </w:rPr>
        <w:t xml:space="preserve">Ползата за </w:t>
      </w:r>
      <w:r w:rsidR="00E625C9" w:rsidRPr="00E625C9">
        <w:rPr>
          <w:rFonts w:ascii="Times New Roman" w:eastAsia="Calibri" w:hAnsi="Times New Roman" w:cs="Times New Roman"/>
          <w:color w:val="5B9BD5" w:themeColor="accent1"/>
          <w:sz w:val="24"/>
          <w:szCs w:val="24"/>
        </w:rPr>
        <w:t xml:space="preserve">общините </w:t>
      </w:r>
      <w:r>
        <w:rPr>
          <w:rFonts w:ascii="Times New Roman" w:eastAsia="Calibri" w:hAnsi="Times New Roman" w:cs="Times New Roman"/>
          <w:color w:val="5B9BD5" w:themeColor="accent1"/>
          <w:sz w:val="24"/>
          <w:szCs w:val="24"/>
        </w:rPr>
        <w:t xml:space="preserve">е, че </w:t>
      </w:r>
      <w:r w:rsidR="00E625C9" w:rsidRPr="00E625C9">
        <w:rPr>
          <w:rFonts w:ascii="Times New Roman" w:eastAsia="Calibri" w:hAnsi="Times New Roman" w:cs="Times New Roman"/>
          <w:color w:val="5B9BD5" w:themeColor="accent1"/>
          <w:sz w:val="24"/>
          <w:szCs w:val="24"/>
        </w:rPr>
        <w:t>ще спечелят от този процес, защото голямо количество от тези опаковки изтича и н</w:t>
      </w:r>
      <w:r w:rsidR="00E625C9">
        <w:rPr>
          <w:rFonts w:ascii="Times New Roman" w:eastAsia="Calibri" w:hAnsi="Times New Roman" w:cs="Times New Roman"/>
          <w:color w:val="5B9BD5" w:themeColor="accent1"/>
          <w:sz w:val="24"/>
          <w:szCs w:val="24"/>
        </w:rPr>
        <w:t>е стига до мястото за рециклир</w:t>
      </w:r>
      <w:r w:rsidR="00E625C9" w:rsidRPr="00E625C9">
        <w:rPr>
          <w:rFonts w:ascii="Times New Roman" w:eastAsia="Calibri" w:hAnsi="Times New Roman" w:cs="Times New Roman"/>
          <w:color w:val="5B9BD5" w:themeColor="accent1"/>
          <w:sz w:val="24"/>
          <w:szCs w:val="24"/>
        </w:rPr>
        <w:t xml:space="preserve">ане. Много често </w:t>
      </w:r>
      <w:r w:rsidR="00E625C9">
        <w:rPr>
          <w:rFonts w:ascii="Times New Roman" w:eastAsia="Calibri" w:hAnsi="Times New Roman" w:cs="Times New Roman"/>
          <w:color w:val="5B9BD5" w:themeColor="accent1"/>
          <w:sz w:val="24"/>
          <w:szCs w:val="24"/>
        </w:rPr>
        <w:t>опаковките</w:t>
      </w:r>
      <w:r w:rsidR="00E625C9" w:rsidRPr="00E625C9">
        <w:rPr>
          <w:rFonts w:ascii="Times New Roman" w:eastAsia="Calibri" w:hAnsi="Times New Roman" w:cs="Times New Roman"/>
          <w:color w:val="5B9BD5" w:themeColor="accent1"/>
          <w:sz w:val="24"/>
          <w:szCs w:val="24"/>
        </w:rPr>
        <w:t xml:space="preserve"> попадат в смесения битов отпадък, има и нерегламентирано замърсяване на зелени площи</w:t>
      </w:r>
      <w:r>
        <w:rPr>
          <w:rFonts w:ascii="Times New Roman" w:eastAsia="Calibri" w:hAnsi="Times New Roman" w:cs="Times New Roman"/>
          <w:color w:val="5B9BD5" w:themeColor="accent1"/>
          <w:sz w:val="24"/>
          <w:szCs w:val="24"/>
        </w:rPr>
        <w:t>, което генерира разходи на общинските администрации.</w:t>
      </w:r>
    </w:p>
    <w:p w:rsidR="00CE3DF1" w:rsidRDefault="0005792E" w:rsidP="00E625C9">
      <w:pPr>
        <w:spacing w:after="0" w:line="276" w:lineRule="auto"/>
        <w:jc w:val="both"/>
        <w:rPr>
          <w:rFonts w:ascii="Times New Roman" w:eastAsia="Calibri" w:hAnsi="Times New Roman" w:cs="Times New Roman"/>
          <w:color w:val="5B9BD5" w:themeColor="accent1"/>
          <w:sz w:val="24"/>
          <w:szCs w:val="24"/>
        </w:rPr>
      </w:pPr>
      <w:r>
        <w:rPr>
          <w:rFonts w:ascii="Times New Roman" w:eastAsia="Calibri" w:hAnsi="Times New Roman" w:cs="Times New Roman"/>
          <w:color w:val="5B9BD5" w:themeColor="accent1"/>
          <w:sz w:val="24"/>
          <w:szCs w:val="24"/>
        </w:rPr>
        <w:t>В</w:t>
      </w:r>
      <w:r w:rsidRPr="0005792E">
        <w:rPr>
          <w:rFonts w:ascii="Times New Roman" w:eastAsia="Calibri" w:hAnsi="Times New Roman" w:cs="Times New Roman"/>
          <w:color w:val="5B9BD5" w:themeColor="accent1"/>
          <w:sz w:val="24"/>
          <w:szCs w:val="24"/>
        </w:rPr>
        <w:t>сички 12 държави в Европа, използващи депозитна система, постигат изключителни резултати</w:t>
      </w:r>
      <w:r w:rsidR="00657619">
        <w:rPr>
          <w:rFonts w:ascii="Times New Roman" w:eastAsia="Calibri" w:hAnsi="Times New Roman" w:cs="Times New Roman"/>
          <w:color w:val="5B9BD5" w:themeColor="accent1"/>
          <w:sz w:val="24"/>
          <w:szCs w:val="24"/>
        </w:rPr>
        <w:t>.</w:t>
      </w:r>
    </w:p>
    <w:p w:rsidR="00657619" w:rsidRPr="00657619" w:rsidRDefault="00657619" w:rsidP="00E625C9">
      <w:pPr>
        <w:spacing w:after="0" w:line="276" w:lineRule="auto"/>
        <w:jc w:val="both"/>
        <w:rPr>
          <w:rFonts w:ascii="Times New Roman" w:eastAsia="Calibri" w:hAnsi="Times New Roman" w:cs="Times New Roman"/>
          <w:i/>
          <w:color w:val="5B9BD5" w:themeColor="accent1"/>
          <w:sz w:val="24"/>
          <w:szCs w:val="24"/>
        </w:rPr>
      </w:pPr>
    </w:p>
    <w:p w:rsidR="00657619" w:rsidRPr="00657619" w:rsidRDefault="00657619" w:rsidP="00E625C9">
      <w:pPr>
        <w:spacing w:after="0" w:line="276" w:lineRule="auto"/>
        <w:jc w:val="both"/>
        <w:rPr>
          <w:rFonts w:ascii="Times New Roman" w:eastAsia="Calibri" w:hAnsi="Times New Roman" w:cs="Times New Roman"/>
          <w:i/>
          <w:color w:val="5B9BD5" w:themeColor="accent1"/>
          <w:sz w:val="24"/>
          <w:szCs w:val="24"/>
        </w:rPr>
      </w:pPr>
      <w:r w:rsidRPr="00657619">
        <w:rPr>
          <w:rFonts w:ascii="Times New Roman" w:eastAsia="Calibri" w:hAnsi="Times New Roman" w:cs="Times New Roman"/>
          <w:i/>
          <w:color w:val="5B9BD5" w:themeColor="accent1"/>
          <w:sz w:val="24"/>
          <w:szCs w:val="24"/>
        </w:rPr>
        <w:t>Добри европейски практики:</w:t>
      </w:r>
    </w:p>
    <w:p w:rsidR="00657619" w:rsidRPr="00657619" w:rsidRDefault="00657619" w:rsidP="00E625C9">
      <w:pPr>
        <w:spacing w:after="0" w:line="276" w:lineRule="auto"/>
        <w:jc w:val="both"/>
        <w:rPr>
          <w:rStyle w:val="Strong"/>
          <w:rFonts w:ascii="Times New Roman" w:hAnsi="Times New Roman" w:cs="Times New Roman"/>
          <w:color w:val="5B9BD5" w:themeColor="accent1"/>
          <w:sz w:val="24"/>
          <w:szCs w:val="24"/>
          <w:shd w:val="clear" w:color="auto" w:fill="FFFFFF"/>
        </w:rPr>
      </w:pPr>
      <w:r w:rsidRPr="00657619">
        <w:rPr>
          <w:rStyle w:val="Strong"/>
          <w:rFonts w:ascii="Times New Roman" w:hAnsi="Times New Roman" w:cs="Times New Roman"/>
          <w:color w:val="5B9BD5" w:themeColor="accent1"/>
          <w:sz w:val="24"/>
          <w:szCs w:val="24"/>
          <w:shd w:val="clear" w:color="auto" w:fill="FFFFFF"/>
        </w:rPr>
        <w:t>Швеция, Финландия и Естония могат да бъдат пример за подражание</w:t>
      </w:r>
    </w:p>
    <w:p w:rsidR="00657619" w:rsidRDefault="00657619" w:rsidP="00657619">
      <w:pPr>
        <w:spacing w:after="0" w:line="276" w:lineRule="auto"/>
        <w:jc w:val="both"/>
        <w:rPr>
          <w:rFonts w:ascii="Times New Roman" w:eastAsia="Calibri" w:hAnsi="Times New Roman" w:cs="Times New Roman"/>
          <w:color w:val="5B9BD5" w:themeColor="accent1"/>
          <w:sz w:val="24"/>
          <w:szCs w:val="24"/>
        </w:rPr>
      </w:pPr>
      <w:r w:rsidRPr="00657619">
        <w:rPr>
          <w:rFonts w:ascii="Times New Roman" w:eastAsia="Calibri" w:hAnsi="Times New Roman" w:cs="Times New Roman"/>
          <w:color w:val="5B9BD5" w:themeColor="accent1"/>
          <w:sz w:val="24"/>
          <w:szCs w:val="24"/>
        </w:rPr>
        <w:t>Швеция е най-старата европейска депозитна система за опаковки от напитки за еднократна употреба, въведена през 1984 г. успешен пример за развитие на кръговата икономика на местно ниво. Страната успява да затвори цикъла на производство и рециклиране на пластмасовите бутилки изцяло на местния пазар. По този начин събраните над 90 процента материали не се изнасят в друга държава-членка на ЕС или други страни. Те остават на местния пазар и се използват от местния производител за производство на нови бутилки от 100 процента рециклирана пластмаса. Системният оператор е създал модела на базата на рециклиране "от врата до врата" и правото на първи отказ. Всички събрани бутилки се обработват в една и съща зона.</w:t>
      </w:r>
    </w:p>
    <w:p w:rsidR="00657619" w:rsidRPr="00657619" w:rsidRDefault="00657619" w:rsidP="00657619">
      <w:pPr>
        <w:spacing w:after="0" w:line="276" w:lineRule="auto"/>
        <w:jc w:val="both"/>
        <w:rPr>
          <w:rFonts w:ascii="Times New Roman" w:eastAsia="Calibri" w:hAnsi="Times New Roman" w:cs="Times New Roman"/>
          <w:color w:val="5B9BD5" w:themeColor="accent1"/>
          <w:sz w:val="24"/>
          <w:szCs w:val="24"/>
        </w:rPr>
      </w:pPr>
      <w:r w:rsidRPr="00657619">
        <w:rPr>
          <w:rFonts w:ascii="Times New Roman" w:eastAsia="Calibri" w:hAnsi="Times New Roman" w:cs="Times New Roman"/>
          <w:color w:val="5B9BD5" w:themeColor="accent1"/>
          <w:sz w:val="24"/>
          <w:szCs w:val="24"/>
        </w:rPr>
        <w:t xml:space="preserve">Финландия има население от 5,25 милиона души, което я прави най-рядко населената страна в Европа след Норвегия и Исландия. Въпреки това депозитната система в страната обхваща много широка гама от продукти - пластмасови бутилки, метални кенове и стъклени бутилки, включително и за твърд алкохол. Депозитната система е доброволна.  </w:t>
      </w:r>
      <w:r w:rsidRPr="00657619">
        <w:rPr>
          <w:rFonts w:ascii="Times New Roman" w:eastAsia="Calibri" w:hAnsi="Times New Roman" w:cs="Times New Roman"/>
          <w:color w:val="5B9BD5" w:themeColor="accent1"/>
          <w:sz w:val="24"/>
          <w:szCs w:val="24"/>
        </w:rPr>
        <w:lastRenderedPageBreak/>
        <w:t xml:space="preserve">Производителите могат да заплатят такса от 0,5 евро за литър продукт (тарифа 22) или да се включат в схема за използване на лицензиран депозит. </w:t>
      </w:r>
    </w:p>
    <w:p w:rsidR="00657619" w:rsidRDefault="00657619" w:rsidP="00657619">
      <w:pPr>
        <w:spacing w:after="0" w:line="276" w:lineRule="auto"/>
        <w:jc w:val="both"/>
        <w:rPr>
          <w:rFonts w:ascii="Times New Roman" w:eastAsia="Calibri" w:hAnsi="Times New Roman" w:cs="Times New Roman"/>
          <w:color w:val="5B9BD5" w:themeColor="accent1"/>
          <w:sz w:val="24"/>
          <w:szCs w:val="24"/>
        </w:rPr>
      </w:pPr>
      <w:r w:rsidRPr="00657619">
        <w:rPr>
          <w:rFonts w:ascii="Times New Roman" w:eastAsia="Calibri" w:hAnsi="Times New Roman" w:cs="Times New Roman"/>
          <w:color w:val="5B9BD5" w:themeColor="accent1"/>
          <w:sz w:val="24"/>
          <w:szCs w:val="24"/>
        </w:rPr>
        <w:t>Данни на системния оператор Palpa показват, че всеки финландец връща средно 265 кенове, 109 пластмасови бутилки, 27 стъклени бутилки, или общо над 400 опаковки годишно</w:t>
      </w:r>
      <w:r>
        <w:rPr>
          <w:rFonts w:ascii="Times New Roman" w:eastAsia="Calibri" w:hAnsi="Times New Roman" w:cs="Times New Roman"/>
          <w:color w:val="5B9BD5" w:themeColor="accent1"/>
          <w:sz w:val="24"/>
          <w:szCs w:val="24"/>
        </w:rPr>
        <w:t>.</w:t>
      </w:r>
    </w:p>
    <w:p w:rsidR="00657619" w:rsidRPr="00657619" w:rsidRDefault="00657619" w:rsidP="00657619">
      <w:pPr>
        <w:spacing w:after="0" w:line="276" w:lineRule="auto"/>
        <w:jc w:val="both"/>
        <w:rPr>
          <w:rFonts w:ascii="Times New Roman" w:eastAsia="Calibri" w:hAnsi="Times New Roman" w:cs="Times New Roman"/>
          <w:color w:val="5B9BD5" w:themeColor="accent1"/>
          <w:sz w:val="24"/>
          <w:szCs w:val="24"/>
        </w:rPr>
      </w:pPr>
      <w:r>
        <w:rPr>
          <w:rFonts w:ascii="Times New Roman" w:eastAsia="Calibri" w:hAnsi="Times New Roman" w:cs="Times New Roman"/>
          <w:color w:val="5B9BD5" w:themeColor="accent1"/>
          <w:sz w:val="24"/>
          <w:szCs w:val="24"/>
        </w:rPr>
        <w:t>Е</w:t>
      </w:r>
      <w:r w:rsidRPr="00657619">
        <w:rPr>
          <w:rFonts w:ascii="Times New Roman" w:eastAsia="Calibri" w:hAnsi="Times New Roman" w:cs="Times New Roman"/>
          <w:color w:val="5B9BD5" w:themeColor="accent1"/>
          <w:sz w:val="24"/>
          <w:szCs w:val="24"/>
        </w:rPr>
        <w:t>стонската депозитна система е най-старата в Източна Европа, въведена е през 2005 г.  Системният оператор е клирингова къща не само за опаковки за еднократна употреба, но и за бутилки за многократна употреба. Те са първите, предложили решения за многократно пълнене на опаковките за напитки, продавани на масови мероприятия и собственик на линията за почистване на чаши за многократна употреба.</w:t>
      </w:r>
    </w:p>
    <w:p w:rsidR="00657619" w:rsidRPr="00657619" w:rsidRDefault="00657619" w:rsidP="00657619">
      <w:pPr>
        <w:spacing w:after="0" w:line="276" w:lineRule="auto"/>
        <w:jc w:val="both"/>
        <w:rPr>
          <w:rFonts w:ascii="Times New Roman" w:eastAsia="Calibri" w:hAnsi="Times New Roman" w:cs="Times New Roman"/>
          <w:color w:val="5B9BD5" w:themeColor="accent1"/>
          <w:sz w:val="24"/>
          <w:szCs w:val="24"/>
        </w:rPr>
      </w:pPr>
    </w:p>
    <w:p w:rsidR="00CE3DF1" w:rsidRPr="00CE3DF1" w:rsidRDefault="00CE3DF1" w:rsidP="00CE3DF1">
      <w:pPr>
        <w:spacing w:after="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Социалните институции могат да спомогнат за създаване на центрове за повторна употреба, в които могат да вземат участие хора в неравностойно положение на пазара на труда, хора  с ув</w:t>
      </w:r>
      <w:r>
        <w:rPr>
          <w:rFonts w:ascii="Times New Roman" w:eastAsia="Calibri" w:hAnsi="Times New Roman" w:cs="Times New Roman"/>
          <w:sz w:val="24"/>
          <w:szCs w:val="24"/>
        </w:rPr>
        <w:t>р</w:t>
      </w:r>
      <w:r w:rsidRPr="00CE3DF1">
        <w:rPr>
          <w:rFonts w:ascii="Times New Roman" w:eastAsia="Calibri" w:hAnsi="Times New Roman" w:cs="Times New Roman"/>
          <w:sz w:val="24"/>
          <w:szCs w:val="24"/>
        </w:rPr>
        <w:t>ежд</w:t>
      </w:r>
      <w:r>
        <w:rPr>
          <w:rFonts w:ascii="Times New Roman" w:eastAsia="Calibri" w:hAnsi="Times New Roman" w:cs="Times New Roman"/>
          <w:sz w:val="24"/>
          <w:szCs w:val="24"/>
        </w:rPr>
        <w:t>а</w:t>
      </w:r>
      <w:r w:rsidRPr="00CE3DF1">
        <w:rPr>
          <w:rFonts w:ascii="Times New Roman" w:eastAsia="Calibri" w:hAnsi="Times New Roman" w:cs="Times New Roman"/>
          <w:sz w:val="24"/>
          <w:szCs w:val="24"/>
        </w:rPr>
        <w:t>ния и  т.н. За местните вл</w:t>
      </w:r>
      <w:r>
        <w:rPr>
          <w:rFonts w:ascii="Times New Roman" w:eastAsia="Calibri" w:hAnsi="Times New Roman" w:cs="Times New Roman"/>
          <w:sz w:val="24"/>
          <w:szCs w:val="24"/>
        </w:rPr>
        <w:t>а</w:t>
      </w:r>
      <w:r w:rsidRPr="00CE3DF1">
        <w:rPr>
          <w:rFonts w:ascii="Times New Roman" w:eastAsia="Calibri" w:hAnsi="Times New Roman" w:cs="Times New Roman"/>
          <w:sz w:val="24"/>
          <w:szCs w:val="24"/>
        </w:rPr>
        <w:t xml:space="preserve">сти, ползите ще се изразяват в по-голяма ефективност в </w:t>
      </w:r>
      <w:r w:rsidR="00945DFC">
        <w:rPr>
          <w:rFonts w:ascii="Times New Roman" w:eastAsia="Calibri" w:hAnsi="Times New Roman" w:cs="Times New Roman"/>
          <w:sz w:val="24"/>
          <w:szCs w:val="24"/>
        </w:rPr>
        <w:t>между</w:t>
      </w:r>
      <w:r w:rsidR="00945DFC" w:rsidRPr="00CE3DF1">
        <w:rPr>
          <w:rFonts w:ascii="Times New Roman" w:eastAsia="Calibri" w:hAnsi="Times New Roman" w:cs="Times New Roman"/>
          <w:sz w:val="24"/>
          <w:szCs w:val="24"/>
        </w:rPr>
        <w:t>секторната</w:t>
      </w:r>
      <w:r w:rsidRPr="00CE3DF1">
        <w:rPr>
          <w:rFonts w:ascii="Times New Roman" w:eastAsia="Calibri" w:hAnsi="Times New Roman" w:cs="Times New Roman"/>
          <w:sz w:val="24"/>
          <w:szCs w:val="24"/>
        </w:rPr>
        <w:t xml:space="preserve"> работа, като например финансиране на дейности за повторно използване от повече от една служба и споделени разходи за управление на отпадъците (например между общината и дирекцията за социално подпомагане). Ползите за местното население ще бъдат насърчаване на финансовата независимост на гражданите чрез откриване на нови работни места; Намаляване на разходите за покупка на мебели и други артикули.</w:t>
      </w:r>
    </w:p>
    <w:p w:rsidR="00CE3DF1" w:rsidRPr="00CE3DF1" w:rsidRDefault="00CE3DF1" w:rsidP="00CE3DF1">
      <w:pPr>
        <w:spacing w:after="0" w:line="276" w:lineRule="auto"/>
        <w:jc w:val="both"/>
        <w:rPr>
          <w:rFonts w:ascii="Times New Roman" w:eastAsia="Calibri" w:hAnsi="Times New Roman" w:cs="Times New Roman"/>
          <w:sz w:val="24"/>
          <w:szCs w:val="24"/>
        </w:rPr>
      </w:pPr>
    </w:p>
    <w:p w:rsidR="00CE3DF1" w:rsidRPr="00CE3DF1" w:rsidRDefault="00CE3DF1" w:rsidP="00CE3DF1">
      <w:pPr>
        <w:spacing w:after="120" w:line="276" w:lineRule="auto"/>
        <w:jc w:val="both"/>
        <w:rPr>
          <w:rFonts w:ascii="Times New Roman" w:eastAsia="Calibri" w:hAnsi="Times New Roman" w:cs="Times New Roman"/>
          <w:b/>
          <w:i/>
          <w:sz w:val="24"/>
          <w:szCs w:val="24"/>
        </w:rPr>
      </w:pPr>
      <w:r w:rsidRPr="00CE3DF1">
        <w:rPr>
          <w:rFonts w:ascii="Times New Roman" w:eastAsia="Calibri" w:hAnsi="Times New Roman" w:cs="Times New Roman"/>
          <w:b/>
          <w:i/>
          <w:sz w:val="24"/>
          <w:szCs w:val="24"/>
        </w:rPr>
        <w:t>Икономически и научни организации</w:t>
      </w:r>
    </w:p>
    <w:p w:rsidR="00CE3DF1" w:rsidRPr="00CE3DF1" w:rsidRDefault="00CE3DF1" w:rsidP="00CE3DF1">
      <w:pPr>
        <w:suppressAutoHyphens/>
        <w:autoSpaceDE w:val="0"/>
        <w:spacing w:after="0" w:line="276" w:lineRule="auto"/>
        <w:jc w:val="both"/>
        <w:rPr>
          <w:rFonts w:ascii="Times New Roman" w:eastAsia="Arial" w:hAnsi="Times New Roman" w:cs="Times New Roman"/>
          <w:b/>
          <w:i/>
          <w:color w:val="000000"/>
          <w:sz w:val="24"/>
          <w:szCs w:val="24"/>
          <w:lang w:val="ru-RU" w:eastAsia="ar-SA"/>
        </w:rPr>
      </w:pPr>
      <w:r w:rsidRPr="00CE3DF1">
        <w:rPr>
          <w:rFonts w:ascii="Times New Roman" w:eastAsia="Arial" w:hAnsi="Times New Roman" w:cs="Times New Roman"/>
          <w:color w:val="000000"/>
          <w:sz w:val="24"/>
          <w:szCs w:val="24"/>
          <w:lang w:val="ru-RU" w:eastAsia="ar-SA"/>
        </w:rPr>
        <w:t>За предотвратяване на образуването на отпадъци икономическите субекти, подпомагани от научните среди, могат да разработят продукти и производствени процеси, които са екологосъобразни и с ниски нива на отпадъци и да оптимизират съществуващи процеси и продукти. Предлаганите на пазара продукти трябва да бъдат с по-дълъг живот, да са лесни за поправяне и да са произведени и търгувани без излишни опаковки. Тоест икономическите субекти, подпомагани от научни организации, могат да предприемат мерки, с които се отказват от производството на неекологосъобразни продукти. Засега този отказ е по-скоро доброволен и продиктуван от маркетингови или други съображения, но той може да стане и задължителен при разработване и влизане в сила на съответни закони, наредби и стандарти, например за екодизайн на продуктите.</w:t>
      </w:r>
    </w:p>
    <w:p w:rsidR="00CE3DF1" w:rsidRPr="00CE3DF1" w:rsidRDefault="00CE3DF1" w:rsidP="00CE3DF1">
      <w:pPr>
        <w:spacing w:after="0" w:line="276" w:lineRule="auto"/>
        <w:jc w:val="both"/>
        <w:rPr>
          <w:rFonts w:ascii="Times New Roman" w:eastAsia="Calibri" w:hAnsi="Times New Roman" w:cs="Times New Roman"/>
          <w:b/>
          <w:i/>
          <w:sz w:val="24"/>
          <w:szCs w:val="24"/>
        </w:rPr>
      </w:pPr>
    </w:p>
    <w:p w:rsidR="00CE3DF1" w:rsidRPr="00CE3DF1" w:rsidRDefault="00CE3DF1" w:rsidP="00CE3DF1">
      <w:pPr>
        <w:spacing w:after="120" w:line="276" w:lineRule="auto"/>
        <w:jc w:val="both"/>
        <w:rPr>
          <w:rFonts w:ascii="Times New Roman" w:eastAsia="Calibri" w:hAnsi="Times New Roman" w:cs="Times New Roman"/>
          <w:b/>
          <w:i/>
          <w:sz w:val="24"/>
          <w:szCs w:val="24"/>
        </w:rPr>
      </w:pPr>
      <w:r w:rsidRPr="00CE3DF1">
        <w:rPr>
          <w:rFonts w:ascii="Times New Roman" w:eastAsia="Calibri" w:hAnsi="Times New Roman" w:cs="Times New Roman"/>
          <w:b/>
          <w:i/>
          <w:sz w:val="24"/>
          <w:szCs w:val="24"/>
        </w:rPr>
        <w:t>Домакинства</w:t>
      </w:r>
    </w:p>
    <w:p w:rsidR="000F462E" w:rsidRPr="0033194E" w:rsidRDefault="00CE3DF1" w:rsidP="0033194E">
      <w:pPr>
        <w:spacing w:after="120" w:line="276" w:lineRule="auto"/>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t>Всеки потребител може да ограничи купуването на стоки, които водят до образуване на много отпадъци и по този начин да принуди производителите да спрат или поне да намалят производството на такива стоки, например стоки, които имат няколко опаковки. Домакинствата могат да удължат живота на редица продукти, които ползват в ежедневието си чрез ремонтирането им. На сегашния етап това означава потребителят да има такова съзнание, че дори да е готов да понесе ограничения в своите „удобства”, да вложи повече усилия и време за намаляване на отпадъците. Освен екологичните ползи, домакинствата могат да имат и икономически ползи чрез спестени разходи за нови продукти.</w:t>
      </w:r>
    </w:p>
    <w:p w:rsidR="00CE3DF1" w:rsidRPr="00CE3DF1" w:rsidRDefault="00A65697" w:rsidP="00CE3DF1">
      <w:pPr>
        <w:autoSpaceDE w:val="0"/>
        <w:autoSpaceDN w:val="0"/>
        <w:adjustRightInd w:val="0"/>
        <w:spacing w:after="12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С</w:t>
      </w:r>
      <w:r w:rsidR="00CE3DF1" w:rsidRPr="00CE3DF1">
        <w:rPr>
          <w:rFonts w:ascii="Times New Roman" w:eastAsia="Calibri" w:hAnsi="Times New Roman" w:cs="Times New Roman"/>
          <w:b/>
          <w:sz w:val="24"/>
          <w:szCs w:val="24"/>
        </w:rPr>
        <w:t>ПИСЪК НА ИЗПОЛЗВАНИТЕ РЕСУРСНИ МАТЕРИАЛИ</w:t>
      </w:r>
    </w:p>
    <w:p w:rsidR="00CE3DF1" w:rsidRPr="00CE3DF1" w:rsidRDefault="00442FE4" w:rsidP="00CE3DF1">
      <w:pPr>
        <w:numPr>
          <w:ilvl w:val="0"/>
          <w:numId w:val="22"/>
        </w:numPr>
        <w:spacing w:after="0" w:line="276" w:lineRule="auto"/>
        <w:contextualSpacing/>
        <w:jc w:val="both"/>
        <w:rPr>
          <w:rFonts w:ascii="Times New Roman" w:eastAsia="Calibri" w:hAnsi="Times New Roman" w:cs="Times New Roman"/>
          <w:sz w:val="24"/>
          <w:szCs w:val="24"/>
        </w:rPr>
      </w:pPr>
      <w:hyperlink r:id="rId10" w:history="1">
        <w:r w:rsidR="00CE3DF1" w:rsidRPr="00CE3DF1">
          <w:rPr>
            <w:rFonts w:ascii="Times New Roman" w:eastAsia="Calibri" w:hAnsi="Times New Roman" w:cs="Times New Roman"/>
            <w:sz w:val="24"/>
            <w:szCs w:val="24"/>
            <w:shd w:val="clear" w:color="auto" w:fill="FFFFFF"/>
          </w:rPr>
          <w:t>Директива 2008/98/EО относно отпадъците и за отмяна на определени директиви</w:t>
        </w:r>
      </w:hyperlink>
    </w:p>
    <w:p w:rsidR="00CE3DF1" w:rsidRPr="00CE3DF1" w:rsidRDefault="00442FE4" w:rsidP="00A43583">
      <w:pPr>
        <w:spacing w:after="0" w:line="276" w:lineRule="auto"/>
        <w:ind w:left="579" w:firstLine="708"/>
        <w:contextualSpacing/>
        <w:jc w:val="both"/>
        <w:rPr>
          <w:rFonts w:ascii="Times New Roman" w:eastAsia="Calibri" w:hAnsi="Times New Roman" w:cs="Times New Roman"/>
          <w:color w:val="0000FF"/>
          <w:u w:val="single"/>
        </w:rPr>
      </w:pPr>
      <w:hyperlink r:id="rId11" w:history="1">
        <w:r w:rsidR="00CE3DF1" w:rsidRPr="00CE3DF1">
          <w:rPr>
            <w:rFonts w:ascii="Times New Roman" w:eastAsia="Calibri" w:hAnsi="Times New Roman" w:cs="Times New Roman"/>
            <w:color w:val="0000FF"/>
            <w:u w:val="single"/>
          </w:rPr>
          <w:t>https://eur-lex.europa.eu/legal-content/BG/TXT/?uri=LEGISSUM%3Aev0010</w:t>
        </w:r>
      </w:hyperlink>
    </w:p>
    <w:p w:rsidR="00CE3DF1" w:rsidRPr="00CE3DF1" w:rsidRDefault="00CE3DF1" w:rsidP="00CE3DF1">
      <w:pPr>
        <w:numPr>
          <w:ilvl w:val="0"/>
          <w:numId w:val="22"/>
        </w:numPr>
        <w:spacing w:after="0" w:line="276" w:lineRule="auto"/>
        <w:contextualSpacing/>
        <w:jc w:val="both"/>
        <w:rPr>
          <w:rFonts w:ascii="Times New Roman" w:eastAsia="Calibri" w:hAnsi="Times New Roman" w:cs="Times New Roman"/>
          <w:sz w:val="24"/>
          <w:szCs w:val="24"/>
        </w:rPr>
      </w:pPr>
      <w:r w:rsidRPr="00CE3DF1">
        <w:rPr>
          <w:rFonts w:ascii="Times New Roman" w:eastAsia="Calibri" w:hAnsi="Times New Roman" w:cs="Times New Roman"/>
          <w:color w:val="000000"/>
          <w:sz w:val="24"/>
          <w:szCs w:val="24"/>
          <w:shd w:val="clear" w:color="auto" w:fill="FEFEFE"/>
        </w:rPr>
        <w:t>Закон за управление на отпадъците (доп. ДВ. бр.18 от 2 Март 2021г.</w:t>
      </w:r>
      <w:r w:rsidRPr="00CE3DF1">
        <w:rPr>
          <w:rFonts w:ascii="Times New Roman" w:eastAsia="Calibri" w:hAnsi="Times New Roman" w:cs="Times New Roman"/>
          <w:sz w:val="24"/>
          <w:szCs w:val="24"/>
        </w:rPr>
        <w:t>, изм. и доп. ДВ. бр.19 от 5 Март 2021г.)</w:t>
      </w:r>
    </w:p>
    <w:p w:rsidR="00CE3DF1" w:rsidRPr="00CE3DF1" w:rsidRDefault="00442FE4" w:rsidP="00CE3DF1">
      <w:pPr>
        <w:numPr>
          <w:ilvl w:val="0"/>
          <w:numId w:val="22"/>
        </w:numPr>
        <w:spacing w:after="0" w:line="276" w:lineRule="auto"/>
        <w:contextualSpacing/>
        <w:jc w:val="both"/>
        <w:rPr>
          <w:rFonts w:ascii="Times New Roman" w:eastAsia="Calibri" w:hAnsi="Times New Roman" w:cs="Times New Roman"/>
          <w:sz w:val="24"/>
          <w:szCs w:val="24"/>
        </w:rPr>
      </w:pPr>
      <w:hyperlink r:id="rId12" w:tgtFrame="_self" w:history="1">
        <w:r w:rsidR="00CE3DF1" w:rsidRPr="00CE3DF1">
          <w:rPr>
            <w:rFonts w:ascii="Times New Roman" w:eastAsia="Calibri" w:hAnsi="Times New Roman" w:cs="Times New Roman"/>
            <w:color w:val="205C90"/>
            <w:sz w:val="24"/>
            <w:szCs w:val="24"/>
            <w:u w:val="single"/>
            <w:shd w:val="clear" w:color="auto" w:fill="FFFFFF"/>
          </w:rPr>
          <w:t>Наредба за опаковките и отпадъците от опаковки</w:t>
        </w:r>
      </w:hyperlink>
      <w:r w:rsidR="00CE3DF1" w:rsidRPr="00CE3DF1">
        <w:rPr>
          <w:rFonts w:ascii="Times New Roman" w:eastAsia="Calibri" w:hAnsi="Times New Roman" w:cs="Times New Roman"/>
          <w:color w:val="000000"/>
          <w:sz w:val="24"/>
          <w:szCs w:val="24"/>
          <w:shd w:val="clear" w:color="auto" w:fill="FFFFFF"/>
        </w:rPr>
        <w:t> (</w:t>
      </w:r>
      <w:r w:rsidR="00CE3DF1" w:rsidRPr="00CE3DF1">
        <w:rPr>
          <w:rFonts w:ascii="Times New Roman" w:eastAsia="Calibri" w:hAnsi="Times New Roman" w:cs="Times New Roman"/>
          <w:i/>
          <w:color w:val="000000"/>
          <w:sz w:val="24"/>
          <w:szCs w:val="24"/>
          <w:shd w:val="clear" w:color="auto" w:fill="FFFFFF"/>
        </w:rPr>
        <w:t>Приета с ПМС № 271 от 30.10.2012 г., обн., ДВ, бр. 85 от 6.11.2012 г., в сила от 6.11.2012 г., изм. и доп., бр. 76 от 30.08.2013 г., в сила от 30.08.2013 г., изм., бр. 30 от 15.04.2016 г., в сила от 16.06.2016 г., изм. и доп., бр. 60 от 20.07.2018 г., бр. 2 от 8.01.2021 г</w:t>
      </w:r>
      <w:r w:rsidR="00CE3DF1" w:rsidRPr="00CE3DF1">
        <w:rPr>
          <w:rFonts w:ascii="Times New Roman" w:eastAsia="Calibri" w:hAnsi="Times New Roman" w:cs="Times New Roman"/>
          <w:color w:val="000000"/>
          <w:sz w:val="24"/>
          <w:szCs w:val="24"/>
          <w:shd w:val="clear" w:color="auto" w:fill="FFFFFF"/>
        </w:rPr>
        <w:t>.);</w:t>
      </w:r>
    </w:p>
    <w:p w:rsidR="00CE3DF1" w:rsidRPr="00CE3DF1" w:rsidRDefault="00442FE4" w:rsidP="00CE3DF1">
      <w:pPr>
        <w:numPr>
          <w:ilvl w:val="0"/>
          <w:numId w:val="22"/>
        </w:numPr>
        <w:spacing w:after="0" w:line="276" w:lineRule="auto"/>
        <w:contextualSpacing/>
        <w:jc w:val="both"/>
        <w:rPr>
          <w:rFonts w:ascii="Times New Roman" w:eastAsia="Calibri" w:hAnsi="Times New Roman" w:cs="Times New Roman"/>
          <w:sz w:val="24"/>
          <w:szCs w:val="24"/>
        </w:rPr>
      </w:pPr>
      <w:hyperlink r:id="rId13" w:tgtFrame="_self" w:history="1">
        <w:r w:rsidR="00CE3DF1" w:rsidRPr="00CE3DF1">
          <w:rPr>
            <w:rFonts w:ascii="Times New Roman" w:eastAsia="Calibri" w:hAnsi="Times New Roman" w:cs="Times New Roman"/>
            <w:sz w:val="24"/>
            <w:szCs w:val="24"/>
            <w:shd w:val="clear" w:color="auto" w:fill="FFFFFF"/>
          </w:rPr>
          <w:t>Наредба за батерии и акумулатори и за негодни за употреба батерии и акумулатори </w:t>
        </w:r>
      </w:hyperlink>
      <w:r w:rsidR="00CE3DF1" w:rsidRPr="00CE3DF1">
        <w:rPr>
          <w:rFonts w:ascii="Times New Roman" w:eastAsia="Calibri" w:hAnsi="Times New Roman" w:cs="Times New Roman"/>
          <w:sz w:val="24"/>
          <w:szCs w:val="24"/>
          <w:shd w:val="clear" w:color="auto" w:fill="FFFFFF"/>
        </w:rPr>
        <w:t>(</w:t>
      </w:r>
      <w:r w:rsidR="00CE3DF1" w:rsidRPr="00CE3DF1">
        <w:rPr>
          <w:rFonts w:ascii="Times New Roman" w:eastAsia="Calibri" w:hAnsi="Times New Roman" w:cs="Times New Roman"/>
          <w:i/>
          <w:sz w:val="24"/>
          <w:szCs w:val="24"/>
          <w:shd w:val="clear" w:color="auto" w:fill="FFFFFF"/>
        </w:rPr>
        <w:t>Приета с ПМС № 351 от 27.12.2012 г., обн., ДВ, бр. 2 от 8.01.2013 г., в сила от 8.01.2013 г., попр., бр. 6 от 22.01.2013 г., изм. и доп., бр. 51 от 11.06.2013 г., в сила от 11.06.2013 г., бр. 66 от 28.08.2015 г., в сила от 28.08.2015 г., изм., бр. 30 от 15.04.2016 г., в сила от 16.06.2016 г., изм. и доп., бр. 60 от 20.07.2018 г., доп., бр. 2 от 8.01.2021 г.)</w:t>
      </w:r>
    </w:p>
    <w:p w:rsidR="00CE3DF1" w:rsidRPr="00CE3DF1" w:rsidRDefault="00442FE4" w:rsidP="00CE3DF1">
      <w:pPr>
        <w:numPr>
          <w:ilvl w:val="0"/>
          <w:numId w:val="22"/>
        </w:numPr>
        <w:spacing w:after="0" w:line="276" w:lineRule="auto"/>
        <w:contextualSpacing/>
        <w:jc w:val="both"/>
        <w:rPr>
          <w:rFonts w:ascii="Times New Roman" w:eastAsia="Calibri" w:hAnsi="Times New Roman" w:cs="Times New Roman"/>
          <w:sz w:val="24"/>
          <w:szCs w:val="24"/>
        </w:rPr>
      </w:pPr>
      <w:hyperlink r:id="rId14" w:tgtFrame="_self" w:history="1">
        <w:r w:rsidR="00CE3DF1" w:rsidRPr="00CE3DF1">
          <w:rPr>
            <w:rFonts w:ascii="Times New Roman" w:eastAsia="Calibri" w:hAnsi="Times New Roman" w:cs="Times New Roman"/>
            <w:sz w:val="24"/>
            <w:szCs w:val="24"/>
            <w:shd w:val="clear" w:color="auto" w:fill="FFFFFF"/>
          </w:rPr>
          <w:t>Наредба за излязлото от употреба електрическо и електронно оборудване</w:t>
        </w:r>
      </w:hyperlink>
      <w:r w:rsidR="00CE3DF1" w:rsidRPr="00CE3DF1">
        <w:rPr>
          <w:rFonts w:ascii="Times New Roman" w:eastAsia="Calibri" w:hAnsi="Times New Roman" w:cs="Times New Roman"/>
          <w:sz w:val="24"/>
          <w:szCs w:val="24"/>
          <w:shd w:val="clear" w:color="auto" w:fill="FFFFFF"/>
        </w:rPr>
        <w:t> (</w:t>
      </w:r>
      <w:r w:rsidR="00CE3DF1" w:rsidRPr="00CE3DF1">
        <w:rPr>
          <w:rFonts w:ascii="Times New Roman" w:eastAsia="Calibri" w:hAnsi="Times New Roman" w:cs="Times New Roman"/>
          <w:i/>
          <w:sz w:val="24"/>
          <w:szCs w:val="24"/>
          <w:shd w:val="clear" w:color="auto" w:fill="FFFFFF"/>
        </w:rPr>
        <w:t>Приета с ПМС № 256 от 13.11.2013 г., обн., ДВ, бр. 100 от 19.11.2013 г., в сила от 1.01.2014 г., изм., бр. 30 от 15.04.2016 г., в сила от 16.06.2016 г., изм. и доп., бр. 47 от 5.06.2018 г., изм., бр. 60 от 20.07.2018 г., изм. и доп., бр. 2 от 8.01.2021 г.)</w:t>
      </w:r>
    </w:p>
    <w:p w:rsidR="00CE3DF1" w:rsidRPr="00CE3DF1" w:rsidRDefault="00442FE4" w:rsidP="00CE3DF1">
      <w:pPr>
        <w:numPr>
          <w:ilvl w:val="0"/>
          <w:numId w:val="22"/>
        </w:numPr>
        <w:spacing w:after="0" w:line="276" w:lineRule="auto"/>
        <w:contextualSpacing/>
        <w:jc w:val="both"/>
        <w:rPr>
          <w:rFonts w:ascii="Times New Roman" w:eastAsia="Calibri" w:hAnsi="Times New Roman" w:cs="Times New Roman"/>
          <w:sz w:val="24"/>
          <w:szCs w:val="24"/>
        </w:rPr>
      </w:pPr>
      <w:hyperlink r:id="rId15" w:tgtFrame="_self" w:history="1">
        <w:r w:rsidR="00CE3DF1" w:rsidRPr="00CE3DF1">
          <w:rPr>
            <w:rFonts w:ascii="Times New Roman" w:eastAsia="Calibri" w:hAnsi="Times New Roman" w:cs="Times New Roman"/>
            <w:sz w:val="24"/>
            <w:szCs w:val="24"/>
            <w:shd w:val="clear" w:color="auto" w:fill="FFFFFF"/>
          </w:rPr>
          <w:t>Наредба за изискванията за третиране на излезли от употреба гуми</w:t>
        </w:r>
      </w:hyperlink>
      <w:r w:rsidR="00CE3DF1" w:rsidRPr="00CE3DF1">
        <w:rPr>
          <w:rFonts w:ascii="Times New Roman" w:eastAsia="Calibri" w:hAnsi="Times New Roman" w:cs="Times New Roman"/>
          <w:sz w:val="24"/>
          <w:szCs w:val="24"/>
          <w:shd w:val="clear" w:color="auto" w:fill="FFFFFF"/>
        </w:rPr>
        <w:t> (</w:t>
      </w:r>
      <w:r w:rsidR="00CE3DF1" w:rsidRPr="00CE3DF1">
        <w:rPr>
          <w:rFonts w:ascii="Times New Roman" w:eastAsia="Calibri" w:hAnsi="Times New Roman" w:cs="Times New Roman"/>
          <w:i/>
          <w:sz w:val="24"/>
          <w:szCs w:val="24"/>
          <w:shd w:val="clear" w:color="auto" w:fill="FFFFFF"/>
        </w:rPr>
        <w:t>Приета с ПМС № 221 от 14.09.2012 г., обн., ДВ, бр. 73 от 25.09.2012 г., в сила от 25.09.2012 г., изм., бр. 30 от 15.04.2016 г., в сила от 16.06.2016 г., изм. и доп., бр. 60 от 20.07.2018 г., бр. 2 от 8.01.2021 г</w:t>
      </w:r>
      <w:r w:rsidR="00CE3DF1" w:rsidRPr="00CE3DF1">
        <w:rPr>
          <w:rFonts w:ascii="Times New Roman" w:eastAsia="Calibri" w:hAnsi="Times New Roman" w:cs="Times New Roman"/>
          <w:sz w:val="24"/>
          <w:szCs w:val="24"/>
          <w:shd w:val="clear" w:color="auto" w:fill="FFFFFF"/>
        </w:rPr>
        <w:t>.)</w:t>
      </w:r>
    </w:p>
    <w:p w:rsidR="00CE3DF1" w:rsidRPr="00CE3DF1" w:rsidRDefault="00442FE4" w:rsidP="00CE3DF1">
      <w:pPr>
        <w:numPr>
          <w:ilvl w:val="0"/>
          <w:numId w:val="22"/>
        </w:numPr>
        <w:spacing w:after="0" w:line="276" w:lineRule="auto"/>
        <w:contextualSpacing/>
        <w:jc w:val="both"/>
        <w:rPr>
          <w:rFonts w:ascii="Times New Roman" w:eastAsia="Calibri" w:hAnsi="Times New Roman" w:cs="Times New Roman"/>
          <w:sz w:val="24"/>
          <w:szCs w:val="24"/>
        </w:rPr>
      </w:pPr>
      <w:hyperlink r:id="rId16" w:tgtFrame="_self" w:history="1">
        <w:r w:rsidR="00CE3DF1" w:rsidRPr="00CE3DF1">
          <w:rPr>
            <w:rFonts w:ascii="Times New Roman" w:eastAsia="Calibri" w:hAnsi="Times New Roman" w:cs="Times New Roman"/>
            <w:sz w:val="24"/>
            <w:szCs w:val="24"/>
            <w:shd w:val="clear" w:color="auto" w:fill="FFFFFF"/>
          </w:rPr>
          <w:t>Наредба за отработените масла и отпадъчните нефтопродукти</w:t>
        </w:r>
      </w:hyperlink>
      <w:r w:rsidR="00CE3DF1" w:rsidRPr="00CE3DF1">
        <w:rPr>
          <w:rFonts w:ascii="Times New Roman" w:eastAsia="Calibri" w:hAnsi="Times New Roman" w:cs="Times New Roman"/>
          <w:sz w:val="24"/>
          <w:szCs w:val="24"/>
          <w:shd w:val="clear" w:color="auto" w:fill="FFFFFF"/>
        </w:rPr>
        <w:t> (</w:t>
      </w:r>
      <w:r w:rsidR="00CE3DF1" w:rsidRPr="00CE3DF1">
        <w:rPr>
          <w:rFonts w:ascii="Times New Roman" w:eastAsia="Calibri" w:hAnsi="Times New Roman" w:cs="Times New Roman"/>
          <w:i/>
          <w:sz w:val="24"/>
          <w:szCs w:val="24"/>
          <w:shd w:val="clear" w:color="auto" w:fill="FFFFFF"/>
        </w:rPr>
        <w:t>Приета с ПМС № 352 от 27.12.2012 г., обн., ДВ, бр. 2 от 8.01.2013 г., в сила от 8.01.2013 г., изм. и доп., бр. 60 от 20.07.2018 г., бр. 2 от 8.01.2021 г</w:t>
      </w:r>
      <w:r w:rsidR="00CE3DF1" w:rsidRPr="00CE3DF1">
        <w:rPr>
          <w:rFonts w:ascii="Times New Roman" w:eastAsia="Calibri" w:hAnsi="Times New Roman" w:cs="Times New Roman"/>
          <w:sz w:val="24"/>
          <w:szCs w:val="24"/>
          <w:shd w:val="clear" w:color="auto" w:fill="FFFFFF"/>
        </w:rPr>
        <w:t>.)</w:t>
      </w:r>
    </w:p>
    <w:p w:rsidR="00CE3DF1" w:rsidRPr="00CE3DF1" w:rsidRDefault="00442FE4" w:rsidP="00CE3DF1">
      <w:pPr>
        <w:numPr>
          <w:ilvl w:val="0"/>
          <w:numId w:val="22"/>
        </w:numPr>
        <w:spacing w:after="0" w:line="276" w:lineRule="auto"/>
        <w:contextualSpacing/>
        <w:jc w:val="both"/>
        <w:rPr>
          <w:rFonts w:ascii="Times New Roman" w:eastAsia="Calibri" w:hAnsi="Times New Roman" w:cs="Times New Roman"/>
          <w:sz w:val="24"/>
          <w:szCs w:val="24"/>
        </w:rPr>
      </w:pPr>
      <w:hyperlink r:id="rId17" w:tgtFrame="_self" w:history="1">
        <w:r w:rsidR="00CE3DF1" w:rsidRPr="00CE3DF1">
          <w:rPr>
            <w:rFonts w:ascii="Times New Roman" w:eastAsia="Calibri" w:hAnsi="Times New Roman" w:cs="Times New Roman"/>
            <w:sz w:val="24"/>
            <w:szCs w:val="24"/>
            <w:shd w:val="clear" w:color="auto" w:fill="FFFFFF"/>
          </w:rPr>
          <w:t>Наредба за разделно събиране на биоотпадъците и третиране на биоразградимите отпадъци</w:t>
        </w:r>
      </w:hyperlink>
      <w:r w:rsidR="00CE3DF1" w:rsidRPr="00CE3DF1">
        <w:rPr>
          <w:rFonts w:ascii="Times New Roman" w:eastAsia="Calibri" w:hAnsi="Times New Roman" w:cs="Times New Roman"/>
          <w:sz w:val="24"/>
          <w:szCs w:val="24"/>
          <w:shd w:val="clear" w:color="auto" w:fill="FFFFFF"/>
        </w:rPr>
        <w:t> (</w:t>
      </w:r>
      <w:r w:rsidR="00CE3DF1" w:rsidRPr="00CE3DF1">
        <w:rPr>
          <w:rFonts w:ascii="Times New Roman" w:eastAsia="Calibri" w:hAnsi="Times New Roman" w:cs="Times New Roman"/>
          <w:i/>
          <w:sz w:val="24"/>
          <w:szCs w:val="24"/>
          <w:shd w:val="clear" w:color="auto" w:fill="FFFFFF"/>
        </w:rPr>
        <w:t>Приета с ПМС № 20 от 25.01.2017 г., Обн. ДВ. бр.11 от 31 Януари 2017г., изм. и доп. ДВ. бр.2 от 8 януари 2021 г</w:t>
      </w:r>
      <w:r w:rsidR="00CE3DF1" w:rsidRPr="00CE3DF1">
        <w:rPr>
          <w:rFonts w:ascii="Times New Roman" w:eastAsia="Calibri" w:hAnsi="Times New Roman" w:cs="Times New Roman"/>
          <w:sz w:val="24"/>
          <w:szCs w:val="24"/>
          <w:shd w:val="clear" w:color="auto" w:fill="FFFFFF"/>
        </w:rPr>
        <w:t>.)</w:t>
      </w:r>
    </w:p>
    <w:p w:rsidR="00CE3DF1" w:rsidRPr="00CE3DF1" w:rsidRDefault="00CE3DF1" w:rsidP="00CE3DF1">
      <w:pPr>
        <w:numPr>
          <w:ilvl w:val="0"/>
          <w:numId w:val="22"/>
        </w:numPr>
        <w:spacing w:after="0" w:line="276" w:lineRule="auto"/>
        <w:contextualSpacing/>
        <w:jc w:val="both"/>
        <w:rPr>
          <w:rFonts w:ascii="Times New Roman" w:eastAsia="Calibri" w:hAnsi="Times New Roman" w:cs="Times New Roman"/>
          <w:sz w:val="24"/>
          <w:szCs w:val="24"/>
        </w:rPr>
      </w:pPr>
      <w:r w:rsidRPr="00CE3DF1">
        <w:rPr>
          <w:rFonts w:ascii="Times New Roman" w:eastAsia="Calibri" w:hAnsi="Times New Roman" w:cs="Times New Roman"/>
          <w:sz w:val="24"/>
          <w:szCs w:val="24"/>
          <w:shd w:val="clear" w:color="auto" w:fill="FFFFFF"/>
        </w:rPr>
        <w:t xml:space="preserve">Историята на Любляна - първата европейска столица, която тръгва по пътя на нулеви отпадъци, </w:t>
      </w:r>
      <w:r w:rsidRPr="00CE3DF1">
        <w:rPr>
          <w:rFonts w:ascii="Times New Roman" w:eastAsia="Calibri" w:hAnsi="Times New Roman" w:cs="Times New Roman"/>
          <w:sz w:val="24"/>
          <w:szCs w:val="24"/>
          <w:shd w:val="clear" w:color="auto" w:fill="FFFFFF"/>
          <w:lang w:val="en-US"/>
        </w:rPr>
        <w:t>Zero</w:t>
      </w:r>
      <w:r w:rsidRPr="00CE3DF1">
        <w:rPr>
          <w:rFonts w:ascii="Times New Roman" w:eastAsia="Calibri" w:hAnsi="Times New Roman" w:cs="Times New Roman"/>
          <w:sz w:val="24"/>
          <w:szCs w:val="24"/>
          <w:shd w:val="clear" w:color="auto" w:fill="FFFFFF"/>
          <w:lang w:val="ru-RU"/>
        </w:rPr>
        <w:t xml:space="preserve"> </w:t>
      </w:r>
      <w:r w:rsidRPr="00CE3DF1">
        <w:rPr>
          <w:rFonts w:ascii="Times New Roman" w:eastAsia="Calibri" w:hAnsi="Times New Roman" w:cs="Times New Roman"/>
          <w:sz w:val="24"/>
          <w:szCs w:val="24"/>
          <w:shd w:val="clear" w:color="auto" w:fill="FFFFFF"/>
          <w:lang w:val="en-US"/>
        </w:rPr>
        <w:t>Waste</w:t>
      </w:r>
      <w:r w:rsidRPr="00CE3DF1">
        <w:rPr>
          <w:rFonts w:ascii="Times New Roman" w:eastAsia="Calibri" w:hAnsi="Times New Roman" w:cs="Times New Roman"/>
          <w:sz w:val="24"/>
          <w:szCs w:val="24"/>
          <w:shd w:val="clear" w:color="auto" w:fill="FFFFFF"/>
          <w:lang w:val="ru-RU"/>
        </w:rPr>
        <w:t xml:space="preserve"> </w:t>
      </w:r>
      <w:r w:rsidRPr="00CE3DF1">
        <w:rPr>
          <w:rFonts w:ascii="Times New Roman" w:eastAsia="Calibri" w:hAnsi="Times New Roman" w:cs="Times New Roman"/>
          <w:sz w:val="24"/>
          <w:szCs w:val="24"/>
          <w:shd w:val="clear" w:color="auto" w:fill="FFFFFF"/>
          <w:lang w:val="en-US"/>
        </w:rPr>
        <w:t>Europe</w:t>
      </w:r>
      <w:r w:rsidRPr="00CE3DF1">
        <w:rPr>
          <w:rFonts w:ascii="Times New Roman" w:eastAsia="Calibri" w:hAnsi="Times New Roman" w:cs="Times New Roman"/>
          <w:sz w:val="24"/>
          <w:szCs w:val="24"/>
          <w:shd w:val="clear" w:color="auto" w:fill="FFFFFF"/>
          <w:lang w:val="ru-RU"/>
        </w:rPr>
        <w:t xml:space="preserve">, </w:t>
      </w:r>
      <w:r w:rsidRPr="00CE3DF1">
        <w:rPr>
          <w:rFonts w:ascii="Times New Roman" w:eastAsia="Calibri" w:hAnsi="Times New Roman" w:cs="Times New Roman"/>
          <w:sz w:val="24"/>
          <w:szCs w:val="24"/>
          <w:shd w:val="clear" w:color="auto" w:fill="FFFFFF"/>
          <w:lang w:val="en-US"/>
        </w:rPr>
        <w:t>may</w:t>
      </w:r>
      <w:r w:rsidRPr="00CE3DF1">
        <w:rPr>
          <w:rFonts w:ascii="Times New Roman" w:eastAsia="Calibri" w:hAnsi="Times New Roman" w:cs="Times New Roman"/>
          <w:sz w:val="24"/>
          <w:szCs w:val="24"/>
          <w:shd w:val="clear" w:color="auto" w:fill="FFFFFF"/>
          <w:lang w:val="ru-RU"/>
        </w:rPr>
        <w:t xml:space="preserve"> 2015 </w:t>
      </w:r>
    </w:p>
    <w:p w:rsidR="00CE3DF1" w:rsidRPr="00CE3DF1" w:rsidRDefault="00CE3DF1" w:rsidP="00CE3DF1">
      <w:pPr>
        <w:numPr>
          <w:ilvl w:val="0"/>
          <w:numId w:val="22"/>
        </w:numPr>
        <w:spacing w:after="0" w:line="276" w:lineRule="auto"/>
        <w:contextualSpacing/>
        <w:jc w:val="both"/>
        <w:rPr>
          <w:rFonts w:ascii="Times New Roman" w:eastAsia="Calibri" w:hAnsi="Times New Roman" w:cs="Times New Roman"/>
          <w:sz w:val="24"/>
          <w:szCs w:val="24"/>
        </w:rPr>
      </w:pPr>
      <w:r w:rsidRPr="00CE3DF1">
        <w:rPr>
          <w:rFonts w:ascii="Times New Roman" w:eastAsia="Calibri" w:hAnsi="Times New Roman" w:cs="Times New Roman"/>
          <w:sz w:val="24"/>
          <w:szCs w:val="24"/>
          <w:shd w:val="clear" w:color="auto" w:fill="FFFFFF"/>
        </w:rPr>
        <w:t xml:space="preserve">Кратък наръчник за умно управление на отпадъците, Българска фондация Биоразнообразие“, „За земята“, </w:t>
      </w:r>
      <w:r w:rsidRPr="00CE3DF1">
        <w:rPr>
          <w:rFonts w:ascii="Times New Roman" w:eastAsia="Calibri" w:hAnsi="Times New Roman" w:cs="Times New Roman"/>
          <w:sz w:val="24"/>
          <w:szCs w:val="24"/>
          <w:shd w:val="clear" w:color="auto" w:fill="FFFFFF"/>
          <w:lang w:val="ru-RU"/>
        </w:rPr>
        <w:t>“</w:t>
      </w:r>
      <w:r w:rsidRPr="00CE3DF1">
        <w:rPr>
          <w:rFonts w:ascii="Times New Roman" w:eastAsia="Calibri" w:hAnsi="Times New Roman" w:cs="Times New Roman"/>
          <w:sz w:val="24"/>
          <w:szCs w:val="24"/>
          <w:shd w:val="clear" w:color="auto" w:fill="FFFFFF"/>
          <w:lang w:val="en-US"/>
        </w:rPr>
        <w:t>Blue</w:t>
      </w:r>
      <w:r w:rsidRPr="00CE3DF1">
        <w:rPr>
          <w:rFonts w:ascii="Times New Roman" w:eastAsia="Calibri" w:hAnsi="Times New Roman" w:cs="Times New Roman"/>
          <w:sz w:val="24"/>
          <w:szCs w:val="24"/>
          <w:shd w:val="clear" w:color="auto" w:fill="FFFFFF"/>
          <w:lang w:val="ru-RU"/>
        </w:rPr>
        <w:t xml:space="preserve"> </w:t>
      </w:r>
      <w:r w:rsidRPr="00CE3DF1">
        <w:rPr>
          <w:rFonts w:ascii="Times New Roman" w:eastAsia="Calibri" w:hAnsi="Times New Roman" w:cs="Times New Roman"/>
          <w:sz w:val="24"/>
          <w:szCs w:val="24"/>
          <w:shd w:val="clear" w:color="auto" w:fill="FFFFFF"/>
          <w:lang w:val="en-US"/>
        </w:rPr>
        <w:t>link</w:t>
      </w:r>
      <w:r w:rsidRPr="00CE3DF1">
        <w:rPr>
          <w:rFonts w:ascii="Times New Roman" w:eastAsia="Calibri" w:hAnsi="Times New Roman" w:cs="Times New Roman"/>
          <w:sz w:val="24"/>
          <w:szCs w:val="24"/>
          <w:shd w:val="clear" w:color="auto" w:fill="FFFFFF"/>
        </w:rPr>
        <w:t>:, май 2016 г.</w:t>
      </w:r>
    </w:p>
    <w:p w:rsidR="00CE3DF1" w:rsidRPr="00782610" w:rsidRDefault="00CE3DF1" w:rsidP="00CE3DF1">
      <w:pPr>
        <w:numPr>
          <w:ilvl w:val="0"/>
          <w:numId w:val="22"/>
        </w:numPr>
        <w:spacing w:after="0" w:line="276" w:lineRule="auto"/>
        <w:contextualSpacing/>
        <w:jc w:val="both"/>
        <w:rPr>
          <w:rFonts w:ascii="Times New Roman" w:eastAsia="Calibri" w:hAnsi="Times New Roman" w:cs="Times New Roman"/>
          <w:sz w:val="24"/>
          <w:szCs w:val="24"/>
        </w:rPr>
      </w:pPr>
      <w:r w:rsidRPr="00CE3DF1">
        <w:rPr>
          <w:rFonts w:ascii="Times New Roman" w:eastAsia="Calibri" w:hAnsi="Times New Roman" w:cs="Times New Roman"/>
          <w:sz w:val="24"/>
          <w:szCs w:val="24"/>
          <w:shd w:val="clear" w:color="auto" w:fill="FFFFFF"/>
        </w:rPr>
        <w:t>Ръководство за управление на едрогабаритни отпадъци, като част от потока битови отпадъци;</w:t>
      </w:r>
    </w:p>
    <w:p w:rsidR="00782610" w:rsidRDefault="00442FE4" w:rsidP="00782610">
      <w:pPr>
        <w:numPr>
          <w:ilvl w:val="0"/>
          <w:numId w:val="22"/>
        </w:numPr>
        <w:spacing w:after="0" w:line="276" w:lineRule="auto"/>
        <w:contextualSpacing/>
        <w:jc w:val="both"/>
        <w:rPr>
          <w:rFonts w:ascii="Times New Roman" w:eastAsia="Calibri" w:hAnsi="Times New Roman" w:cs="Times New Roman"/>
          <w:sz w:val="24"/>
          <w:szCs w:val="24"/>
        </w:rPr>
      </w:pPr>
      <w:hyperlink r:id="rId18" w:history="1">
        <w:r w:rsidR="00782610" w:rsidRPr="004460AF">
          <w:rPr>
            <w:rStyle w:val="Hyperlink"/>
            <w:rFonts w:ascii="Times New Roman" w:eastAsia="Calibri" w:hAnsi="Times New Roman" w:cs="Times New Roman"/>
            <w:sz w:val="24"/>
            <w:szCs w:val="24"/>
          </w:rPr>
          <w:t>https://pudoos.bg/</w:t>
        </w:r>
      </w:hyperlink>
      <w:r w:rsidR="00782610">
        <w:rPr>
          <w:rFonts w:ascii="Times New Roman" w:eastAsia="Calibri" w:hAnsi="Times New Roman" w:cs="Times New Roman"/>
          <w:sz w:val="24"/>
          <w:szCs w:val="24"/>
        </w:rPr>
        <w:t xml:space="preserve"> </w:t>
      </w:r>
    </w:p>
    <w:p w:rsidR="00540A03" w:rsidRDefault="00442FE4" w:rsidP="00540A03">
      <w:pPr>
        <w:numPr>
          <w:ilvl w:val="0"/>
          <w:numId w:val="22"/>
        </w:numPr>
        <w:spacing w:after="0" w:line="276" w:lineRule="auto"/>
        <w:contextualSpacing/>
        <w:jc w:val="both"/>
        <w:rPr>
          <w:rFonts w:ascii="Times New Roman" w:eastAsia="Calibri" w:hAnsi="Times New Roman" w:cs="Times New Roman"/>
          <w:sz w:val="24"/>
          <w:szCs w:val="24"/>
        </w:rPr>
      </w:pPr>
      <w:hyperlink r:id="rId19" w:history="1">
        <w:r w:rsidR="00540A03" w:rsidRPr="002202E9">
          <w:rPr>
            <w:rStyle w:val="Hyperlink"/>
            <w:rFonts w:ascii="Times New Roman" w:eastAsia="Calibri" w:hAnsi="Times New Roman" w:cs="Times New Roman"/>
            <w:sz w:val="24"/>
            <w:szCs w:val="24"/>
          </w:rPr>
          <w:t>https://www.eeagrants.bg/programi/okolna-sreda</w:t>
        </w:r>
      </w:hyperlink>
    </w:p>
    <w:p w:rsidR="00540A03" w:rsidRDefault="00540A03" w:rsidP="00540A03">
      <w:pPr>
        <w:numPr>
          <w:ilvl w:val="0"/>
          <w:numId w:val="22"/>
        </w:numPr>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20" w:history="1">
        <w:r w:rsidRPr="002202E9">
          <w:rPr>
            <w:rStyle w:val="Hyperlink"/>
            <w:rFonts w:ascii="Times New Roman" w:eastAsia="Calibri" w:hAnsi="Times New Roman" w:cs="Times New Roman"/>
            <w:sz w:val="24"/>
            <w:szCs w:val="24"/>
          </w:rPr>
          <w:t>http://www.life-bulgaria.bg</w:t>
        </w:r>
      </w:hyperlink>
    </w:p>
    <w:p w:rsidR="00540A03" w:rsidRPr="00540A03" w:rsidRDefault="00442FE4" w:rsidP="00540A03">
      <w:pPr>
        <w:numPr>
          <w:ilvl w:val="0"/>
          <w:numId w:val="22"/>
        </w:numPr>
        <w:spacing w:after="0" w:line="276" w:lineRule="auto"/>
        <w:contextualSpacing/>
        <w:jc w:val="both"/>
        <w:rPr>
          <w:rFonts w:ascii="Times New Roman" w:eastAsia="Calibri" w:hAnsi="Times New Roman" w:cs="Times New Roman"/>
          <w:sz w:val="24"/>
          <w:szCs w:val="24"/>
        </w:rPr>
      </w:pPr>
      <w:hyperlink r:id="rId21" w:history="1">
        <w:r w:rsidR="00540A03" w:rsidRPr="002202E9">
          <w:rPr>
            <w:rStyle w:val="Hyperlink"/>
            <w:rFonts w:ascii="Times New Roman" w:eastAsia="Calibri" w:hAnsi="Times New Roman" w:cs="Times New Roman"/>
            <w:sz w:val="24"/>
            <w:szCs w:val="24"/>
          </w:rPr>
          <w:t>https://www.eufunds.bg/bg/opos</w:t>
        </w:r>
      </w:hyperlink>
    </w:p>
    <w:p w:rsidR="00CE3DF1" w:rsidRDefault="00CE3DF1" w:rsidP="00CE3DF1">
      <w:pPr>
        <w:numPr>
          <w:ilvl w:val="0"/>
          <w:numId w:val="22"/>
        </w:numPr>
        <w:spacing w:after="0" w:line="276" w:lineRule="auto"/>
        <w:contextualSpacing/>
        <w:jc w:val="both"/>
        <w:rPr>
          <w:rFonts w:ascii="Times New Roman" w:eastAsia="Calibri" w:hAnsi="Times New Roman" w:cs="Times New Roman"/>
          <w:sz w:val="24"/>
          <w:szCs w:val="24"/>
        </w:rPr>
      </w:pPr>
      <w:r w:rsidRPr="00CE3DF1">
        <w:rPr>
          <w:rFonts w:ascii="Times New Roman" w:eastAsia="Calibri" w:hAnsi="Times New Roman" w:cs="Times New Roman"/>
          <w:sz w:val="24"/>
          <w:szCs w:val="24"/>
        </w:rPr>
        <w:lastRenderedPageBreak/>
        <w:t>Управление на твърди битови отпадъци, наръчник изготвен и публикуван в рамките на проект „Повишаване на обществената информация по управление на твърдите отпадъци в северозападната част на Черноморския район“.</w:t>
      </w:r>
    </w:p>
    <w:p w:rsidR="00782610" w:rsidRPr="00CE3DF1" w:rsidRDefault="00782610" w:rsidP="00540A03">
      <w:pPr>
        <w:spacing w:after="0" w:line="276" w:lineRule="auto"/>
        <w:contextualSpacing/>
        <w:jc w:val="both"/>
        <w:rPr>
          <w:rFonts w:ascii="Times New Roman" w:eastAsia="Calibri" w:hAnsi="Times New Roman" w:cs="Times New Roman"/>
          <w:sz w:val="24"/>
          <w:szCs w:val="24"/>
        </w:rPr>
      </w:pPr>
    </w:p>
    <w:p w:rsidR="00CE3DF1" w:rsidRPr="00CE3DF1" w:rsidRDefault="00CE3DF1" w:rsidP="00CE3DF1">
      <w:pPr>
        <w:spacing w:after="0" w:line="276" w:lineRule="auto"/>
        <w:rPr>
          <w:rFonts w:ascii="Times New Roman" w:eastAsia="Calibri" w:hAnsi="Times New Roman" w:cs="Times New Roman"/>
          <w:b/>
          <w:bCs/>
          <w:sz w:val="24"/>
          <w:szCs w:val="24"/>
        </w:rPr>
      </w:pPr>
    </w:p>
    <w:p w:rsidR="00CE3DF1" w:rsidRPr="00CE3DF1" w:rsidRDefault="00CE3DF1" w:rsidP="00CE3DF1">
      <w:pPr>
        <w:spacing w:after="0" w:line="276" w:lineRule="auto"/>
        <w:rPr>
          <w:rFonts w:ascii="Times New Roman" w:eastAsia="Calibri" w:hAnsi="Times New Roman" w:cs="Times New Roman"/>
          <w:b/>
          <w:bCs/>
          <w:sz w:val="24"/>
          <w:szCs w:val="24"/>
        </w:rPr>
      </w:pPr>
    </w:p>
    <w:p w:rsidR="00CE3DF1" w:rsidRPr="00CE3DF1" w:rsidRDefault="00CE3DF1" w:rsidP="00CE3DF1">
      <w:pPr>
        <w:spacing w:after="0" w:line="276" w:lineRule="auto"/>
        <w:rPr>
          <w:rFonts w:ascii="Times New Roman" w:eastAsia="Calibri" w:hAnsi="Times New Roman" w:cs="Times New Roman"/>
          <w:b/>
          <w:bCs/>
          <w:sz w:val="24"/>
          <w:szCs w:val="24"/>
        </w:rPr>
      </w:pPr>
    </w:p>
    <w:p w:rsidR="00CE3DF1" w:rsidRPr="00CE3DF1" w:rsidRDefault="00CE3DF1" w:rsidP="00CE3DF1">
      <w:pPr>
        <w:spacing w:after="0" w:line="276" w:lineRule="auto"/>
        <w:rPr>
          <w:rFonts w:ascii="Times New Roman" w:eastAsia="Calibri" w:hAnsi="Times New Roman" w:cs="Times New Roman"/>
          <w:b/>
          <w:bCs/>
          <w:sz w:val="24"/>
          <w:szCs w:val="24"/>
        </w:rPr>
      </w:pPr>
    </w:p>
    <w:p w:rsidR="00CE3DF1" w:rsidRPr="00CE3DF1" w:rsidRDefault="00CE3DF1" w:rsidP="00CE3DF1">
      <w:pPr>
        <w:spacing w:after="0" w:line="276" w:lineRule="auto"/>
        <w:rPr>
          <w:rFonts w:ascii="Times New Roman" w:eastAsia="Calibri" w:hAnsi="Times New Roman" w:cs="Times New Roman"/>
          <w:b/>
          <w:bCs/>
          <w:sz w:val="24"/>
          <w:szCs w:val="24"/>
        </w:rPr>
      </w:pPr>
    </w:p>
    <w:p w:rsidR="00CE3DF1" w:rsidRPr="00CE3DF1" w:rsidRDefault="00CE3DF1" w:rsidP="00CE3DF1">
      <w:pPr>
        <w:spacing w:after="0" w:line="276" w:lineRule="auto"/>
        <w:rPr>
          <w:rFonts w:ascii="Times New Roman" w:eastAsia="Calibri" w:hAnsi="Times New Roman" w:cs="Times New Roman"/>
          <w:b/>
          <w:bCs/>
          <w:sz w:val="24"/>
          <w:szCs w:val="24"/>
        </w:rPr>
      </w:pPr>
    </w:p>
    <w:p w:rsidR="00CE3DF1" w:rsidRPr="00CE3DF1" w:rsidRDefault="00CE3DF1" w:rsidP="00CE3DF1">
      <w:pPr>
        <w:spacing w:after="0" w:line="276" w:lineRule="auto"/>
        <w:rPr>
          <w:rFonts w:ascii="Times New Roman" w:eastAsia="Calibri" w:hAnsi="Times New Roman" w:cs="Times New Roman"/>
          <w:b/>
          <w:bCs/>
          <w:sz w:val="24"/>
          <w:szCs w:val="24"/>
        </w:rPr>
      </w:pPr>
    </w:p>
    <w:p w:rsidR="00CE3DF1" w:rsidRPr="00CE3DF1" w:rsidRDefault="00CE3DF1" w:rsidP="00CE3DF1">
      <w:pPr>
        <w:spacing w:after="0" w:line="276" w:lineRule="auto"/>
        <w:rPr>
          <w:rFonts w:ascii="Times New Roman" w:eastAsia="Calibri" w:hAnsi="Times New Roman" w:cs="Times New Roman"/>
          <w:b/>
          <w:bCs/>
          <w:sz w:val="24"/>
          <w:szCs w:val="24"/>
        </w:rPr>
      </w:pPr>
    </w:p>
    <w:p w:rsidR="00CE3DF1" w:rsidRPr="00CE3DF1" w:rsidRDefault="00CE3DF1" w:rsidP="00CE3DF1">
      <w:pPr>
        <w:spacing w:after="0" w:line="276" w:lineRule="auto"/>
        <w:rPr>
          <w:rFonts w:ascii="Times New Roman" w:eastAsia="Calibri" w:hAnsi="Times New Roman" w:cs="Times New Roman"/>
          <w:b/>
          <w:bCs/>
          <w:sz w:val="24"/>
          <w:szCs w:val="24"/>
        </w:rPr>
      </w:pPr>
    </w:p>
    <w:p w:rsidR="00CE3DF1" w:rsidRPr="00CE3DF1" w:rsidRDefault="00CE3DF1" w:rsidP="00CE3DF1">
      <w:pPr>
        <w:spacing w:after="0" w:line="276" w:lineRule="auto"/>
        <w:rPr>
          <w:rFonts w:ascii="Times New Roman" w:eastAsia="Calibri" w:hAnsi="Times New Roman" w:cs="Times New Roman"/>
          <w:b/>
          <w:bCs/>
          <w:sz w:val="24"/>
          <w:szCs w:val="24"/>
        </w:rPr>
      </w:pPr>
    </w:p>
    <w:p w:rsidR="00CE3DF1" w:rsidRPr="00CE3DF1" w:rsidRDefault="00CE3DF1" w:rsidP="00CE3DF1">
      <w:pPr>
        <w:spacing w:after="0" w:line="276" w:lineRule="auto"/>
        <w:rPr>
          <w:rFonts w:ascii="Times New Roman" w:eastAsia="Calibri" w:hAnsi="Times New Roman" w:cs="Times New Roman"/>
          <w:b/>
          <w:bCs/>
          <w:sz w:val="24"/>
          <w:szCs w:val="24"/>
        </w:rPr>
      </w:pPr>
    </w:p>
    <w:p w:rsidR="00CE3DF1" w:rsidRPr="00CE3DF1" w:rsidRDefault="00CE3DF1" w:rsidP="00CE3DF1">
      <w:pPr>
        <w:spacing w:after="0" w:line="276" w:lineRule="auto"/>
        <w:rPr>
          <w:rFonts w:ascii="Times New Roman" w:eastAsia="Calibri" w:hAnsi="Times New Roman" w:cs="Times New Roman"/>
          <w:b/>
          <w:bCs/>
          <w:sz w:val="24"/>
          <w:szCs w:val="24"/>
        </w:rPr>
      </w:pPr>
    </w:p>
    <w:p w:rsidR="00CE3DF1" w:rsidRPr="00CE3DF1" w:rsidRDefault="00CE3DF1" w:rsidP="00CE3DF1">
      <w:pPr>
        <w:spacing w:after="0" w:line="276" w:lineRule="auto"/>
        <w:rPr>
          <w:rFonts w:ascii="Times New Roman" w:eastAsia="Calibri" w:hAnsi="Times New Roman" w:cs="Times New Roman"/>
          <w:b/>
          <w:bCs/>
          <w:sz w:val="24"/>
          <w:szCs w:val="24"/>
        </w:rPr>
      </w:pPr>
    </w:p>
    <w:p w:rsidR="00CE3DF1" w:rsidRPr="00CE3DF1" w:rsidRDefault="00CE3DF1" w:rsidP="00CE3DF1">
      <w:pPr>
        <w:spacing w:after="0" w:line="276" w:lineRule="auto"/>
        <w:rPr>
          <w:rFonts w:ascii="Times New Roman" w:eastAsia="Calibri" w:hAnsi="Times New Roman" w:cs="Times New Roman"/>
          <w:b/>
          <w:bCs/>
          <w:sz w:val="24"/>
          <w:szCs w:val="24"/>
        </w:rPr>
      </w:pPr>
    </w:p>
    <w:p w:rsidR="00CE3DF1" w:rsidRPr="00CE3DF1" w:rsidRDefault="00CE3DF1" w:rsidP="00CE3DF1">
      <w:pPr>
        <w:spacing w:after="0" w:line="276" w:lineRule="auto"/>
        <w:rPr>
          <w:rFonts w:ascii="Times New Roman" w:eastAsia="Calibri" w:hAnsi="Times New Roman" w:cs="Times New Roman"/>
          <w:b/>
          <w:bCs/>
          <w:sz w:val="24"/>
          <w:szCs w:val="24"/>
        </w:rPr>
      </w:pPr>
    </w:p>
    <w:p w:rsidR="00CE3DF1" w:rsidRPr="00CE3DF1" w:rsidRDefault="00CE3DF1" w:rsidP="00CE3DF1">
      <w:pPr>
        <w:spacing w:after="0" w:line="276" w:lineRule="auto"/>
        <w:rPr>
          <w:rFonts w:ascii="Times New Roman" w:eastAsia="Calibri" w:hAnsi="Times New Roman" w:cs="Times New Roman"/>
          <w:b/>
          <w:bCs/>
          <w:sz w:val="24"/>
          <w:szCs w:val="24"/>
        </w:rPr>
      </w:pPr>
    </w:p>
    <w:p w:rsidR="00CE3DF1" w:rsidRPr="00CE3DF1" w:rsidRDefault="00CE3DF1" w:rsidP="00CE3DF1">
      <w:pPr>
        <w:spacing w:after="0" w:line="276" w:lineRule="auto"/>
        <w:rPr>
          <w:rFonts w:ascii="Times New Roman" w:eastAsia="Calibri" w:hAnsi="Times New Roman" w:cs="Times New Roman"/>
          <w:b/>
          <w:bCs/>
          <w:sz w:val="24"/>
          <w:szCs w:val="24"/>
        </w:rPr>
      </w:pPr>
    </w:p>
    <w:p w:rsidR="00B90573" w:rsidRDefault="00B90573"/>
    <w:sectPr w:rsidR="00B905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E91" w:rsidRDefault="00526E91" w:rsidP="00CE3DF1">
      <w:pPr>
        <w:spacing w:after="0" w:line="240" w:lineRule="auto"/>
      </w:pPr>
      <w:r>
        <w:separator/>
      </w:r>
    </w:p>
  </w:endnote>
  <w:endnote w:type="continuationSeparator" w:id="0">
    <w:p w:rsidR="00526E91" w:rsidRDefault="00526E91" w:rsidP="00CE3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EuropeC">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E91" w:rsidRDefault="00526E91" w:rsidP="00CE3DF1">
      <w:pPr>
        <w:spacing w:after="0" w:line="240" w:lineRule="auto"/>
      </w:pPr>
      <w:r>
        <w:separator/>
      </w:r>
    </w:p>
  </w:footnote>
  <w:footnote w:type="continuationSeparator" w:id="0">
    <w:p w:rsidR="00526E91" w:rsidRDefault="00526E91" w:rsidP="00CE3D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325"/>
      </v:shape>
    </w:pict>
  </w:numPicBullet>
  <w:abstractNum w:abstractNumId="0" w15:restartNumberingAfterBreak="0">
    <w:nsid w:val="03684E13"/>
    <w:multiLevelType w:val="multilevel"/>
    <w:tmpl w:val="EB3C01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6000A7"/>
    <w:multiLevelType w:val="multilevel"/>
    <w:tmpl w:val="7232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55A4C"/>
    <w:multiLevelType w:val="hybridMultilevel"/>
    <w:tmpl w:val="B6102312"/>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A6755BE"/>
    <w:multiLevelType w:val="multilevel"/>
    <w:tmpl w:val="913425E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4" w15:restartNumberingAfterBreak="0">
    <w:nsid w:val="0BF27930"/>
    <w:multiLevelType w:val="hybridMultilevel"/>
    <w:tmpl w:val="6B4EF2D4"/>
    <w:lvl w:ilvl="0" w:tplc="94983754">
      <w:numFmt w:val="bullet"/>
      <w:lvlText w:val="-"/>
      <w:lvlJc w:val="left"/>
      <w:pPr>
        <w:ind w:left="795" w:hanging="360"/>
      </w:pPr>
      <w:rPr>
        <w:rFonts w:ascii="Times New Roman" w:eastAsiaTheme="minorHAnsi" w:hAnsi="Times New Roman" w:cs="Times New Roman" w:hint="default"/>
      </w:rPr>
    </w:lvl>
    <w:lvl w:ilvl="1" w:tplc="04020003" w:tentative="1">
      <w:start w:val="1"/>
      <w:numFmt w:val="bullet"/>
      <w:lvlText w:val="o"/>
      <w:lvlJc w:val="left"/>
      <w:pPr>
        <w:ind w:left="1515" w:hanging="360"/>
      </w:pPr>
      <w:rPr>
        <w:rFonts w:ascii="Courier New" w:hAnsi="Courier New" w:cs="Courier New" w:hint="default"/>
      </w:rPr>
    </w:lvl>
    <w:lvl w:ilvl="2" w:tplc="04020005" w:tentative="1">
      <w:start w:val="1"/>
      <w:numFmt w:val="bullet"/>
      <w:lvlText w:val=""/>
      <w:lvlJc w:val="left"/>
      <w:pPr>
        <w:ind w:left="2235" w:hanging="360"/>
      </w:pPr>
      <w:rPr>
        <w:rFonts w:ascii="Wingdings" w:hAnsi="Wingdings" w:hint="default"/>
      </w:rPr>
    </w:lvl>
    <w:lvl w:ilvl="3" w:tplc="04020001" w:tentative="1">
      <w:start w:val="1"/>
      <w:numFmt w:val="bullet"/>
      <w:lvlText w:val=""/>
      <w:lvlJc w:val="left"/>
      <w:pPr>
        <w:ind w:left="2955" w:hanging="360"/>
      </w:pPr>
      <w:rPr>
        <w:rFonts w:ascii="Symbol" w:hAnsi="Symbol" w:hint="default"/>
      </w:rPr>
    </w:lvl>
    <w:lvl w:ilvl="4" w:tplc="04020003" w:tentative="1">
      <w:start w:val="1"/>
      <w:numFmt w:val="bullet"/>
      <w:lvlText w:val="o"/>
      <w:lvlJc w:val="left"/>
      <w:pPr>
        <w:ind w:left="3675" w:hanging="360"/>
      </w:pPr>
      <w:rPr>
        <w:rFonts w:ascii="Courier New" w:hAnsi="Courier New" w:cs="Courier New" w:hint="default"/>
      </w:rPr>
    </w:lvl>
    <w:lvl w:ilvl="5" w:tplc="04020005" w:tentative="1">
      <w:start w:val="1"/>
      <w:numFmt w:val="bullet"/>
      <w:lvlText w:val=""/>
      <w:lvlJc w:val="left"/>
      <w:pPr>
        <w:ind w:left="4395" w:hanging="360"/>
      </w:pPr>
      <w:rPr>
        <w:rFonts w:ascii="Wingdings" w:hAnsi="Wingdings" w:hint="default"/>
      </w:rPr>
    </w:lvl>
    <w:lvl w:ilvl="6" w:tplc="04020001" w:tentative="1">
      <w:start w:val="1"/>
      <w:numFmt w:val="bullet"/>
      <w:lvlText w:val=""/>
      <w:lvlJc w:val="left"/>
      <w:pPr>
        <w:ind w:left="5115" w:hanging="360"/>
      </w:pPr>
      <w:rPr>
        <w:rFonts w:ascii="Symbol" w:hAnsi="Symbol" w:hint="default"/>
      </w:rPr>
    </w:lvl>
    <w:lvl w:ilvl="7" w:tplc="04020003" w:tentative="1">
      <w:start w:val="1"/>
      <w:numFmt w:val="bullet"/>
      <w:lvlText w:val="o"/>
      <w:lvlJc w:val="left"/>
      <w:pPr>
        <w:ind w:left="5835" w:hanging="360"/>
      </w:pPr>
      <w:rPr>
        <w:rFonts w:ascii="Courier New" w:hAnsi="Courier New" w:cs="Courier New" w:hint="default"/>
      </w:rPr>
    </w:lvl>
    <w:lvl w:ilvl="8" w:tplc="04020005" w:tentative="1">
      <w:start w:val="1"/>
      <w:numFmt w:val="bullet"/>
      <w:lvlText w:val=""/>
      <w:lvlJc w:val="left"/>
      <w:pPr>
        <w:ind w:left="6555" w:hanging="360"/>
      </w:pPr>
      <w:rPr>
        <w:rFonts w:ascii="Wingdings" w:hAnsi="Wingdings" w:hint="default"/>
      </w:rPr>
    </w:lvl>
  </w:abstractNum>
  <w:abstractNum w:abstractNumId="5" w15:restartNumberingAfterBreak="0">
    <w:nsid w:val="0F14252D"/>
    <w:multiLevelType w:val="hybridMultilevel"/>
    <w:tmpl w:val="DBE2E70A"/>
    <w:lvl w:ilvl="0" w:tplc="F7729410">
      <w:start w:val="1"/>
      <w:numFmt w:val="bullet"/>
      <w:lvlText w:val=""/>
      <w:lvlJc w:val="left"/>
      <w:pPr>
        <w:tabs>
          <w:tab w:val="num" w:pos="720"/>
        </w:tabs>
        <w:ind w:left="720" w:hanging="360"/>
      </w:pPr>
      <w:rPr>
        <w:rFonts w:ascii="Wingdings" w:hAnsi="Wingdings" w:hint="default"/>
      </w:rPr>
    </w:lvl>
    <w:lvl w:ilvl="1" w:tplc="B4D4B504" w:tentative="1">
      <w:start w:val="1"/>
      <w:numFmt w:val="bullet"/>
      <w:lvlText w:val=""/>
      <w:lvlJc w:val="left"/>
      <w:pPr>
        <w:tabs>
          <w:tab w:val="num" w:pos="1440"/>
        </w:tabs>
        <w:ind w:left="1440" w:hanging="360"/>
      </w:pPr>
      <w:rPr>
        <w:rFonts w:ascii="Wingdings" w:hAnsi="Wingdings" w:hint="default"/>
      </w:rPr>
    </w:lvl>
    <w:lvl w:ilvl="2" w:tplc="F726F82A" w:tentative="1">
      <w:start w:val="1"/>
      <w:numFmt w:val="bullet"/>
      <w:lvlText w:val=""/>
      <w:lvlJc w:val="left"/>
      <w:pPr>
        <w:tabs>
          <w:tab w:val="num" w:pos="2160"/>
        </w:tabs>
        <w:ind w:left="2160" w:hanging="360"/>
      </w:pPr>
      <w:rPr>
        <w:rFonts w:ascii="Wingdings" w:hAnsi="Wingdings" w:hint="default"/>
      </w:rPr>
    </w:lvl>
    <w:lvl w:ilvl="3" w:tplc="F37212F8" w:tentative="1">
      <w:start w:val="1"/>
      <w:numFmt w:val="bullet"/>
      <w:lvlText w:val=""/>
      <w:lvlJc w:val="left"/>
      <w:pPr>
        <w:tabs>
          <w:tab w:val="num" w:pos="2880"/>
        </w:tabs>
        <w:ind w:left="2880" w:hanging="360"/>
      </w:pPr>
      <w:rPr>
        <w:rFonts w:ascii="Wingdings" w:hAnsi="Wingdings" w:hint="default"/>
      </w:rPr>
    </w:lvl>
    <w:lvl w:ilvl="4" w:tplc="FF04FEEA" w:tentative="1">
      <w:start w:val="1"/>
      <w:numFmt w:val="bullet"/>
      <w:lvlText w:val=""/>
      <w:lvlJc w:val="left"/>
      <w:pPr>
        <w:tabs>
          <w:tab w:val="num" w:pos="3600"/>
        </w:tabs>
        <w:ind w:left="3600" w:hanging="360"/>
      </w:pPr>
      <w:rPr>
        <w:rFonts w:ascii="Wingdings" w:hAnsi="Wingdings" w:hint="default"/>
      </w:rPr>
    </w:lvl>
    <w:lvl w:ilvl="5" w:tplc="0DD4BCA0" w:tentative="1">
      <w:start w:val="1"/>
      <w:numFmt w:val="bullet"/>
      <w:lvlText w:val=""/>
      <w:lvlJc w:val="left"/>
      <w:pPr>
        <w:tabs>
          <w:tab w:val="num" w:pos="4320"/>
        </w:tabs>
        <w:ind w:left="4320" w:hanging="360"/>
      </w:pPr>
      <w:rPr>
        <w:rFonts w:ascii="Wingdings" w:hAnsi="Wingdings" w:hint="default"/>
      </w:rPr>
    </w:lvl>
    <w:lvl w:ilvl="6" w:tplc="E960B4C4" w:tentative="1">
      <w:start w:val="1"/>
      <w:numFmt w:val="bullet"/>
      <w:lvlText w:val=""/>
      <w:lvlJc w:val="left"/>
      <w:pPr>
        <w:tabs>
          <w:tab w:val="num" w:pos="5040"/>
        </w:tabs>
        <w:ind w:left="5040" w:hanging="360"/>
      </w:pPr>
      <w:rPr>
        <w:rFonts w:ascii="Wingdings" w:hAnsi="Wingdings" w:hint="default"/>
      </w:rPr>
    </w:lvl>
    <w:lvl w:ilvl="7" w:tplc="7A929E90" w:tentative="1">
      <w:start w:val="1"/>
      <w:numFmt w:val="bullet"/>
      <w:lvlText w:val=""/>
      <w:lvlJc w:val="left"/>
      <w:pPr>
        <w:tabs>
          <w:tab w:val="num" w:pos="5760"/>
        </w:tabs>
        <w:ind w:left="5760" w:hanging="360"/>
      </w:pPr>
      <w:rPr>
        <w:rFonts w:ascii="Wingdings" w:hAnsi="Wingdings" w:hint="default"/>
      </w:rPr>
    </w:lvl>
    <w:lvl w:ilvl="8" w:tplc="9768E56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E77B27"/>
    <w:multiLevelType w:val="hybridMultilevel"/>
    <w:tmpl w:val="AE6CD6AA"/>
    <w:lvl w:ilvl="0" w:tplc="DB40CB18">
      <w:start w:val="1"/>
      <w:numFmt w:val="bullet"/>
      <w:lvlText w:val=""/>
      <w:lvlJc w:val="left"/>
      <w:pPr>
        <w:tabs>
          <w:tab w:val="num" w:pos="720"/>
        </w:tabs>
        <w:ind w:left="720" w:hanging="360"/>
      </w:pPr>
      <w:rPr>
        <w:rFonts w:ascii="Wingdings" w:hAnsi="Wingdings" w:hint="default"/>
      </w:rPr>
    </w:lvl>
    <w:lvl w:ilvl="1" w:tplc="CFDA6C10" w:tentative="1">
      <w:start w:val="1"/>
      <w:numFmt w:val="bullet"/>
      <w:lvlText w:val=""/>
      <w:lvlJc w:val="left"/>
      <w:pPr>
        <w:tabs>
          <w:tab w:val="num" w:pos="1440"/>
        </w:tabs>
        <w:ind w:left="1440" w:hanging="360"/>
      </w:pPr>
      <w:rPr>
        <w:rFonts w:ascii="Wingdings" w:hAnsi="Wingdings" w:hint="default"/>
      </w:rPr>
    </w:lvl>
    <w:lvl w:ilvl="2" w:tplc="26A0555C" w:tentative="1">
      <w:start w:val="1"/>
      <w:numFmt w:val="bullet"/>
      <w:lvlText w:val=""/>
      <w:lvlJc w:val="left"/>
      <w:pPr>
        <w:tabs>
          <w:tab w:val="num" w:pos="2160"/>
        </w:tabs>
        <w:ind w:left="2160" w:hanging="360"/>
      </w:pPr>
      <w:rPr>
        <w:rFonts w:ascii="Wingdings" w:hAnsi="Wingdings" w:hint="default"/>
      </w:rPr>
    </w:lvl>
    <w:lvl w:ilvl="3" w:tplc="06E02374" w:tentative="1">
      <w:start w:val="1"/>
      <w:numFmt w:val="bullet"/>
      <w:lvlText w:val=""/>
      <w:lvlJc w:val="left"/>
      <w:pPr>
        <w:tabs>
          <w:tab w:val="num" w:pos="2880"/>
        </w:tabs>
        <w:ind w:left="2880" w:hanging="360"/>
      </w:pPr>
      <w:rPr>
        <w:rFonts w:ascii="Wingdings" w:hAnsi="Wingdings" w:hint="default"/>
      </w:rPr>
    </w:lvl>
    <w:lvl w:ilvl="4" w:tplc="82740088" w:tentative="1">
      <w:start w:val="1"/>
      <w:numFmt w:val="bullet"/>
      <w:lvlText w:val=""/>
      <w:lvlJc w:val="left"/>
      <w:pPr>
        <w:tabs>
          <w:tab w:val="num" w:pos="3600"/>
        </w:tabs>
        <w:ind w:left="3600" w:hanging="360"/>
      </w:pPr>
      <w:rPr>
        <w:rFonts w:ascii="Wingdings" w:hAnsi="Wingdings" w:hint="default"/>
      </w:rPr>
    </w:lvl>
    <w:lvl w:ilvl="5" w:tplc="B7E66130" w:tentative="1">
      <w:start w:val="1"/>
      <w:numFmt w:val="bullet"/>
      <w:lvlText w:val=""/>
      <w:lvlJc w:val="left"/>
      <w:pPr>
        <w:tabs>
          <w:tab w:val="num" w:pos="4320"/>
        </w:tabs>
        <w:ind w:left="4320" w:hanging="360"/>
      </w:pPr>
      <w:rPr>
        <w:rFonts w:ascii="Wingdings" w:hAnsi="Wingdings" w:hint="default"/>
      </w:rPr>
    </w:lvl>
    <w:lvl w:ilvl="6" w:tplc="E6DC08BE" w:tentative="1">
      <w:start w:val="1"/>
      <w:numFmt w:val="bullet"/>
      <w:lvlText w:val=""/>
      <w:lvlJc w:val="left"/>
      <w:pPr>
        <w:tabs>
          <w:tab w:val="num" w:pos="5040"/>
        </w:tabs>
        <w:ind w:left="5040" w:hanging="360"/>
      </w:pPr>
      <w:rPr>
        <w:rFonts w:ascii="Wingdings" w:hAnsi="Wingdings" w:hint="default"/>
      </w:rPr>
    </w:lvl>
    <w:lvl w:ilvl="7" w:tplc="A39C1558" w:tentative="1">
      <w:start w:val="1"/>
      <w:numFmt w:val="bullet"/>
      <w:lvlText w:val=""/>
      <w:lvlJc w:val="left"/>
      <w:pPr>
        <w:tabs>
          <w:tab w:val="num" w:pos="5760"/>
        </w:tabs>
        <w:ind w:left="5760" w:hanging="360"/>
      </w:pPr>
      <w:rPr>
        <w:rFonts w:ascii="Wingdings" w:hAnsi="Wingdings" w:hint="default"/>
      </w:rPr>
    </w:lvl>
    <w:lvl w:ilvl="8" w:tplc="4938650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C4008D"/>
    <w:multiLevelType w:val="multilevel"/>
    <w:tmpl w:val="9118CC40"/>
    <w:lvl w:ilvl="0">
      <w:start w:val="6"/>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8D55F81"/>
    <w:multiLevelType w:val="multilevel"/>
    <w:tmpl w:val="2A48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63218F"/>
    <w:multiLevelType w:val="hybridMultilevel"/>
    <w:tmpl w:val="4DCCE0CC"/>
    <w:lvl w:ilvl="0" w:tplc="9FC83E66">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1B997A58"/>
    <w:multiLevelType w:val="hybridMultilevel"/>
    <w:tmpl w:val="A6908024"/>
    <w:lvl w:ilvl="0" w:tplc="6644B89C">
      <w:start w:val="1"/>
      <w:numFmt w:val="bullet"/>
      <w:lvlText w:val=""/>
      <w:lvlJc w:val="left"/>
      <w:pPr>
        <w:tabs>
          <w:tab w:val="num" w:pos="720"/>
        </w:tabs>
        <w:ind w:left="720" w:hanging="360"/>
      </w:pPr>
      <w:rPr>
        <w:rFonts w:ascii="Wingdings" w:hAnsi="Wingdings" w:hint="default"/>
      </w:rPr>
    </w:lvl>
    <w:lvl w:ilvl="1" w:tplc="C8A4DF36" w:tentative="1">
      <w:start w:val="1"/>
      <w:numFmt w:val="bullet"/>
      <w:lvlText w:val=""/>
      <w:lvlJc w:val="left"/>
      <w:pPr>
        <w:tabs>
          <w:tab w:val="num" w:pos="1440"/>
        </w:tabs>
        <w:ind w:left="1440" w:hanging="360"/>
      </w:pPr>
      <w:rPr>
        <w:rFonts w:ascii="Wingdings" w:hAnsi="Wingdings" w:hint="default"/>
      </w:rPr>
    </w:lvl>
    <w:lvl w:ilvl="2" w:tplc="BC187A2E" w:tentative="1">
      <w:start w:val="1"/>
      <w:numFmt w:val="bullet"/>
      <w:lvlText w:val=""/>
      <w:lvlJc w:val="left"/>
      <w:pPr>
        <w:tabs>
          <w:tab w:val="num" w:pos="2160"/>
        </w:tabs>
        <w:ind w:left="2160" w:hanging="360"/>
      </w:pPr>
      <w:rPr>
        <w:rFonts w:ascii="Wingdings" w:hAnsi="Wingdings" w:hint="default"/>
      </w:rPr>
    </w:lvl>
    <w:lvl w:ilvl="3" w:tplc="94366FE6" w:tentative="1">
      <w:start w:val="1"/>
      <w:numFmt w:val="bullet"/>
      <w:lvlText w:val=""/>
      <w:lvlJc w:val="left"/>
      <w:pPr>
        <w:tabs>
          <w:tab w:val="num" w:pos="2880"/>
        </w:tabs>
        <w:ind w:left="2880" w:hanging="360"/>
      </w:pPr>
      <w:rPr>
        <w:rFonts w:ascii="Wingdings" w:hAnsi="Wingdings" w:hint="default"/>
      </w:rPr>
    </w:lvl>
    <w:lvl w:ilvl="4" w:tplc="479A5994" w:tentative="1">
      <w:start w:val="1"/>
      <w:numFmt w:val="bullet"/>
      <w:lvlText w:val=""/>
      <w:lvlJc w:val="left"/>
      <w:pPr>
        <w:tabs>
          <w:tab w:val="num" w:pos="3600"/>
        </w:tabs>
        <w:ind w:left="3600" w:hanging="360"/>
      </w:pPr>
      <w:rPr>
        <w:rFonts w:ascii="Wingdings" w:hAnsi="Wingdings" w:hint="default"/>
      </w:rPr>
    </w:lvl>
    <w:lvl w:ilvl="5" w:tplc="ED3CC044" w:tentative="1">
      <w:start w:val="1"/>
      <w:numFmt w:val="bullet"/>
      <w:lvlText w:val=""/>
      <w:lvlJc w:val="left"/>
      <w:pPr>
        <w:tabs>
          <w:tab w:val="num" w:pos="4320"/>
        </w:tabs>
        <w:ind w:left="4320" w:hanging="360"/>
      </w:pPr>
      <w:rPr>
        <w:rFonts w:ascii="Wingdings" w:hAnsi="Wingdings" w:hint="default"/>
      </w:rPr>
    </w:lvl>
    <w:lvl w:ilvl="6" w:tplc="63DEA8BA" w:tentative="1">
      <w:start w:val="1"/>
      <w:numFmt w:val="bullet"/>
      <w:lvlText w:val=""/>
      <w:lvlJc w:val="left"/>
      <w:pPr>
        <w:tabs>
          <w:tab w:val="num" w:pos="5040"/>
        </w:tabs>
        <w:ind w:left="5040" w:hanging="360"/>
      </w:pPr>
      <w:rPr>
        <w:rFonts w:ascii="Wingdings" w:hAnsi="Wingdings" w:hint="default"/>
      </w:rPr>
    </w:lvl>
    <w:lvl w:ilvl="7" w:tplc="56F44780" w:tentative="1">
      <w:start w:val="1"/>
      <w:numFmt w:val="bullet"/>
      <w:lvlText w:val=""/>
      <w:lvlJc w:val="left"/>
      <w:pPr>
        <w:tabs>
          <w:tab w:val="num" w:pos="5760"/>
        </w:tabs>
        <w:ind w:left="5760" w:hanging="360"/>
      </w:pPr>
      <w:rPr>
        <w:rFonts w:ascii="Wingdings" w:hAnsi="Wingdings" w:hint="default"/>
      </w:rPr>
    </w:lvl>
    <w:lvl w:ilvl="8" w:tplc="5EA8D9A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2F3B39"/>
    <w:multiLevelType w:val="hybridMultilevel"/>
    <w:tmpl w:val="08A6350A"/>
    <w:lvl w:ilvl="0" w:tplc="CDAE454C">
      <w:start w:val="2"/>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3503B9"/>
    <w:multiLevelType w:val="hybridMultilevel"/>
    <w:tmpl w:val="1EECAACC"/>
    <w:lvl w:ilvl="0" w:tplc="EF809F94">
      <w:start w:val="1"/>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2E20A9"/>
    <w:multiLevelType w:val="hybridMultilevel"/>
    <w:tmpl w:val="60EA47F2"/>
    <w:lvl w:ilvl="0" w:tplc="EF809F94">
      <w:start w:val="1"/>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6A093A"/>
    <w:multiLevelType w:val="hybridMultilevel"/>
    <w:tmpl w:val="54E6864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259B72F0"/>
    <w:multiLevelType w:val="hybridMultilevel"/>
    <w:tmpl w:val="8FEE0BB0"/>
    <w:lvl w:ilvl="0" w:tplc="9FC83E6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103903"/>
    <w:multiLevelType w:val="multilevel"/>
    <w:tmpl w:val="57A82E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95265A9"/>
    <w:multiLevelType w:val="hybridMultilevel"/>
    <w:tmpl w:val="A554289E"/>
    <w:lvl w:ilvl="0" w:tplc="EF809F94">
      <w:start w:val="1"/>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31847"/>
    <w:multiLevelType w:val="hybridMultilevel"/>
    <w:tmpl w:val="515A71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C4E0E"/>
    <w:multiLevelType w:val="hybridMultilevel"/>
    <w:tmpl w:val="6284D7D0"/>
    <w:lvl w:ilvl="0" w:tplc="04020001">
      <w:start w:val="1"/>
      <w:numFmt w:val="bullet"/>
      <w:lvlText w:val=""/>
      <w:lvlJc w:val="left"/>
      <w:pPr>
        <w:ind w:left="765" w:hanging="360"/>
      </w:pPr>
      <w:rPr>
        <w:rFonts w:ascii="Symbol" w:hAnsi="Symbol" w:hint="default"/>
      </w:rPr>
    </w:lvl>
    <w:lvl w:ilvl="1" w:tplc="04020003" w:tentative="1">
      <w:start w:val="1"/>
      <w:numFmt w:val="bullet"/>
      <w:lvlText w:val="o"/>
      <w:lvlJc w:val="left"/>
      <w:pPr>
        <w:ind w:left="1485" w:hanging="360"/>
      </w:pPr>
      <w:rPr>
        <w:rFonts w:ascii="Courier New" w:hAnsi="Courier New" w:cs="Courier New" w:hint="default"/>
      </w:rPr>
    </w:lvl>
    <w:lvl w:ilvl="2" w:tplc="04020005" w:tentative="1">
      <w:start w:val="1"/>
      <w:numFmt w:val="bullet"/>
      <w:lvlText w:val=""/>
      <w:lvlJc w:val="left"/>
      <w:pPr>
        <w:ind w:left="2205" w:hanging="360"/>
      </w:pPr>
      <w:rPr>
        <w:rFonts w:ascii="Wingdings" w:hAnsi="Wingdings" w:hint="default"/>
      </w:rPr>
    </w:lvl>
    <w:lvl w:ilvl="3" w:tplc="04020001" w:tentative="1">
      <w:start w:val="1"/>
      <w:numFmt w:val="bullet"/>
      <w:lvlText w:val=""/>
      <w:lvlJc w:val="left"/>
      <w:pPr>
        <w:ind w:left="2925" w:hanging="360"/>
      </w:pPr>
      <w:rPr>
        <w:rFonts w:ascii="Symbol" w:hAnsi="Symbol" w:hint="default"/>
      </w:rPr>
    </w:lvl>
    <w:lvl w:ilvl="4" w:tplc="04020003" w:tentative="1">
      <w:start w:val="1"/>
      <w:numFmt w:val="bullet"/>
      <w:lvlText w:val="o"/>
      <w:lvlJc w:val="left"/>
      <w:pPr>
        <w:ind w:left="3645" w:hanging="360"/>
      </w:pPr>
      <w:rPr>
        <w:rFonts w:ascii="Courier New" w:hAnsi="Courier New" w:cs="Courier New" w:hint="default"/>
      </w:rPr>
    </w:lvl>
    <w:lvl w:ilvl="5" w:tplc="04020005" w:tentative="1">
      <w:start w:val="1"/>
      <w:numFmt w:val="bullet"/>
      <w:lvlText w:val=""/>
      <w:lvlJc w:val="left"/>
      <w:pPr>
        <w:ind w:left="4365" w:hanging="360"/>
      </w:pPr>
      <w:rPr>
        <w:rFonts w:ascii="Wingdings" w:hAnsi="Wingdings" w:hint="default"/>
      </w:rPr>
    </w:lvl>
    <w:lvl w:ilvl="6" w:tplc="04020001" w:tentative="1">
      <w:start w:val="1"/>
      <w:numFmt w:val="bullet"/>
      <w:lvlText w:val=""/>
      <w:lvlJc w:val="left"/>
      <w:pPr>
        <w:ind w:left="5085" w:hanging="360"/>
      </w:pPr>
      <w:rPr>
        <w:rFonts w:ascii="Symbol" w:hAnsi="Symbol" w:hint="default"/>
      </w:rPr>
    </w:lvl>
    <w:lvl w:ilvl="7" w:tplc="04020003" w:tentative="1">
      <w:start w:val="1"/>
      <w:numFmt w:val="bullet"/>
      <w:lvlText w:val="o"/>
      <w:lvlJc w:val="left"/>
      <w:pPr>
        <w:ind w:left="5805" w:hanging="360"/>
      </w:pPr>
      <w:rPr>
        <w:rFonts w:ascii="Courier New" w:hAnsi="Courier New" w:cs="Courier New" w:hint="default"/>
      </w:rPr>
    </w:lvl>
    <w:lvl w:ilvl="8" w:tplc="04020005" w:tentative="1">
      <w:start w:val="1"/>
      <w:numFmt w:val="bullet"/>
      <w:lvlText w:val=""/>
      <w:lvlJc w:val="left"/>
      <w:pPr>
        <w:ind w:left="6525" w:hanging="360"/>
      </w:pPr>
      <w:rPr>
        <w:rFonts w:ascii="Wingdings" w:hAnsi="Wingdings" w:hint="default"/>
      </w:rPr>
    </w:lvl>
  </w:abstractNum>
  <w:abstractNum w:abstractNumId="20" w15:restartNumberingAfterBreak="0">
    <w:nsid w:val="2CA01FE9"/>
    <w:multiLevelType w:val="hybridMultilevel"/>
    <w:tmpl w:val="E1B0CDF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1" w15:restartNumberingAfterBreak="0">
    <w:nsid w:val="2FA87BFF"/>
    <w:multiLevelType w:val="hybridMultilevel"/>
    <w:tmpl w:val="7340DC6E"/>
    <w:lvl w:ilvl="0" w:tplc="020CEDC8">
      <w:start w:val="4"/>
      <w:numFmt w:val="bullet"/>
      <w:lvlText w:val="-"/>
      <w:lvlJc w:val="left"/>
      <w:pPr>
        <w:ind w:left="720" w:hanging="360"/>
      </w:pPr>
      <w:rPr>
        <w:rFonts w:ascii="Times New Roman" w:eastAsia="Verdan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527D1E"/>
    <w:multiLevelType w:val="hybridMultilevel"/>
    <w:tmpl w:val="800CBC2C"/>
    <w:lvl w:ilvl="0" w:tplc="9FC83E66">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32912C7C"/>
    <w:multiLevelType w:val="hybridMultilevel"/>
    <w:tmpl w:val="75A6E3C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391C2C0F"/>
    <w:multiLevelType w:val="hybridMultilevel"/>
    <w:tmpl w:val="AA4CA6E8"/>
    <w:lvl w:ilvl="0" w:tplc="518CB7A4">
      <w:start w:val="5"/>
      <w:numFmt w:val="bullet"/>
      <w:lvlText w:val="-"/>
      <w:lvlJc w:val="left"/>
      <w:pPr>
        <w:ind w:left="720" w:hanging="360"/>
      </w:pPr>
      <w:rPr>
        <w:rFonts w:ascii="Palatino Linotype" w:eastAsiaTheme="minorHAnsi" w:hAnsi="Palatino Lino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5B034F"/>
    <w:multiLevelType w:val="hybridMultilevel"/>
    <w:tmpl w:val="C9A0AC7E"/>
    <w:lvl w:ilvl="0" w:tplc="B4884A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4759BD"/>
    <w:multiLevelType w:val="hybridMultilevel"/>
    <w:tmpl w:val="1C16C15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04379F4"/>
    <w:multiLevelType w:val="hybridMultilevel"/>
    <w:tmpl w:val="C69E4C5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42AB6081"/>
    <w:multiLevelType w:val="hybridMultilevel"/>
    <w:tmpl w:val="ED22F9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42E76AAD"/>
    <w:multiLevelType w:val="hybridMultilevel"/>
    <w:tmpl w:val="651C5B96"/>
    <w:lvl w:ilvl="0" w:tplc="295C30D4">
      <w:start w:val="429"/>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E02035"/>
    <w:multiLevelType w:val="multilevel"/>
    <w:tmpl w:val="A4A6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8A17DF"/>
    <w:multiLevelType w:val="hybridMultilevel"/>
    <w:tmpl w:val="13F4F28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51CB182C"/>
    <w:multiLevelType w:val="multilevel"/>
    <w:tmpl w:val="0E5AD2A4"/>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3" w15:restartNumberingAfterBreak="0">
    <w:nsid w:val="536753EE"/>
    <w:multiLevelType w:val="multilevel"/>
    <w:tmpl w:val="6DFE217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38557CE"/>
    <w:multiLevelType w:val="hybridMultilevel"/>
    <w:tmpl w:val="6A74713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56C7568E"/>
    <w:multiLevelType w:val="hybridMultilevel"/>
    <w:tmpl w:val="7BAACF2C"/>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36" w15:restartNumberingAfterBreak="0">
    <w:nsid w:val="58EE6DD2"/>
    <w:multiLevelType w:val="hybridMultilevel"/>
    <w:tmpl w:val="ACDE40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59613959"/>
    <w:multiLevelType w:val="hybridMultilevel"/>
    <w:tmpl w:val="9EA253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66562D1A"/>
    <w:multiLevelType w:val="hybridMultilevel"/>
    <w:tmpl w:val="0CBA76F0"/>
    <w:lvl w:ilvl="0" w:tplc="94983754">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682E7CE8"/>
    <w:multiLevelType w:val="hybridMultilevel"/>
    <w:tmpl w:val="21B696A0"/>
    <w:lvl w:ilvl="0" w:tplc="EF809F94">
      <w:start w:val="1"/>
      <w:numFmt w:val="bullet"/>
      <w:lvlText w:val="-"/>
      <w:lvlJc w:val="left"/>
      <w:pPr>
        <w:ind w:left="780" w:hanging="360"/>
      </w:pPr>
      <w:rPr>
        <w:rFonts w:ascii="Cambria" w:eastAsiaTheme="minorHAnsi" w:hAnsi="Cambria" w:cstheme="minorBidi"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40" w15:restartNumberingAfterBreak="0">
    <w:nsid w:val="68960342"/>
    <w:multiLevelType w:val="hybridMultilevel"/>
    <w:tmpl w:val="3818556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6F7D6908"/>
    <w:multiLevelType w:val="multilevel"/>
    <w:tmpl w:val="31B2C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4442DB"/>
    <w:multiLevelType w:val="hybridMultilevel"/>
    <w:tmpl w:val="F8CC47E8"/>
    <w:lvl w:ilvl="0" w:tplc="1FC650B2">
      <w:start w:val="1"/>
      <w:numFmt w:val="bullet"/>
      <w:lvlText w:val=""/>
      <w:lvlJc w:val="left"/>
      <w:pPr>
        <w:tabs>
          <w:tab w:val="num" w:pos="720"/>
        </w:tabs>
        <w:ind w:left="720" w:hanging="360"/>
      </w:pPr>
      <w:rPr>
        <w:rFonts w:ascii="Wingdings" w:hAnsi="Wingdings" w:hint="default"/>
      </w:rPr>
    </w:lvl>
    <w:lvl w:ilvl="1" w:tplc="351AB55C" w:tentative="1">
      <w:start w:val="1"/>
      <w:numFmt w:val="bullet"/>
      <w:lvlText w:val=""/>
      <w:lvlJc w:val="left"/>
      <w:pPr>
        <w:tabs>
          <w:tab w:val="num" w:pos="1440"/>
        </w:tabs>
        <w:ind w:left="1440" w:hanging="360"/>
      </w:pPr>
      <w:rPr>
        <w:rFonts w:ascii="Wingdings" w:hAnsi="Wingdings" w:hint="default"/>
      </w:rPr>
    </w:lvl>
    <w:lvl w:ilvl="2" w:tplc="088ADFA4" w:tentative="1">
      <w:start w:val="1"/>
      <w:numFmt w:val="bullet"/>
      <w:lvlText w:val=""/>
      <w:lvlJc w:val="left"/>
      <w:pPr>
        <w:tabs>
          <w:tab w:val="num" w:pos="2160"/>
        </w:tabs>
        <w:ind w:left="2160" w:hanging="360"/>
      </w:pPr>
      <w:rPr>
        <w:rFonts w:ascii="Wingdings" w:hAnsi="Wingdings" w:hint="default"/>
      </w:rPr>
    </w:lvl>
    <w:lvl w:ilvl="3" w:tplc="3C062A50" w:tentative="1">
      <w:start w:val="1"/>
      <w:numFmt w:val="bullet"/>
      <w:lvlText w:val=""/>
      <w:lvlJc w:val="left"/>
      <w:pPr>
        <w:tabs>
          <w:tab w:val="num" w:pos="2880"/>
        </w:tabs>
        <w:ind w:left="2880" w:hanging="360"/>
      </w:pPr>
      <w:rPr>
        <w:rFonts w:ascii="Wingdings" w:hAnsi="Wingdings" w:hint="default"/>
      </w:rPr>
    </w:lvl>
    <w:lvl w:ilvl="4" w:tplc="9AF08ABC" w:tentative="1">
      <w:start w:val="1"/>
      <w:numFmt w:val="bullet"/>
      <w:lvlText w:val=""/>
      <w:lvlJc w:val="left"/>
      <w:pPr>
        <w:tabs>
          <w:tab w:val="num" w:pos="3600"/>
        </w:tabs>
        <w:ind w:left="3600" w:hanging="360"/>
      </w:pPr>
      <w:rPr>
        <w:rFonts w:ascii="Wingdings" w:hAnsi="Wingdings" w:hint="default"/>
      </w:rPr>
    </w:lvl>
    <w:lvl w:ilvl="5" w:tplc="EE861614" w:tentative="1">
      <w:start w:val="1"/>
      <w:numFmt w:val="bullet"/>
      <w:lvlText w:val=""/>
      <w:lvlJc w:val="left"/>
      <w:pPr>
        <w:tabs>
          <w:tab w:val="num" w:pos="4320"/>
        </w:tabs>
        <w:ind w:left="4320" w:hanging="360"/>
      </w:pPr>
      <w:rPr>
        <w:rFonts w:ascii="Wingdings" w:hAnsi="Wingdings" w:hint="default"/>
      </w:rPr>
    </w:lvl>
    <w:lvl w:ilvl="6" w:tplc="784EC320" w:tentative="1">
      <w:start w:val="1"/>
      <w:numFmt w:val="bullet"/>
      <w:lvlText w:val=""/>
      <w:lvlJc w:val="left"/>
      <w:pPr>
        <w:tabs>
          <w:tab w:val="num" w:pos="5040"/>
        </w:tabs>
        <w:ind w:left="5040" w:hanging="360"/>
      </w:pPr>
      <w:rPr>
        <w:rFonts w:ascii="Wingdings" w:hAnsi="Wingdings" w:hint="default"/>
      </w:rPr>
    </w:lvl>
    <w:lvl w:ilvl="7" w:tplc="56268328" w:tentative="1">
      <w:start w:val="1"/>
      <w:numFmt w:val="bullet"/>
      <w:lvlText w:val=""/>
      <w:lvlJc w:val="left"/>
      <w:pPr>
        <w:tabs>
          <w:tab w:val="num" w:pos="5760"/>
        </w:tabs>
        <w:ind w:left="5760" w:hanging="360"/>
      </w:pPr>
      <w:rPr>
        <w:rFonts w:ascii="Wingdings" w:hAnsi="Wingdings" w:hint="default"/>
      </w:rPr>
    </w:lvl>
    <w:lvl w:ilvl="8" w:tplc="0FA0DB1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FE28E9"/>
    <w:multiLevelType w:val="multilevel"/>
    <w:tmpl w:val="588A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B160FF"/>
    <w:multiLevelType w:val="hybridMultilevel"/>
    <w:tmpl w:val="9E02384E"/>
    <w:lvl w:ilvl="0" w:tplc="EF809F94">
      <w:start w:val="1"/>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207517"/>
    <w:multiLevelType w:val="multilevel"/>
    <w:tmpl w:val="6CF0C32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8"/>
  </w:num>
  <w:num w:numId="2">
    <w:abstractNumId w:val="16"/>
  </w:num>
  <w:num w:numId="3">
    <w:abstractNumId w:val="0"/>
  </w:num>
  <w:num w:numId="4">
    <w:abstractNumId w:val="44"/>
  </w:num>
  <w:num w:numId="5">
    <w:abstractNumId w:val="15"/>
  </w:num>
  <w:num w:numId="6">
    <w:abstractNumId w:val="11"/>
  </w:num>
  <w:num w:numId="7">
    <w:abstractNumId w:val="12"/>
  </w:num>
  <w:num w:numId="8">
    <w:abstractNumId w:val="45"/>
  </w:num>
  <w:num w:numId="9">
    <w:abstractNumId w:val="3"/>
  </w:num>
  <w:num w:numId="10">
    <w:abstractNumId w:val="33"/>
  </w:num>
  <w:num w:numId="11">
    <w:abstractNumId w:val="13"/>
  </w:num>
  <w:num w:numId="12">
    <w:abstractNumId w:val="17"/>
  </w:num>
  <w:num w:numId="13">
    <w:abstractNumId w:val="25"/>
  </w:num>
  <w:num w:numId="14">
    <w:abstractNumId w:val="38"/>
  </w:num>
  <w:num w:numId="15">
    <w:abstractNumId w:val="2"/>
  </w:num>
  <w:num w:numId="16">
    <w:abstractNumId w:val="22"/>
  </w:num>
  <w:num w:numId="17">
    <w:abstractNumId w:val="39"/>
  </w:num>
  <w:num w:numId="18">
    <w:abstractNumId w:val="9"/>
  </w:num>
  <w:num w:numId="19">
    <w:abstractNumId w:val="29"/>
  </w:num>
  <w:num w:numId="20">
    <w:abstractNumId w:val="24"/>
  </w:num>
  <w:num w:numId="21">
    <w:abstractNumId w:val="21"/>
  </w:num>
  <w:num w:numId="22">
    <w:abstractNumId w:val="35"/>
  </w:num>
  <w:num w:numId="23">
    <w:abstractNumId w:val="27"/>
  </w:num>
  <w:num w:numId="24">
    <w:abstractNumId w:val="5"/>
  </w:num>
  <w:num w:numId="25">
    <w:abstractNumId w:val="4"/>
  </w:num>
  <w:num w:numId="26">
    <w:abstractNumId w:val="6"/>
  </w:num>
  <w:num w:numId="27">
    <w:abstractNumId w:val="42"/>
  </w:num>
  <w:num w:numId="28">
    <w:abstractNumId w:val="10"/>
  </w:num>
  <w:num w:numId="29">
    <w:abstractNumId w:val="19"/>
  </w:num>
  <w:num w:numId="30">
    <w:abstractNumId w:val="37"/>
  </w:num>
  <w:num w:numId="31">
    <w:abstractNumId w:val="20"/>
  </w:num>
  <w:num w:numId="32">
    <w:abstractNumId w:val="36"/>
  </w:num>
  <w:num w:numId="33">
    <w:abstractNumId w:val="34"/>
  </w:num>
  <w:num w:numId="34">
    <w:abstractNumId w:val="23"/>
  </w:num>
  <w:num w:numId="35">
    <w:abstractNumId w:val="31"/>
  </w:num>
  <w:num w:numId="36">
    <w:abstractNumId w:val="14"/>
  </w:num>
  <w:num w:numId="37">
    <w:abstractNumId w:val="26"/>
  </w:num>
  <w:num w:numId="38">
    <w:abstractNumId w:val="1"/>
  </w:num>
  <w:num w:numId="39">
    <w:abstractNumId w:val="43"/>
  </w:num>
  <w:num w:numId="40">
    <w:abstractNumId w:val="41"/>
  </w:num>
  <w:num w:numId="41">
    <w:abstractNumId w:val="28"/>
  </w:num>
  <w:num w:numId="42">
    <w:abstractNumId w:val="40"/>
  </w:num>
  <w:num w:numId="43">
    <w:abstractNumId w:val="30"/>
  </w:num>
  <w:num w:numId="44">
    <w:abstractNumId w:val="8"/>
  </w:num>
  <w:num w:numId="45">
    <w:abstractNumId w:val="32"/>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DF1"/>
    <w:rsid w:val="00011717"/>
    <w:rsid w:val="00027401"/>
    <w:rsid w:val="00055F87"/>
    <w:rsid w:val="0005792E"/>
    <w:rsid w:val="00061E77"/>
    <w:rsid w:val="00083434"/>
    <w:rsid w:val="00083ADD"/>
    <w:rsid w:val="000C766F"/>
    <w:rsid w:val="000D3AF8"/>
    <w:rsid w:val="000D430C"/>
    <w:rsid w:val="000F462E"/>
    <w:rsid w:val="0012542A"/>
    <w:rsid w:val="0016457F"/>
    <w:rsid w:val="00182D5E"/>
    <w:rsid w:val="00191A46"/>
    <w:rsid w:val="001D1206"/>
    <w:rsid w:val="001D2671"/>
    <w:rsid w:val="001F0E8E"/>
    <w:rsid w:val="001F4DA8"/>
    <w:rsid w:val="00203EE1"/>
    <w:rsid w:val="00212A4A"/>
    <w:rsid w:val="002418CE"/>
    <w:rsid w:val="002B72AE"/>
    <w:rsid w:val="002D10FC"/>
    <w:rsid w:val="002D2103"/>
    <w:rsid w:val="0033194E"/>
    <w:rsid w:val="00337E8D"/>
    <w:rsid w:val="0036127D"/>
    <w:rsid w:val="00367997"/>
    <w:rsid w:val="003C3CCA"/>
    <w:rsid w:val="003E239C"/>
    <w:rsid w:val="00442FE4"/>
    <w:rsid w:val="004C6D12"/>
    <w:rsid w:val="004C7887"/>
    <w:rsid w:val="00504178"/>
    <w:rsid w:val="005046C7"/>
    <w:rsid w:val="00522795"/>
    <w:rsid w:val="00526E91"/>
    <w:rsid w:val="00536C84"/>
    <w:rsid w:val="00540A03"/>
    <w:rsid w:val="00566A74"/>
    <w:rsid w:val="0057511A"/>
    <w:rsid w:val="005951FA"/>
    <w:rsid w:val="005B7C98"/>
    <w:rsid w:val="005D0CDB"/>
    <w:rsid w:val="006028D1"/>
    <w:rsid w:val="0063332C"/>
    <w:rsid w:val="006367A0"/>
    <w:rsid w:val="00644EA5"/>
    <w:rsid w:val="0064515D"/>
    <w:rsid w:val="00655B51"/>
    <w:rsid w:val="00657619"/>
    <w:rsid w:val="006672D3"/>
    <w:rsid w:val="00686434"/>
    <w:rsid w:val="0069290C"/>
    <w:rsid w:val="006961A9"/>
    <w:rsid w:val="00697E92"/>
    <w:rsid w:val="006B189B"/>
    <w:rsid w:val="006F468C"/>
    <w:rsid w:val="00703237"/>
    <w:rsid w:val="00710DF7"/>
    <w:rsid w:val="0073678A"/>
    <w:rsid w:val="00755C91"/>
    <w:rsid w:val="00782610"/>
    <w:rsid w:val="0079159B"/>
    <w:rsid w:val="00791F4C"/>
    <w:rsid w:val="007E08C9"/>
    <w:rsid w:val="008217E7"/>
    <w:rsid w:val="00825138"/>
    <w:rsid w:val="008B285E"/>
    <w:rsid w:val="008C69B3"/>
    <w:rsid w:val="00904FA7"/>
    <w:rsid w:val="009253CC"/>
    <w:rsid w:val="0092743C"/>
    <w:rsid w:val="00945DFC"/>
    <w:rsid w:val="009959AB"/>
    <w:rsid w:val="009B0B73"/>
    <w:rsid w:val="00A03E26"/>
    <w:rsid w:val="00A43583"/>
    <w:rsid w:val="00A54256"/>
    <w:rsid w:val="00A549E7"/>
    <w:rsid w:val="00A65697"/>
    <w:rsid w:val="00A7122C"/>
    <w:rsid w:val="00AA0953"/>
    <w:rsid w:val="00AB4719"/>
    <w:rsid w:val="00AC7A92"/>
    <w:rsid w:val="00AC7CCF"/>
    <w:rsid w:val="00B540E5"/>
    <w:rsid w:val="00B74FA2"/>
    <w:rsid w:val="00B80472"/>
    <w:rsid w:val="00B8727B"/>
    <w:rsid w:val="00B903BB"/>
    <w:rsid w:val="00B90573"/>
    <w:rsid w:val="00BB4058"/>
    <w:rsid w:val="00BF1438"/>
    <w:rsid w:val="00BF2F11"/>
    <w:rsid w:val="00BF72C0"/>
    <w:rsid w:val="00C1282D"/>
    <w:rsid w:val="00C1440C"/>
    <w:rsid w:val="00C45457"/>
    <w:rsid w:val="00C538FF"/>
    <w:rsid w:val="00C729E4"/>
    <w:rsid w:val="00C866EC"/>
    <w:rsid w:val="00CB4F76"/>
    <w:rsid w:val="00CE3DF1"/>
    <w:rsid w:val="00CF6D9E"/>
    <w:rsid w:val="00D30D6A"/>
    <w:rsid w:val="00D35E98"/>
    <w:rsid w:val="00D54B14"/>
    <w:rsid w:val="00D70E9E"/>
    <w:rsid w:val="00D94EBD"/>
    <w:rsid w:val="00DA0297"/>
    <w:rsid w:val="00DB576D"/>
    <w:rsid w:val="00E40694"/>
    <w:rsid w:val="00E41BE3"/>
    <w:rsid w:val="00E57FA6"/>
    <w:rsid w:val="00E625C9"/>
    <w:rsid w:val="00E62F5E"/>
    <w:rsid w:val="00E8240C"/>
    <w:rsid w:val="00E84CF8"/>
    <w:rsid w:val="00E93CEC"/>
    <w:rsid w:val="00EE13C7"/>
    <w:rsid w:val="00EF2DA1"/>
    <w:rsid w:val="00EF5E35"/>
    <w:rsid w:val="00EF706F"/>
    <w:rsid w:val="00F003B7"/>
    <w:rsid w:val="00F2525F"/>
    <w:rsid w:val="00F31DB1"/>
    <w:rsid w:val="00F606DA"/>
    <w:rsid w:val="00F60BCA"/>
    <w:rsid w:val="00F76023"/>
    <w:rsid w:val="00FA5F24"/>
    <w:rsid w:val="00FC5652"/>
    <w:rsid w:val="00FE57C2"/>
    <w:rsid w:val="00FF71A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25CE6E"/>
  <w15:chartTrackingRefBased/>
  <w15:docId w15:val="{1C74BCB9-F327-4691-9F51-366E8DBF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DF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3DF1"/>
  </w:style>
  <w:style w:type="paragraph" w:styleId="Footer">
    <w:name w:val="footer"/>
    <w:basedOn w:val="Normal"/>
    <w:link w:val="FooterChar"/>
    <w:uiPriority w:val="99"/>
    <w:unhideWhenUsed/>
    <w:rsid w:val="00CE3DF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3DF1"/>
  </w:style>
  <w:style w:type="paragraph" w:styleId="ListParagraph">
    <w:name w:val="List Paragraph"/>
    <w:basedOn w:val="Normal"/>
    <w:uiPriority w:val="34"/>
    <w:qFormat/>
    <w:rsid w:val="002D10FC"/>
    <w:pPr>
      <w:ind w:left="720"/>
      <w:contextualSpacing/>
    </w:pPr>
  </w:style>
  <w:style w:type="character" w:styleId="Hyperlink">
    <w:name w:val="Hyperlink"/>
    <w:basedOn w:val="DefaultParagraphFont"/>
    <w:uiPriority w:val="99"/>
    <w:unhideWhenUsed/>
    <w:rsid w:val="00D35E98"/>
    <w:rPr>
      <w:color w:val="0563C1" w:themeColor="hyperlink"/>
      <w:u w:val="single"/>
    </w:rPr>
  </w:style>
  <w:style w:type="table" w:styleId="TableGrid">
    <w:name w:val="Table Grid"/>
    <w:basedOn w:val="TableNormal"/>
    <w:uiPriority w:val="39"/>
    <w:rsid w:val="004C6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418CE"/>
    <w:rPr>
      <w:i/>
      <w:iCs/>
    </w:rPr>
  </w:style>
  <w:style w:type="character" w:styleId="Strong">
    <w:name w:val="Strong"/>
    <w:basedOn w:val="DefaultParagraphFont"/>
    <w:uiPriority w:val="22"/>
    <w:qFormat/>
    <w:rsid w:val="002418CE"/>
    <w:rPr>
      <w:b/>
      <w:bCs/>
    </w:rPr>
  </w:style>
  <w:style w:type="paragraph" w:styleId="NormalWeb">
    <w:name w:val="Normal (Web)"/>
    <w:basedOn w:val="Normal"/>
    <w:uiPriority w:val="99"/>
    <w:semiHidden/>
    <w:unhideWhenUsed/>
    <w:rsid w:val="00083ADD"/>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03132">
      <w:bodyDiv w:val="1"/>
      <w:marLeft w:val="0"/>
      <w:marRight w:val="0"/>
      <w:marTop w:val="0"/>
      <w:marBottom w:val="0"/>
      <w:divBdr>
        <w:top w:val="none" w:sz="0" w:space="0" w:color="auto"/>
        <w:left w:val="none" w:sz="0" w:space="0" w:color="auto"/>
        <w:bottom w:val="none" w:sz="0" w:space="0" w:color="auto"/>
        <w:right w:val="none" w:sz="0" w:space="0" w:color="auto"/>
      </w:divBdr>
      <w:divsChild>
        <w:div w:id="1280141503">
          <w:marLeft w:val="0"/>
          <w:marRight w:val="0"/>
          <w:marTop w:val="0"/>
          <w:marBottom w:val="0"/>
          <w:divBdr>
            <w:top w:val="none" w:sz="0" w:space="0" w:color="auto"/>
            <w:left w:val="none" w:sz="0" w:space="0" w:color="auto"/>
            <w:bottom w:val="none" w:sz="0" w:space="0" w:color="auto"/>
            <w:right w:val="none" w:sz="0" w:space="0" w:color="auto"/>
          </w:divBdr>
          <w:divsChild>
            <w:div w:id="2139368563">
              <w:marLeft w:val="0"/>
              <w:marRight w:val="0"/>
              <w:marTop w:val="0"/>
              <w:marBottom w:val="0"/>
              <w:divBdr>
                <w:top w:val="none" w:sz="0" w:space="0" w:color="auto"/>
                <w:left w:val="none" w:sz="0" w:space="0" w:color="auto"/>
                <w:bottom w:val="none" w:sz="0" w:space="0" w:color="auto"/>
                <w:right w:val="none" w:sz="0" w:space="0" w:color="auto"/>
              </w:divBdr>
            </w:div>
          </w:divsChild>
        </w:div>
        <w:div w:id="339427749">
          <w:marLeft w:val="0"/>
          <w:marRight w:val="0"/>
          <w:marTop w:val="300"/>
          <w:marBottom w:val="0"/>
          <w:divBdr>
            <w:top w:val="none" w:sz="0" w:space="0" w:color="auto"/>
            <w:left w:val="none" w:sz="0" w:space="0" w:color="auto"/>
            <w:bottom w:val="none" w:sz="0" w:space="0" w:color="auto"/>
            <w:right w:val="none" w:sz="0" w:space="0" w:color="auto"/>
          </w:divBdr>
        </w:div>
      </w:divsChild>
    </w:div>
    <w:div w:id="322005938">
      <w:bodyDiv w:val="1"/>
      <w:marLeft w:val="0"/>
      <w:marRight w:val="0"/>
      <w:marTop w:val="0"/>
      <w:marBottom w:val="0"/>
      <w:divBdr>
        <w:top w:val="none" w:sz="0" w:space="0" w:color="auto"/>
        <w:left w:val="none" w:sz="0" w:space="0" w:color="auto"/>
        <w:bottom w:val="none" w:sz="0" w:space="0" w:color="auto"/>
        <w:right w:val="none" w:sz="0" w:space="0" w:color="auto"/>
      </w:divBdr>
      <w:divsChild>
        <w:div w:id="1550679711">
          <w:marLeft w:val="0"/>
          <w:marRight w:val="0"/>
          <w:marTop w:val="120"/>
          <w:marBottom w:val="0"/>
          <w:divBdr>
            <w:top w:val="none" w:sz="0" w:space="0" w:color="auto"/>
            <w:left w:val="none" w:sz="0" w:space="0" w:color="auto"/>
            <w:bottom w:val="none" w:sz="0" w:space="0" w:color="auto"/>
            <w:right w:val="none" w:sz="0" w:space="0" w:color="auto"/>
          </w:divBdr>
          <w:divsChild>
            <w:div w:id="723330266">
              <w:marLeft w:val="0"/>
              <w:marRight w:val="0"/>
              <w:marTop w:val="0"/>
              <w:marBottom w:val="0"/>
              <w:divBdr>
                <w:top w:val="none" w:sz="0" w:space="0" w:color="auto"/>
                <w:left w:val="none" w:sz="0" w:space="0" w:color="auto"/>
                <w:bottom w:val="none" w:sz="0" w:space="0" w:color="auto"/>
                <w:right w:val="none" w:sz="0" w:space="0" w:color="auto"/>
              </w:divBdr>
              <w:divsChild>
                <w:div w:id="1845127186">
                  <w:marLeft w:val="0"/>
                  <w:marRight w:val="0"/>
                  <w:marTop w:val="0"/>
                  <w:marBottom w:val="0"/>
                  <w:divBdr>
                    <w:top w:val="none" w:sz="0" w:space="0" w:color="auto"/>
                    <w:left w:val="none" w:sz="0" w:space="0" w:color="auto"/>
                    <w:bottom w:val="none" w:sz="0" w:space="0" w:color="auto"/>
                    <w:right w:val="none" w:sz="0" w:space="0" w:color="auto"/>
                  </w:divBdr>
                  <w:divsChild>
                    <w:div w:id="1370449220">
                      <w:marLeft w:val="0"/>
                      <w:marRight w:val="0"/>
                      <w:marTop w:val="0"/>
                      <w:marBottom w:val="0"/>
                      <w:divBdr>
                        <w:top w:val="none" w:sz="0" w:space="0" w:color="auto"/>
                        <w:left w:val="none" w:sz="0" w:space="0" w:color="auto"/>
                        <w:bottom w:val="none" w:sz="0" w:space="0" w:color="auto"/>
                        <w:right w:val="none" w:sz="0" w:space="0" w:color="auto"/>
                      </w:divBdr>
                    </w:div>
                    <w:div w:id="217012060">
                      <w:marLeft w:val="0"/>
                      <w:marRight w:val="0"/>
                      <w:marTop w:val="0"/>
                      <w:marBottom w:val="0"/>
                      <w:divBdr>
                        <w:top w:val="none" w:sz="0" w:space="0" w:color="auto"/>
                        <w:left w:val="none" w:sz="0" w:space="0" w:color="auto"/>
                        <w:bottom w:val="none" w:sz="0" w:space="0" w:color="auto"/>
                        <w:right w:val="none" w:sz="0" w:space="0" w:color="auto"/>
                      </w:divBdr>
                    </w:div>
                    <w:div w:id="2118400733">
                      <w:marLeft w:val="0"/>
                      <w:marRight w:val="0"/>
                      <w:marTop w:val="0"/>
                      <w:marBottom w:val="0"/>
                      <w:divBdr>
                        <w:top w:val="none" w:sz="0" w:space="0" w:color="auto"/>
                        <w:left w:val="none" w:sz="0" w:space="0" w:color="auto"/>
                        <w:bottom w:val="none" w:sz="0" w:space="0" w:color="auto"/>
                        <w:right w:val="none" w:sz="0" w:space="0" w:color="auto"/>
                      </w:divBdr>
                    </w:div>
                    <w:div w:id="1245146232">
                      <w:marLeft w:val="0"/>
                      <w:marRight w:val="0"/>
                      <w:marTop w:val="0"/>
                      <w:marBottom w:val="0"/>
                      <w:divBdr>
                        <w:top w:val="none" w:sz="0" w:space="0" w:color="auto"/>
                        <w:left w:val="none" w:sz="0" w:space="0" w:color="auto"/>
                        <w:bottom w:val="none" w:sz="0" w:space="0" w:color="auto"/>
                        <w:right w:val="none" w:sz="0" w:space="0" w:color="auto"/>
                      </w:divBdr>
                    </w:div>
                    <w:div w:id="1546943631">
                      <w:marLeft w:val="0"/>
                      <w:marRight w:val="0"/>
                      <w:marTop w:val="0"/>
                      <w:marBottom w:val="0"/>
                      <w:divBdr>
                        <w:top w:val="none" w:sz="0" w:space="0" w:color="auto"/>
                        <w:left w:val="none" w:sz="0" w:space="0" w:color="auto"/>
                        <w:bottom w:val="none" w:sz="0" w:space="0" w:color="auto"/>
                        <w:right w:val="none" w:sz="0" w:space="0" w:color="auto"/>
                      </w:divBdr>
                    </w:div>
                    <w:div w:id="632371411">
                      <w:marLeft w:val="0"/>
                      <w:marRight w:val="0"/>
                      <w:marTop w:val="0"/>
                      <w:marBottom w:val="0"/>
                      <w:divBdr>
                        <w:top w:val="none" w:sz="0" w:space="0" w:color="auto"/>
                        <w:left w:val="none" w:sz="0" w:space="0" w:color="auto"/>
                        <w:bottom w:val="none" w:sz="0" w:space="0" w:color="auto"/>
                        <w:right w:val="none" w:sz="0" w:space="0" w:color="auto"/>
                      </w:divBdr>
                    </w:div>
                    <w:div w:id="3478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510525">
      <w:bodyDiv w:val="1"/>
      <w:marLeft w:val="0"/>
      <w:marRight w:val="0"/>
      <w:marTop w:val="0"/>
      <w:marBottom w:val="0"/>
      <w:divBdr>
        <w:top w:val="none" w:sz="0" w:space="0" w:color="auto"/>
        <w:left w:val="none" w:sz="0" w:space="0" w:color="auto"/>
        <w:bottom w:val="none" w:sz="0" w:space="0" w:color="auto"/>
        <w:right w:val="none" w:sz="0" w:space="0" w:color="auto"/>
      </w:divBdr>
    </w:div>
    <w:div w:id="426736474">
      <w:bodyDiv w:val="1"/>
      <w:marLeft w:val="0"/>
      <w:marRight w:val="0"/>
      <w:marTop w:val="0"/>
      <w:marBottom w:val="0"/>
      <w:divBdr>
        <w:top w:val="none" w:sz="0" w:space="0" w:color="auto"/>
        <w:left w:val="none" w:sz="0" w:space="0" w:color="auto"/>
        <w:bottom w:val="none" w:sz="0" w:space="0" w:color="auto"/>
        <w:right w:val="none" w:sz="0" w:space="0" w:color="auto"/>
      </w:divBdr>
    </w:div>
    <w:div w:id="504320117">
      <w:bodyDiv w:val="1"/>
      <w:marLeft w:val="0"/>
      <w:marRight w:val="0"/>
      <w:marTop w:val="0"/>
      <w:marBottom w:val="0"/>
      <w:divBdr>
        <w:top w:val="none" w:sz="0" w:space="0" w:color="auto"/>
        <w:left w:val="none" w:sz="0" w:space="0" w:color="auto"/>
        <w:bottom w:val="none" w:sz="0" w:space="0" w:color="auto"/>
        <w:right w:val="none" w:sz="0" w:space="0" w:color="auto"/>
      </w:divBdr>
    </w:div>
    <w:div w:id="735251352">
      <w:bodyDiv w:val="1"/>
      <w:marLeft w:val="0"/>
      <w:marRight w:val="0"/>
      <w:marTop w:val="0"/>
      <w:marBottom w:val="0"/>
      <w:divBdr>
        <w:top w:val="none" w:sz="0" w:space="0" w:color="auto"/>
        <w:left w:val="none" w:sz="0" w:space="0" w:color="auto"/>
        <w:bottom w:val="none" w:sz="0" w:space="0" w:color="auto"/>
        <w:right w:val="none" w:sz="0" w:space="0" w:color="auto"/>
      </w:divBdr>
      <w:divsChild>
        <w:div w:id="364644150">
          <w:marLeft w:val="547"/>
          <w:marRight w:val="0"/>
          <w:marTop w:val="120"/>
          <w:marBottom w:val="0"/>
          <w:divBdr>
            <w:top w:val="none" w:sz="0" w:space="0" w:color="auto"/>
            <w:left w:val="none" w:sz="0" w:space="0" w:color="auto"/>
            <w:bottom w:val="none" w:sz="0" w:space="0" w:color="auto"/>
            <w:right w:val="none" w:sz="0" w:space="0" w:color="auto"/>
          </w:divBdr>
        </w:div>
      </w:divsChild>
    </w:div>
    <w:div w:id="893933934">
      <w:bodyDiv w:val="1"/>
      <w:marLeft w:val="0"/>
      <w:marRight w:val="0"/>
      <w:marTop w:val="0"/>
      <w:marBottom w:val="0"/>
      <w:divBdr>
        <w:top w:val="none" w:sz="0" w:space="0" w:color="auto"/>
        <w:left w:val="none" w:sz="0" w:space="0" w:color="auto"/>
        <w:bottom w:val="none" w:sz="0" w:space="0" w:color="auto"/>
        <w:right w:val="none" w:sz="0" w:space="0" w:color="auto"/>
      </w:divBdr>
      <w:divsChild>
        <w:div w:id="1601521777">
          <w:marLeft w:val="547"/>
          <w:marRight w:val="0"/>
          <w:marTop w:val="120"/>
          <w:marBottom w:val="0"/>
          <w:divBdr>
            <w:top w:val="none" w:sz="0" w:space="0" w:color="auto"/>
            <w:left w:val="none" w:sz="0" w:space="0" w:color="auto"/>
            <w:bottom w:val="none" w:sz="0" w:space="0" w:color="auto"/>
            <w:right w:val="none" w:sz="0" w:space="0" w:color="auto"/>
          </w:divBdr>
        </w:div>
      </w:divsChild>
    </w:div>
    <w:div w:id="975837799">
      <w:bodyDiv w:val="1"/>
      <w:marLeft w:val="0"/>
      <w:marRight w:val="0"/>
      <w:marTop w:val="0"/>
      <w:marBottom w:val="0"/>
      <w:divBdr>
        <w:top w:val="none" w:sz="0" w:space="0" w:color="auto"/>
        <w:left w:val="none" w:sz="0" w:space="0" w:color="auto"/>
        <w:bottom w:val="none" w:sz="0" w:space="0" w:color="auto"/>
        <w:right w:val="none" w:sz="0" w:space="0" w:color="auto"/>
      </w:divBdr>
    </w:div>
    <w:div w:id="1039277250">
      <w:bodyDiv w:val="1"/>
      <w:marLeft w:val="0"/>
      <w:marRight w:val="0"/>
      <w:marTop w:val="0"/>
      <w:marBottom w:val="0"/>
      <w:divBdr>
        <w:top w:val="none" w:sz="0" w:space="0" w:color="auto"/>
        <w:left w:val="none" w:sz="0" w:space="0" w:color="auto"/>
        <w:bottom w:val="none" w:sz="0" w:space="0" w:color="auto"/>
        <w:right w:val="none" w:sz="0" w:space="0" w:color="auto"/>
      </w:divBdr>
    </w:div>
    <w:div w:id="1380786782">
      <w:bodyDiv w:val="1"/>
      <w:marLeft w:val="0"/>
      <w:marRight w:val="0"/>
      <w:marTop w:val="0"/>
      <w:marBottom w:val="0"/>
      <w:divBdr>
        <w:top w:val="none" w:sz="0" w:space="0" w:color="auto"/>
        <w:left w:val="none" w:sz="0" w:space="0" w:color="auto"/>
        <w:bottom w:val="none" w:sz="0" w:space="0" w:color="auto"/>
        <w:right w:val="none" w:sz="0" w:space="0" w:color="auto"/>
      </w:divBdr>
      <w:divsChild>
        <w:div w:id="2004894687">
          <w:marLeft w:val="547"/>
          <w:marRight w:val="0"/>
          <w:marTop w:val="120"/>
          <w:marBottom w:val="0"/>
          <w:divBdr>
            <w:top w:val="none" w:sz="0" w:space="0" w:color="auto"/>
            <w:left w:val="none" w:sz="0" w:space="0" w:color="auto"/>
            <w:bottom w:val="none" w:sz="0" w:space="0" w:color="auto"/>
            <w:right w:val="none" w:sz="0" w:space="0" w:color="auto"/>
          </w:divBdr>
        </w:div>
      </w:divsChild>
    </w:div>
    <w:div w:id="1896506774">
      <w:bodyDiv w:val="1"/>
      <w:marLeft w:val="0"/>
      <w:marRight w:val="0"/>
      <w:marTop w:val="0"/>
      <w:marBottom w:val="0"/>
      <w:divBdr>
        <w:top w:val="none" w:sz="0" w:space="0" w:color="auto"/>
        <w:left w:val="none" w:sz="0" w:space="0" w:color="auto"/>
        <w:bottom w:val="none" w:sz="0" w:space="0" w:color="auto"/>
        <w:right w:val="none" w:sz="0" w:space="0" w:color="auto"/>
      </w:divBdr>
      <w:divsChild>
        <w:div w:id="646981304">
          <w:marLeft w:val="547"/>
          <w:marRight w:val="0"/>
          <w:marTop w:val="24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portal/screen/home" TargetMode="External"/><Relationship Id="rId13" Type="http://schemas.openxmlformats.org/officeDocument/2006/relationships/hyperlink" Target="http://eea.government.bg/bg/legislation/waste/naredba_BA_21.pdf" TargetMode="External"/><Relationship Id="rId18" Type="http://schemas.openxmlformats.org/officeDocument/2006/relationships/hyperlink" Target="https://pudoos.bg/" TargetMode="External"/><Relationship Id="rId3" Type="http://schemas.openxmlformats.org/officeDocument/2006/relationships/settings" Target="settings.xml"/><Relationship Id="rId21" Type="http://schemas.openxmlformats.org/officeDocument/2006/relationships/hyperlink" Target="https://www.eufunds.bg/bg/opos" TargetMode="External"/><Relationship Id="rId7" Type="http://schemas.openxmlformats.org/officeDocument/2006/relationships/hyperlink" Target="https://pudoos.bg/wp-content/uploads/2022/05/prilozhenie-2-Protokol-2-03-05-2022-iziskvaniya-sektor-upravlenie-na-otpadytsite.pdf" TargetMode="External"/><Relationship Id="rId12" Type="http://schemas.openxmlformats.org/officeDocument/2006/relationships/hyperlink" Target="http://eea.government.bg/bg/legislation/waste/naredba_opakovki_21.pdf" TargetMode="External"/><Relationship Id="rId17" Type="http://schemas.openxmlformats.org/officeDocument/2006/relationships/hyperlink" Target="http://eea.government.bg/bg/legislation/waste/Naredba_razdelno_subirane_bio_tretirane_biorazgradimi_otpaduci.pdf" TargetMode="External"/><Relationship Id="rId2" Type="http://schemas.openxmlformats.org/officeDocument/2006/relationships/styles" Target="styles.xml"/><Relationship Id="rId16" Type="http://schemas.openxmlformats.org/officeDocument/2006/relationships/hyperlink" Target="http://eea.government.bg/bg/legislation/waste/naredba_masla_21.pdf" TargetMode="External"/><Relationship Id="rId20" Type="http://schemas.openxmlformats.org/officeDocument/2006/relationships/hyperlink" Target="http://www.life-bulgaria.b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BG/TXT/?uri=LEGISSUM%3Aev0010" TargetMode="External"/><Relationship Id="rId5" Type="http://schemas.openxmlformats.org/officeDocument/2006/relationships/footnotes" Target="footnotes.xml"/><Relationship Id="rId15" Type="http://schemas.openxmlformats.org/officeDocument/2006/relationships/hyperlink" Target="http://eea.government.bg/bg/legislation/waste/naredba_gumi_21.pdf" TargetMode="External"/><Relationship Id="rId23" Type="http://schemas.openxmlformats.org/officeDocument/2006/relationships/theme" Target="theme/theme1.xml"/><Relationship Id="rId10" Type="http://schemas.openxmlformats.org/officeDocument/2006/relationships/hyperlink" Target="http://eur-lex.europa.eu/legal-content/BG/TXT/?uri=celex:32008L0098" TargetMode="External"/><Relationship Id="rId19" Type="http://schemas.openxmlformats.org/officeDocument/2006/relationships/hyperlink" Target="https://www.eeagrants.bg/programi/okolna-sreda" TargetMode="External"/><Relationship Id="rId4" Type="http://schemas.openxmlformats.org/officeDocument/2006/relationships/webSettings" Target="webSettings.xml"/><Relationship Id="rId9" Type="http://schemas.openxmlformats.org/officeDocument/2006/relationships/hyperlink" Target="https://www.innovasjonnorge.no/en/start-page/eea-norway-grants/funding-options/" TargetMode="External"/><Relationship Id="rId14" Type="http://schemas.openxmlformats.org/officeDocument/2006/relationships/hyperlink" Target="http://eea.government.bg/bg/legislation/waste/naredbaEEO_21.pdf"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36</Pages>
  <Words>14005</Words>
  <Characters>79832</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Katya</cp:lastModifiedBy>
  <cp:revision>21</cp:revision>
  <dcterms:created xsi:type="dcterms:W3CDTF">2022-08-29T12:14:00Z</dcterms:created>
  <dcterms:modified xsi:type="dcterms:W3CDTF">2022-12-13T12:56:00Z</dcterms:modified>
</cp:coreProperties>
</file>