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7E1" w:rsidRDefault="00B937E1" w:rsidP="00A944AB">
      <w:pPr>
        <w:suppressAutoHyphens/>
        <w:spacing w:after="120" w:line="240" w:lineRule="auto"/>
        <w:jc w:val="center"/>
        <w:rPr>
          <w:rFonts w:ascii="Times New Roman" w:hAnsi="Times New Roman"/>
          <w:b/>
          <w:bCs/>
          <w:sz w:val="28"/>
          <w:szCs w:val="28"/>
          <w:lang w:eastAsia="ar-SA"/>
        </w:rPr>
      </w:pPr>
    </w:p>
    <w:p w:rsidR="00B937E1" w:rsidRDefault="00B937E1" w:rsidP="00B937E1">
      <w:pPr>
        <w:spacing w:before="120" w:after="0" w:line="240" w:lineRule="auto"/>
        <w:jc w:val="center"/>
        <w:rPr>
          <w:rFonts w:ascii="Times New Roman" w:hAnsi="Times New Roman"/>
          <w:b/>
          <w:caps/>
          <w:color w:val="385623" w:themeColor="accent6" w:themeShade="80"/>
          <w:sz w:val="44"/>
          <w:szCs w:val="44"/>
        </w:rPr>
      </w:pPr>
      <w:r w:rsidRPr="002A625F">
        <w:rPr>
          <w:rFonts w:ascii="Times New Roman" w:hAnsi="Times New Roman"/>
          <w:b/>
          <w:caps/>
          <w:color w:val="385623" w:themeColor="accent6" w:themeShade="80"/>
          <w:sz w:val="44"/>
          <w:szCs w:val="44"/>
        </w:rPr>
        <w:t>ДИСТАНЦИОННИ ОБУЧЕНИЯ  ОБУЧИТЕЛЕН МОДУЛ 1</w:t>
      </w:r>
    </w:p>
    <w:p w:rsidR="00B937E1" w:rsidRPr="002A625F" w:rsidRDefault="00B937E1" w:rsidP="00B937E1">
      <w:pPr>
        <w:spacing w:before="120" w:after="0" w:line="240" w:lineRule="auto"/>
        <w:jc w:val="center"/>
        <w:rPr>
          <w:rFonts w:ascii="Times New Roman" w:hAnsi="Times New Roman"/>
          <w:b/>
          <w:caps/>
          <w:color w:val="385623" w:themeColor="accent6" w:themeShade="80"/>
          <w:sz w:val="44"/>
          <w:szCs w:val="44"/>
        </w:rPr>
      </w:pPr>
      <w:r w:rsidRPr="00551BE5">
        <w:rPr>
          <w:rFonts w:ascii="Times New Roman" w:hAnsi="Times New Roman"/>
          <w:b/>
          <w:caps/>
          <w:color w:val="385623" w:themeColor="accent6" w:themeShade="80"/>
          <w:sz w:val="40"/>
          <w:szCs w:val="44"/>
        </w:rPr>
        <w:t>«УПРАВЛЕНИЕ НА ОБЩИНСКИТЕ ФИНАНСИ»</w:t>
      </w:r>
      <w:r w:rsidRPr="002A625F">
        <w:rPr>
          <w:rFonts w:ascii="Times New Roman" w:hAnsi="Times New Roman"/>
          <w:b/>
          <w:caps/>
          <w:color w:val="385623" w:themeColor="accent6" w:themeShade="80"/>
          <w:sz w:val="44"/>
          <w:szCs w:val="44"/>
        </w:rPr>
        <w:pict>
          <v:rect id="_x0000_i1025" style="width:453.6pt;height:1.5pt" o:hralign="center" o:hrstd="t" o:hrnoshade="t" o:hr="t" fillcolor="#823b0b [1605]" stroked="f"/>
        </w:pict>
      </w:r>
    </w:p>
    <w:p w:rsidR="00B937E1" w:rsidRPr="002A625F" w:rsidRDefault="00B937E1" w:rsidP="00B937E1">
      <w:pPr>
        <w:spacing w:before="120" w:after="0" w:line="240" w:lineRule="auto"/>
        <w:jc w:val="center"/>
        <w:rPr>
          <w:rFonts w:ascii="Times New Roman" w:hAnsi="Times New Roman"/>
          <w:b/>
          <w:caps/>
          <w:color w:val="385623" w:themeColor="accent6" w:themeShade="80"/>
          <w:sz w:val="44"/>
          <w:szCs w:val="44"/>
        </w:rPr>
      </w:pPr>
    </w:p>
    <w:p w:rsidR="00B937E1" w:rsidRDefault="00B937E1" w:rsidP="00B937E1">
      <w:pPr>
        <w:spacing w:before="120" w:after="0" w:line="240" w:lineRule="auto"/>
        <w:jc w:val="center"/>
        <w:rPr>
          <w:rFonts w:ascii="Times New Roman" w:hAnsi="Times New Roman"/>
          <w:b/>
          <w:caps/>
          <w:color w:val="385623" w:themeColor="accent6" w:themeShade="80"/>
          <w:sz w:val="44"/>
          <w:szCs w:val="44"/>
        </w:rPr>
      </w:pPr>
    </w:p>
    <w:p w:rsidR="00B937E1" w:rsidRDefault="00B937E1" w:rsidP="00B937E1">
      <w:pPr>
        <w:spacing w:before="120" w:after="0" w:line="240" w:lineRule="auto"/>
        <w:jc w:val="center"/>
        <w:rPr>
          <w:rFonts w:ascii="Times New Roman" w:hAnsi="Times New Roman"/>
          <w:b/>
          <w:caps/>
          <w:color w:val="385623" w:themeColor="accent6" w:themeShade="80"/>
          <w:sz w:val="44"/>
          <w:szCs w:val="44"/>
        </w:rPr>
      </w:pPr>
    </w:p>
    <w:p w:rsidR="00B937E1" w:rsidRPr="002A625F" w:rsidRDefault="00B937E1" w:rsidP="00B937E1">
      <w:pPr>
        <w:spacing w:before="120" w:after="0" w:line="240" w:lineRule="auto"/>
        <w:jc w:val="center"/>
        <w:rPr>
          <w:rFonts w:ascii="Times New Roman" w:hAnsi="Times New Roman"/>
          <w:b/>
          <w:caps/>
          <w:color w:val="385623" w:themeColor="accent6" w:themeShade="80"/>
          <w:sz w:val="44"/>
          <w:szCs w:val="44"/>
        </w:rPr>
      </w:pPr>
    </w:p>
    <w:p w:rsidR="00B937E1" w:rsidRDefault="00B937E1" w:rsidP="00B937E1">
      <w:pPr>
        <w:spacing w:before="120" w:after="0" w:line="240" w:lineRule="auto"/>
        <w:jc w:val="center"/>
        <w:rPr>
          <w:rFonts w:ascii="Times New Roman" w:hAnsi="Times New Roman"/>
          <w:b/>
          <w:caps/>
          <w:color w:val="385623" w:themeColor="accent6" w:themeShade="80"/>
          <w:sz w:val="44"/>
          <w:szCs w:val="44"/>
        </w:rPr>
      </w:pPr>
    </w:p>
    <w:p w:rsidR="00B937E1" w:rsidRPr="00B937E1" w:rsidRDefault="00B937E1" w:rsidP="00B937E1">
      <w:pPr>
        <w:spacing w:before="120" w:after="0" w:line="240" w:lineRule="auto"/>
        <w:jc w:val="center"/>
        <w:rPr>
          <w:rFonts w:ascii="Times New Roman" w:hAnsi="Times New Roman"/>
          <w:b/>
          <w:caps/>
          <w:color w:val="385623" w:themeColor="accent6" w:themeShade="80"/>
          <w:sz w:val="44"/>
          <w:szCs w:val="44"/>
        </w:rPr>
      </w:pPr>
      <w:r w:rsidRPr="00B937E1">
        <w:rPr>
          <w:rFonts w:ascii="Times New Roman" w:hAnsi="Times New Roman"/>
          <w:b/>
          <w:color w:val="385623" w:themeColor="accent6" w:themeShade="80"/>
          <w:sz w:val="44"/>
          <w:szCs w:val="44"/>
        </w:rPr>
        <w:t xml:space="preserve">ТЕМА 7. </w:t>
      </w:r>
      <w:r w:rsidRPr="00B937E1">
        <w:rPr>
          <w:rFonts w:ascii="Times New Roman" w:hAnsi="Times New Roman"/>
          <w:b/>
          <w:bCs/>
          <w:color w:val="385623" w:themeColor="accent6" w:themeShade="80"/>
          <w:sz w:val="44"/>
          <w:szCs w:val="44"/>
          <w:lang w:eastAsia="ar-SA"/>
        </w:rPr>
        <w:t>ПРОЗРАЧНО, ЕФЕКТИВНО И ЕФИКАСНО УПРАВЛЕНИЕ НА ОБЩИНСКИЯ БЮДЖЕТ И СРЕДСТВАТА ОТ ЕС</w:t>
      </w:r>
      <w:r w:rsidRPr="00B937E1">
        <w:rPr>
          <w:rFonts w:ascii="Times New Roman" w:hAnsi="Times New Roman"/>
          <w:b/>
          <w:color w:val="385623" w:themeColor="accent6" w:themeShade="80"/>
          <w:sz w:val="44"/>
          <w:szCs w:val="44"/>
        </w:rPr>
        <w:t xml:space="preserve"> </w:t>
      </w:r>
      <w:bookmarkStart w:id="0" w:name="_GoBack"/>
      <w:bookmarkEnd w:id="0"/>
    </w:p>
    <w:p w:rsidR="00B937E1" w:rsidRPr="00B937E1" w:rsidRDefault="00B937E1" w:rsidP="00B937E1">
      <w:pPr>
        <w:spacing w:before="120" w:after="0" w:line="240" w:lineRule="auto"/>
        <w:jc w:val="center"/>
        <w:rPr>
          <w:rFonts w:ascii="Times New Roman" w:hAnsi="Times New Roman"/>
          <w:b/>
          <w:caps/>
          <w:color w:val="385623" w:themeColor="accent6" w:themeShade="80"/>
          <w:sz w:val="32"/>
          <w:szCs w:val="32"/>
        </w:rPr>
      </w:pPr>
      <w:r w:rsidRPr="00B937E1">
        <w:rPr>
          <w:rFonts w:ascii="Times New Roman" w:hAnsi="Times New Roman"/>
          <w:b/>
          <w:color w:val="385623" w:themeColor="accent6" w:themeShade="80"/>
          <w:sz w:val="32"/>
          <w:szCs w:val="32"/>
        </w:rPr>
        <w:t>(МАТЕРИАЛИ ЗА САМОПОДГОТОВКА)</w:t>
      </w:r>
    </w:p>
    <w:p w:rsidR="00B937E1" w:rsidRDefault="00B937E1" w:rsidP="00A944AB">
      <w:pPr>
        <w:suppressAutoHyphens/>
        <w:spacing w:after="120" w:line="240" w:lineRule="auto"/>
        <w:jc w:val="center"/>
        <w:rPr>
          <w:rFonts w:ascii="Times New Roman" w:hAnsi="Times New Roman"/>
          <w:b/>
          <w:bCs/>
          <w:sz w:val="28"/>
          <w:szCs w:val="28"/>
          <w:lang w:eastAsia="ar-SA"/>
        </w:rPr>
      </w:pPr>
    </w:p>
    <w:p w:rsidR="00B937E1" w:rsidRDefault="00B937E1" w:rsidP="00A944AB">
      <w:pPr>
        <w:suppressAutoHyphens/>
        <w:spacing w:after="120" w:line="240" w:lineRule="auto"/>
        <w:jc w:val="center"/>
        <w:rPr>
          <w:rFonts w:ascii="Times New Roman" w:hAnsi="Times New Roman"/>
          <w:b/>
          <w:bCs/>
          <w:sz w:val="28"/>
          <w:szCs w:val="28"/>
          <w:lang w:eastAsia="ar-SA"/>
        </w:rPr>
      </w:pPr>
    </w:p>
    <w:p w:rsidR="00B937E1" w:rsidRDefault="00B937E1">
      <w:pPr>
        <w:spacing w:after="160" w:line="259" w:lineRule="auto"/>
        <w:rPr>
          <w:rFonts w:ascii="Times New Roman" w:hAnsi="Times New Roman"/>
          <w:b/>
          <w:sz w:val="24"/>
          <w:szCs w:val="24"/>
        </w:rPr>
      </w:pPr>
      <w:r>
        <w:rPr>
          <w:rFonts w:ascii="Times New Roman" w:hAnsi="Times New Roman"/>
          <w:b/>
          <w:sz w:val="24"/>
          <w:szCs w:val="24"/>
        </w:rPr>
        <w:br w:type="page"/>
      </w:r>
    </w:p>
    <w:p w:rsidR="00A944AB" w:rsidRDefault="00A944AB" w:rsidP="00A944AB">
      <w:pPr>
        <w:spacing w:after="120" w:line="240" w:lineRule="auto"/>
        <w:jc w:val="both"/>
        <w:rPr>
          <w:rFonts w:ascii="Times New Roman" w:hAnsi="Times New Roman"/>
          <w:b/>
          <w:sz w:val="24"/>
          <w:szCs w:val="24"/>
        </w:rPr>
      </w:pPr>
    </w:p>
    <w:p w:rsidR="00A944AB" w:rsidRPr="00B82D26" w:rsidRDefault="00A944AB" w:rsidP="00A944AB">
      <w:pPr>
        <w:spacing w:after="120" w:line="240" w:lineRule="auto"/>
        <w:jc w:val="both"/>
        <w:rPr>
          <w:rFonts w:ascii="Times New Roman" w:hAnsi="Times New Roman"/>
          <w:sz w:val="24"/>
          <w:szCs w:val="24"/>
        </w:rPr>
      </w:pPr>
      <w:r w:rsidRPr="00B82D26">
        <w:rPr>
          <w:rFonts w:ascii="Times New Roman" w:hAnsi="Times New Roman"/>
          <w:b/>
          <w:sz w:val="24"/>
          <w:szCs w:val="24"/>
        </w:rPr>
        <w:t>Цели на обучението:</w:t>
      </w:r>
      <w:r w:rsidRPr="00B82D26">
        <w:rPr>
          <w:rFonts w:ascii="Times New Roman" w:hAnsi="Times New Roman"/>
          <w:sz w:val="24"/>
          <w:szCs w:val="24"/>
        </w:rPr>
        <w:t xml:space="preserve"> Участниците в обучението да се запознаят и осмислят значението и начинът на прилагане на прозрачно, ефективно и ефикасно управление на общинските бюджети и средствата от ЕС.</w:t>
      </w:r>
    </w:p>
    <w:p w:rsidR="00A944AB" w:rsidRPr="00B82D26" w:rsidRDefault="00A944AB" w:rsidP="00A944AB">
      <w:pPr>
        <w:spacing w:after="120" w:line="240" w:lineRule="auto"/>
        <w:jc w:val="both"/>
        <w:rPr>
          <w:rFonts w:ascii="Times New Roman" w:hAnsi="Times New Roman"/>
          <w:sz w:val="24"/>
          <w:szCs w:val="24"/>
        </w:rPr>
      </w:pPr>
      <w:r w:rsidRPr="00B66A67">
        <w:rPr>
          <w:rFonts w:ascii="Times New Roman" w:hAnsi="Times New Roman"/>
          <w:sz w:val="24"/>
          <w:szCs w:val="24"/>
        </w:rPr>
        <w:t>Компетенции, които обучаемите ще придобият са</w:t>
      </w:r>
      <w:r w:rsidRPr="00B82D26">
        <w:rPr>
          <w:rFonts w:ascii="Times New Roman" w:hAnsi="Times New Roman"/>
          <w:sz w:val="24"/>
          <w:szCs w:val="24"/>
        </w:rPr>
        <w:t xml:space="preserve"> как и по какъв начин следва да се прилага прозрачно, ефективно и ефикасно управление на общинските бюджети и средствата от ЕС.</w:t>
      </w:r>
    </w:p>
    <w:p w:rsidR="00A944AB" w:rsidRPr="00B82D26" w:rsidRDefault="00A944AB" w:rsidP="00A944AB">
      <w:pPr>
        <w:spacing w:after="120" w:line="240" w:lineRule="auto"/>
        <w:jc w:val="both"/>
        <w:rPr>
          <w:rFonts w:ascii="Times New Roman" w:hAnsi="Times New Roman"/>
          <w:sz w:val="24"/>
          <w:szCs w:val="24"/>
        </w:rPr>
      </w:pPr>
      <w:r w:rsidRPr="00B82D26">
        <w:rPr>
          <w:rFonts w:ascii="Times New Roman" w:hAnsi="Times New Roman"/>
          <w:b/>
          <w:sz w:val="24"/>
          <w:szCs w:val="24"/>
        </w:rPr>
        <w:t>Очаквани резултати от обучението:</w:t>
      </w:r>
      <w:r w:rsidRPr="00B82D26">
        <w:rPr>
          <w:rFonts w:ascii="Times New Roman" w:hAnsi="Times New Roman"/>
          <w:sz w:val="24"/>
          <w:szCs w:val="24"/>
        </w:rPr>
        <w:t xml:space="preserve"> осмислена необходимост от прилагане на прозрачно, ефективно и ефикасно управление на общинските бюджети и средствата от ЕС.</w:t>
      </w:r>
    </w:p>
    <w:p w:rsidR="00A944AB" w:rsidRDefault="00A944AB" w:rsidP="00A944AB">
      <w:pPr>
        <w:spacing w:after="120" w:line="240" w:lineRule="auto"/>
        <w:jc w:val="both"/>
        <w:rPr>
          <w:rFonts w:ascii="Times New Roman" w:hAnsi="Times New Roman"/>
          <w:b/>
          <w:sz w:val="24"/>
          <w:szCs w:val="24"/>
        </w:rPr>
      </w:pPr>
    </w:p>
    <w:p w:rsidR="00A944AB" w:rsidRDefault="00A944AB" w:rsidP="00A944AB">
      <w:pPr>
        <w:spacing w:after="120" w:line="240" w:lineRule="auto"/>
        <w:jc w:val="both"/>
        <w:rPr>
          <w:rFonts w:ascii="Times New Roman" w:hAnsi="Times New Roman"/>
          <w:b/>
          <w:sz w:val="24"/>
          <w:szCs w:val="24"/>
        </w:rPr>
      </w:pPr>
      <w:r>
        <w:rPr>
          <w:rFonts w:ascii="Times New Roman" w:hAnsi="Times New Roman"/>
          <w:b/>
          <w:sz w:val="24"/>
          <w:szCs w:val="24"/>
        </w:rPr>
        <w:t>Дефиниции</w:t>
      </w:r>
    </w:p>
    <w:p w:rsidR="00A944AB" w:rsidRPr="007E4884" w:rsidRDefault="00A944AB" w:rsidP="00A944AB">
      <w:pPr>
        <w:spacing w:before="100" w:after="120" w:line="240" w:lineRule="auto"/>
        <w:jc w:val="both"/>
        <w:rPr>
          <w:rFonts w:ascii="Times New Roman" w:hAnsi="Times New Roman"/>
          <w:sz w:val="24"/>
          <w:szCs w:val="24"/>
        </w:rPr>
      </w:pPr>
      <w:r w:rsidRPr="001D2372">
        <w:rPr>
          <w:rFonts w:ascii="Times New Roman" w:hAnsi="Times New Roman"/>
          <w:b/>
          <w:sz w:val="24"/>
          <w:szCs w:val="24"/>
        </w:rPr>
        <w:t>Финансовата политика</w:t>
      </w:r>
      <w:r w:rsidRPr="007E4884">
        <w:rPr>
          <w:rFonts w:ascii="Times New Roman" w:hAnsi="Times New Roman"/>
          <w:sz w:val="24"/>
          <w:szCs w:val="24"/>
        </w:rPr>
        <w:t xml:space="preserve"> е съвкупност от действия и мерки за постигане на определени цели и за изпълнение на конкретни задачи на общината, в съответните сектори, в икономиката и т.н. Тя се разработва, за да обвърже определените цели и задачи на развитие с ресурсите и очаквания ефект за населението.</w:t>
      </w:r>
    </w:p>
    <w:p w:rsidR="00A944AB" w:rsidRPr="007E4884" w:rsidRDefault="00A944AB" w:rsidP="00A944AB">
      <w:pPr>
        <w:spacing w:before="100" w:after="120" w:line="240" w:lineRule="auto"/>
        <w:jc w:val="both"/>
        <w:rPr>
          <w:rFonts w:ascii="Times New Roman" w:hAnsi="Times New Roman"/>
          <w:sz w:val="24"/>
          <w:szCs w:val="24"/>
        </w:rPr>
      </w:pPr>
      <w:r w:rsidRPr="001D2372">
        <w:rPr>
          <w:rFonts w:ascii="Times New Roman" w:hAnsi="Times New Roman"/>
          <w:b/>
          <w:sz w:val="24"/>
          <w:szCs w:val="24"/>
        </w:rPr>
        <w:t>Финансов мениджмънт</w:t>
      </w:r>
      <w:r w:rsidRPr="007E4884">
        <w:rPr>
          <w:rFonts w:ascii="Times New Roman" w:hAnsi="Times New Roman"/>
          <w:sz w:val="24"/>
          <w:szCs w:val="24"/>
        </w:rPr>
        <w:t xml:space="preserve"> (финансово управление) е ориентация към максимизиране на стойността.</w:t>
      </w:r>
    </w:p>
    <w:p w:rsidR="00A944AB" w:rsidRPr="007E4884" w:rsidRDefault="00A944AB" w:rsidP="00A944AB">
      <w:pPr>
        <w:spacing w:before="100" w:after="120" w:line="240" w:lineRule="auto"/>
        <w:jc w:val="both"/>
        <w:rPr>
          <w:rFonts w:ascii="Times New Roman" w:hAnsi="Times New Roman"/>
          <w:sz w:val="24"/>
          <w:szCs w:val="24"/>
        </w:rPr>
      </w:pPr>
      <w:r w:rsidRPr="001D2372">
        <w:rPr>
          <w:rFonts w:ascii="Times New Roman" w:hAnsi="Times New Roman"/>
          <w:b/>
          <w:sz w:val="24"/>
          <w:szCs w:val="24"/>
        </w:rPr>
        <w:t>Публичен финансов мениджмънт</w:t>
      </w:r>
      <w:r w:rsidRPr="007E4884">
        <w:rPr>
          <w:rFonts w:ascii="Times New Roman" w:hAnsi="Times New Roman"/>
          <w:sz w:val="24"/>
          <w:szCs w:val="24"/>
        </w:rPr>
        <w:t xml:space="preserve"> цели увеличаване на “печалбата” за обществото като цяло. “Печалбата” на обществото намира израз в: динамиката на увеличаването на БВП като цяло и БВП на глава от населението; намаляване издръжката на административни структури, на себестойността на публичните блага, включително оптимизиране съотношението между частни и публични блага, при възможно подобряване и на качеството им.</w:t>
      </w:r>
    </w:p>
    <w:p w:rsidR="00A944AB" w:rsidRPr="007E4884" w:rsidRDefault="00A944AB" w:rsidP="00A944AB">
      <w:pPr>
        <w:spacing w:before="100" w:after="120" w:line="240" w:lineRule="auto"/>
        <w:jc w:val="both"/>
        <w:rPr>
          <w:rFonts w:ascii="Times New Roman" w:hAnsi="Times New Roman"/>
          <w:sz w:val="24"/>
          <w:szCs w:val="24"/>
        </w:rPr>
      </w:pPr>
      <w:r w:rsidRPr="001D2372">
        <w:rPr>
          <w:rFonts w:ascii="Times New Roman" w:hAnsi="Times New Roman"/>
          <w:b/>
          <w:sz w:val="24"/>
          <w:szCs w:val="24"/>
        </w:rPr>
        <w:t>Публичните финанси</w:t>
      </w:r>
      <w:r w:rsidRPr="007E4884">
        <w:rPr>
          <w:rFonts w:ascii="Times New Roman" w:hAnsi="Times New Roman"/>
          <w:sz w:val="24"/>
          <w:szCs w:val="24"/>
        </w:rPr>
        <w:t xml:space="preserve"> </w:t>
      </w:r>
      <w:r>
        <w:rPr>
          <w:rFonts w:ascii="Times New Roman" w:hAnsi="Times New Roman"/>
          <w:sz w:val="24"/>
          <w:szCs w:val="24"/>
        </w:rPr>
        <w:t>са</w:t>
      </w:r>
      <w:r w:rsidRPr="007E4884">
        <w:rPr>
          <w:rFonts w:ascii="Times New Roman" w:hAnsi="Times New Roman"/>
          <w:sz w:val="24"/>
          <w:szCs w:val="24"/>
        </w:rPr>
        <w:t xml:space="preserve"> система за осигуряване и финансиране на публични блага и услуги, преразпределение и трансфериране на доходи и акумулиране на ресурси от бюджетните организации чрез приходи, помощи и дарения, реализация на финансови активи и поемане на дълг.</w:t>
      </w:r>
    </w:p>
    <w:p w:rsidR="00A944AB" w:rsidRPr="00B82D26" w:rsidRDefault="00A944AB" w:rsidP="00A944AB">
      <w:pPr>
        <w:spacing w:after="120" w:line="240" w:lineRule="auto"/>
        <w:jc w:val="both"/>
        <w:rPr>
          <w:rFonts w:ascii="Times New Roman" w:hAnsi="Times New Roman"/>
          <w:b/>
          <w:sz w:val="24"/>
          <w:szCs w:val="24"/>
        </w:rPr>
      </w:pPr>
      <w:r w:rsidRPr="00B82D26">
        <w:rPr>
          <w:rFonts w:ascii="Times New Roman" w:hAnsi="Times New Roman"/>
          <w:b/>
          <w:sz w:val="24"/>
          <w:szCs w:val="24"/>
        </w:rPr>
        <w:t xml:space="preserve">Основни модели на управление в публичния сектор </w:t>
      </w:r>
    </w:p>
    <w:p w:rsidR="00A944AB" w:rsidRPr="00B82D26" w:rsidRDefault="00A944AB" w:rsidP="00A944AB">
      <w:pPr>
        <w:spacing w:after="120" w:line="240" w:lineRule="auto"/>
        <w:jc w:val="both"/>
        <w:rPr>
          <w:rFonts w:ascii="Times New Roman" w:hAnsi="Times New Roman"/>
          <w:sz w:val="24"/>
          <w:szCs w:val="24"/>
        </w:rPr>
      </w:pPr>
      <w:r w:rsidRPr="00B82D26">
        <w:rPr>
          <w:rFonts w:ascii="Times New Roman" w:hAnsi="Times New Roman"/>
          <w:sz w:val="24"/>
          <w:szCs w:val="24"/>
        </w:rPr>
        <w:t>В държавното управление (</w:t>
      </w:r>
      <w:proofErr w:type="spellStart"/>
      <w:r w:rsidRPr="00B82D26">
        <w:rPr>
          <w:rFonts w:ascii="Times New Roman" w:hAnsi="Times New Roman"/>
          <w:sz w:val="24"/>
          <w:szCs w:val="24"/>
        </w:rPr>
        <w:t>public</w:t>
      </w:r>
      <w:proofErr w:type="spellEnd"/>
      <w:r w:rsidRPr="00B82D26">
        <w:rPr>
          <w:rFonts w:ascii="Times New Roman" w:hAnsi="Times New Roman"/>
          <w:sz w:val="24"/>
          <w:szCs w:val="24"/>
        </w:rPr>
        <w:t xml:space="preserve"> </w:t>
      </w:r>
      <w:proofErr w:type="spellStart"/>
      <w:r w:rsidRPr="00B82D26">
        <w:rPr>
          <w:rFonts w:ascii="Times New Roman" w:hAnsi="Times New Roman"/>
          <w:sz w:val="24"/>
          <w:szCs w:val="24"/>
        </w:rPr>
        <w:t>management</w:t>
      </w:r>
      <w:proofErr w:type="spellEnd"/>
      <w:r w:rsidRPr="00B82D26">
        <w:rPr>
          <w:rFonts w:ascii="Times New Roman" w:hAnsi="Times New Roman"/>
          <w:sz w:val="24"/>
          <w:szCs w:val="24"/>
        </w:rPr>
        <w:t>) се разграничават следните три основни модела за управление, които съответстват на водещите теоретични и политически възгледи относно ролята на съвременната държава.</w:t>
      </w:r>
    </w:p>
    <w:p w:rsidR="00A944AB" w:rsidRPr="00B82D26" w:rsidRDefault="00A944AB" w:rsidP="00A944AB">
      <w:pPr>
        <w:spacing w:after="120" w:line="240" w:lineRule="auto"/>
        <w:jc w:val="both"/>
        <w:rPr>
          <w:rFonts w:ascii="Times New Roman" w:hAnsi="Times New Roman"/>
          <w:sz w:val="24"/>
          <w:szCs w:val="24"/>
        </w:rPr>
      </w:pPr>
      <w:r w:rsidRPr="00B82D26">
        <w:rPr>
          <w:rFonts w:ascii="Times New Roman" w:hAnsi="Times New Roman"/>
          <w:sz w:val="24"/>
          <w:szCs w:val="24"/>
        </w:rPr>
        <w:t xml:space="preserve">• </w:t>
      </w:r>
      <w:r w:rsidRPr="001D2372">
        <w:rPr>
          <w:rFonts w:ascii="Times New Roman" w:hAnsi="Times New Roman"/>
          <w:b/>
          <w:sz w:val="24"/>
          <w:szCs w:val="24"/>
        </w:rPr>
        <w:t>Традиционно бюрократично управление</w:t>
      </w:r>
      <w:r w:rsidRPr="00B82D26">
        <w:rPr>
          <w:rFonts w:ascii="Times New Roman" w:hAnsi="Times New Roman"/>
          <w:sz w:val="24"/>
          <w:szCs w:val="24"/>
        </w:rPr>
        <w:t xml:space="preserve"> - придържане към законовата регулация. Дейността на бюрократите/чиновниците се свежда до стриктно изпълнение и спазване на законовите норми и правила. Този модел на управление е доминиращ до началото на 80-те години на ХХ век. Бюрократичният модел е базиран на предположението, че законовата регулация сама по себе си е условие за ефективно управление: “първо закона, след това действието”. Самите управленски решения се вземат от бюрократи-мениджъри и изпълняват от бюрократи-чиновници в рамките на законовата регулация.</w:t>
      </w:r>
      <w:r>
        <w:rPr>
          <w:rFonts w:ascii="Times New Roman" w:hAnsi="Times New Roman"/>
          <w:sz w:val="24"/>
          <w:szCs w:val="24"/>
        </w:rPr>
        <w:t xml:space="preserve"> </w:t>
      </w:r>
      <w:r w:rsidRPr="00B82D26">
        <w:rPr>
          <w:rFonts w:ascii="Times New Roman" w:hAnsi="Times New Roman"/>
          <w:sz w:val="24"/>
          <w:szCs w:val="24"/>
        </w:rPr>
        <w:t xml:space="preserve">Съвременните разбирания за управление на публичния сектор го характеризират като отчужден модел на управление, тъй като при него се пренебрегва обществото като участник във вземането на решения. </w:t>
      </w:r>
    </w:p>
    <w:p w:rsidR="00A944AB" w:rsidRPr="00B82D26" w:rsidRDefault="00A944AB" w:rsidP="00A944AB">
      <w:pPr>
        <w:spacing w:after="120" w:line="240" w:lineRule="auto"/>
        <w:jc w:val="both"/>
        <w:rPr>
          <w:rFonts w:ascii="Times New Roman" w:hAnsi="Times New Roman"/>
          <w:sz w:val="24"/>
          <w:szCs w:val="24"/>
        </w:rPr>
      </w:pPr>
      <w:r w:rsidRPr="00B82D26">
        <w:rPr>
          <w:rFonts w:ascii="Times New Roman" w:hAnsi="Times New Roman"/>
          <w:sz w:val="24"/>
          <w:szCs w:val="24"/>
        </w:rPr>
        <w:t xml:space="preserve">• </w:t>
      </w:r>
      <w:r w:rsidRPr="001D2372">
        <w:rPr>
          <w:rFonts w:ascii="Times New Roman" w:hAnsi="Times New Roman"/>
          <w:b/>
          <w:sz w:val="24"/>
          <w:szCs w:val="24"/>
        </w:rPr>
        <w:t>Новият публичен мениджмънт</w:t>
      </w:r>
      <w:r w:rsidRPr="00B82D26">
        <w:rPr>
          <w:rFonts w:ascii="Times New Roman" w:hAnsi="Times New Roman"/>
          <w:sz w:val="24"/>
          <w:szCs w:val="24"/>
        </w:rPr>
        <w:t xml:space="preserve"> - фокусът е поставен върху ефективността на публичните политики. При този модел се използва и конкурентният подход с цел постигане на по-висока </w:t>
      </w:r>
      <w:r w:rsidRPr="00B82D26">
        <w:rPr>
          <w:rFonts w:ascii="Times New Roman" w:hAnsi="Times New Roman"/>
          <w:sz w:val="24"/>
          <w:szCs w:val="24"/>
        </w:rPr>
        <w:lastRenderedPageBreak/>
        <w:t>ефективност в дейността на публичните структури. Ето защо, този модел за управление на публичния сектор е определян като пазарно ориентиран. Този модел на управление е с по-различен фокус от предходния: конкуренцията измества законовите и бюрократичните регулации. Въвеждането на конкурентния принцип е предпоставка за ефективност на провеждането на публичните политики.</w:t>
      </w:r>
    </w:p>
    <w:p w:rsidR="00A944AB" w:rsidRPr="00B82D26" w:rsidRDefault="00A944AB" w:rsidP="00A944AB">
      <w:pPr>
        <w:spacing w:after="120" w:line="240" w:lineRule="auto"/>
        <w:jc w:val="both"/>
        <w:rPr>
          <w:rFonts w:ascii="Times New Roman" w:hAnsi="Times New Roman"/>
          <w:sz w:val="24"/>
          <w:szCs w:val="24"/>
        </w:rPr>
      </w:pPr>
      <w:r w:rsidRPr="00B82D26">
        <w:rPr>
          <w:rFonts w:ascii="Times New Roman" w:hAnsi="Times New Roman"/>
          <w:sz w:val="24"/>
          <w:szCs w:val="24"/>
        </w:rPr>
        <w:t>Този управленски подход е базиран на управлението на зрелите корпорации и включва в себе си елементи от корпоративната рутина: стратегическо управление, постигане на ефективност, грижа за клиента, отчетност пред акционерите и др.</w:t>
      </w:r>
    </w:p>
    <w:p w:rsidR="00A944AB" w:rsidRPr="00B82D26" w:rsidRDefault="00A944AB" w:rsidP="00A944AB">
      <w:pPr>
        <w:spacing w:after="120" w:line="240" w:lineRule="auto"/>
        <w:jc w:val="both"/>
        <w:rPr>
          <w:rFonts w:ascii="Times New Roman" w:hAnsi="Times New Roman"/>
          <w:sz w:val="24"/>
          <w:szCs w:val="24"/>
        </w:rPr>
      </w:pPr>
      <w:r w:rsidRPr="00B82D26">
        <w:rPr>
          <w:rFonts w:ascii="Times New Roman" w:hAnsi="Times New Roman"/>
          <w:sz w:val="24"/>
          <w:szCs w:val="24"/>
        </w:rPr>
        <w:t xml:space="preserve">• </w:t>
      </w:r>
      <w:r w:rsidRPr="001D2372">
        <w:rPr>
          <w:rFonts w:ascii="Times New Roman" w:hAnsi="Times New Roman"/>
          <w:b/>
          <w:sz w:val="24"/>
          <w:szCs w:val="24"/>
        </w:rPr>
        <w:t>Моделът на доброто управление</w:t>
      </w:r>
      <w:r w:rsidRPr="00B82D26">
        <w:rPr>
          <w:rFonts w:ascii="Times New Roman" w:hAnsi="Times New Roman"/>
          <w:sz w:val="24"/>
          <w:szCs w:val="24"/>
        </w:rPr>
        <w:t xml:space="preserve"> - нова концепция и политика през последните 15–20 години. Доброто управление съдържа в себе си всички положителни елементи от другите два модела, но включва нови параметри, които са съобразени с принципите и ценностите на демократичното общество. Дефинирането на понятието обикновено се свежда до консенсуса, постигнат от властта, гражданите и частния сектор относно управлението на публичните дела. Доброто управление е базирано на демократични ценности и общи ценности и действия, поради което поражда висока обществена отговорност и ангажираност в управлението. От една страна, то изисква професионални действия на управляващите, независимо дали те са бюрократи, привързани към закона или привързани към действието на пазара. От друга страна, доброто управление включва формулиране на ясна визия, конкретни действия и измерими резултати. Основната цел на модела е да създаде доверие на обществото в управлението на общината, което липсва при първите два модела.</w:t>
      </w:r>
    </w:p>
    <w:p w:rsidR="00A944AB" w:rsidRPr="00B82D26" w:rsidRDefault="00A944AB" w:rsidP="00A944AB">
      <w:pPr>
        <w:spacing w:after="120" w:line="240" w:lineRule="auto"/>
        <w:jc w:val="both"/>
        <w:rPr>
          <w:rFonts w:ascii="Times New Roman" w:hAnsi="Times New Roman"/>
          <w:sz w:val="24"/>
          <w:szCs w:val="24"/>
        </w:rPr>
      </w:pPr>
      <w:r>
        <w:rPr>
          <w:rFonts w:ascii="Times New Roman" w:hAnsi="Times New Roman"/>
          <w:sz w:val="24"/>
          <w:szCs w:val="24"/>
        </w:rPr>
        <w:t>Замислете се к</w:t>
      </w:r>
      <w:r w:rsidRPr="00B82D26">
        <w:rPr>
          <w:rFonts w:ascii="Times New Roman" w:hAnsi="Times New Roman"/>
          <w:sz w:val="24"/>
          <w:szCs w:val="24"/>
        </w:rPr>
        <w:t>ъм кой модел спада финансовото управление в</w:t>
      </w:r>
      <w:r>
        <w:rPr>
          <w:rFonts w:ascii="Times New Roman" w:hAnsi="Times New Roman"/>
          <w:sz w:val="24"/>
          <w:szCs w:val="24"/>
        </w:rPr>
        <w:t>ъв вашата община?</w:t>
      </w:r>
    </w:p>
    <w:p w:rsidR="00A944AB" w:rsidRPr="007E4884" w:rsidRDefault="00A944AB" w:rsidP="00A944AB">
      <w:pPr>
        <w:spacing w:after="120" w:line="240" w:lineRule="auto"/>
        <w:jc w:val="both"/>
        <w:rPr>
          <w:rFonts w:ascii="Times New Roman" w:hAnsi="Times New Roman"/>
          <w:b/>
          <w:sz w:val="24"/>
          <w:szCs w:val="24"/>
        </w:rPr>
      </w:pPr>
      <w:r w:rsidRPr="007E4884">
        <w:rPr>
          <w:rFonts w:ascii="Times New Roman" w:hAnsi="Times New Roman"/>
          <w:b/>
          <w:sz w:val="24"/>
          <w:szCs w:val="24"/>
        </w:rPr>
        <w:t>Общински регламенти</w:t>
      </w:r>
    </w:p>
    <w:p w:rsidR="00A944AB" w:rsidRPr="00B82D26" w:rsidRDefault="00A944AB" w:rsidP="00A944AB">
      <w:pPr>
        <w:spacing w:after="120" w:line="240" w:lineRule="auto"/>
        <w:jc w:val="both"/>
        <w:rPr>
          <w:rFonts w:ascii="Times New Roman" w:hAnsi="Times New Roman"/>
          <w:sz w:val="24"/>
          <w:szCs w:val="24"/>
        </w:rPr>
      </w:pPr>
      <w:r w:rsidRPr="00B82D26">
        <w:rPr>
          <w:rFonts w:ascii="Times New Roman" w:hAnsi="Times New Roman"/>
          <w:sz w:val="24"/>
          <w:szCs w:val="24"/>
        </w:rPr>
        <w:t>При прегледа на общинските Наредби по ЗПФ се установява, че те конкретно регламентират:</w:t>
      </w:r>
    </w:p>
    <w:p w:rsidR="00A944AB" w:rsidRPr="00B82D26" w:rsidRDefault="00A944AB" w:rsidP="00A944AB">
      <w:pPr>
        <w:numPr>
          <w:ilvl w:val="0"/>
          <w:numId w:val="7"/>
        </w:numPr>
        <w:spacing w:before="100" w:after="120" w:line="240" w:lineRule="auto"/>
        <w:jc w:val="both"/>
        <w:rPr>
          <w:rFonts w:ascii="Times New Roman" w:hAnsi="Times New Roman"/>
          <w:sz w:val="24"/>
          <w:szCs w:val="24"/>
        </w:rPr>
      </w:pPr>
      <w:r w:rsidRPr="00B82D26">
        <w:rPr>
          <w:rFonts w:ascii="Times New Roman" w:hAnsi="Times New Roman"/>
          <w:sz w:val="24"/>
          <w:szCs w:val="24"/>
        </w:rPr>
        <w:t>управлението на бюджетните средства, на сметките за средства от ЕС и общинския дълг при спазване принципите на законосъобразност, целесъобразност, всеобхватност, ефективност, отчетност и отговорност, ефикасност и публичност.</w:t>
      </w:r>
    </w:p>
    <w:p w:rsidR="00A944AB" w:rsidRPr="00B82D26" w:rsidRDefault="00A944AB" w:rsidP="00A944AB">
      <w:pPr>
        <w:numPr>
          <w:ilvl w:val="0"/>
          <w:numId w:val="7"/>
        </w:numPr>
        <w:spacing w:before="100" w:after="120" w:line="240" w:lineRule="auto"/>
        <w:jc w:val="both"/>
        <w:rPr>
          <w:rFonts w:ascii="Times New Roman" w:hAnsi="Times New Roman"/>
          <w:sz w:val="24"/>
          <w:szCs w:val="24"/>
        </w:rPr>
      </w:pPr>
      <w:r w:rsidRPr="00B82D26">
        <w:rPr>
          <w:rFonts w:ascii="Times New Roman" w:hAnsi="Times New Roman"/>
          <w:sz w:val="24"/>
          <w:szCs w:val="24"/>
        </w:rPr>
        <w:t>създаването на устойчива финансова среда с цел да се гарантират функциите на общината свързани с предоставяне на публични услуги в интерес на местната общност.</w:t>
      </w:r>
    </w:p>
    <w:p w:rsidR="00A944AB" w:rsidRPr="007E4884" w:rsidRDefault="00A944AB" w:rsidP="00A944AB">
      <w:pPr>
        <w:spacing w:after="120" w:line="240" w:lineRule="auto"/>
        <w:jc w:val="both"/>
        <w:rPr>
          <w:rFonts w:ascii="Times New Roman" w:hAnsi="Times New Roman"/>
          <w:b/>
          <w:sz w:val="24"/>
          <w:szCs w:val="24"/>
        </w:rPr>
      </w:pPr>
      <w:r w:rsidRPr="007E4884">
        <w:rPr>
          <w:rFonts w:ascii="Times New Roman" w:hAnsi="Times New Roman"/>
          <w:b/>
          <w:sz w:val="24"/>
          <w:szCs w:val="24"/>
        </w:rPr>
        <w:t>Цели на общинската финансова политика</w:t>
      </w:r>
    </w:p>
    <w:p w:rsidR="00A944AB" w:rsidRPr="00B82D26" w:rsidRDefault="00A944AB" w:rsidP="00A944AB">
      <w:pPr>
        <w:spacing w:after="120" w:line="240" w:lineRule="auto"/>
        <w:jc w:val="both"/>
        <w:rPr>
          <w:rFonts w:ascii="Times New Roman" w:hAnsi="Times New Roman"/>
          <w:sz w:val="24"/>
          <w:szCs w:val="24"/>
        </w:rPr>
      </w:pPr>
      <w:r>
        <w:rPr>
          <w:rFonts w:ascii="Times New Roman" w:hAnsi="Times New Roman"/>
          <w:sz w:val="24"/>
          <w:szCs w:val="24"/>
        </w:rPr>
        <w:t>Целите на общинската финансова политики са заложени главно в</w:t>
      </w:r>
      <w:r w:rsidRPr="00B82D26">
        <w:rPr>
          <w:rFonts w:ascii="Times New Roman" w:hAnsi="Times New Roman"/>
          <w:sz w:val="24"/>
          <w:szCs w:val="24"/>
        </w:rPr>
        <w:t xml:space="preserve"> местните наредби, където е определено какво следва да осигури финансовата политика на общината</w:t>
      </w:r>
      <w:r>
        <w:rPr>
          <w:rFonts w:ascii="Times New Roman" w:hAnsi="Times New Roman"/>
          <w:sz w:val="24"/>
          <w:szCs w:val="24"/>
        </w:rPr>
        <w:t xml:space="preserve">, която </w:t>
      </w:r>
      <w:r w:rsidRPr="00B82D26">
        <w:rPr>
          <w:rFonts w:ascii="Times New Roman" w:hAnsi="Times New Roman"/>
          <w:sz w:val="24"/>
          <w:szCs w:val="24"/>
        </w:rPr>
        <w:t>представлява система от цели, принципи на управление, приоритети и правила относно местните финанси, която осигурява:</w:t>
      </w:r>
    </w:p>
    <w:p w:rsidR="00A944AB" w:rsidRPr="007E4884" w:rsidRDefault="00A944AB" w:rsidP="00A944AB">
      <w:pPr>
        <w:pStyle w:val="ListParagraph"/>
        <w:numPr>
          <w:ilvl w:val="0"/>
          <w:numId w:val="8"/>
        </w:numPr>
        <w:tabs>
          <w:tab w:val="left" w:pos="851"/>
        </w:tabs>
        <w:spacing w:after="120" w:line="240" w:lineRule="auto"/>
        <w:ind w:left="0" w:firstLine="567"/>
        <w:jc w:val="both"/>
        <w:rPr>
          <w:rFonts w:ascii="Times New Roman" w:hAnsi="Times New Roman"/>
          <w:sz w:val="24"/>
          <w:szCs w:val="24"/>
        </w:rPr>
      </w:pPr>
      <w:r w:rsidRPr="007E4884">
        <w:rPr>
          <w:rFonts w:ascii="Times New Roman" w:hAnsi="Times New Roman"/>
          <w:sz w:val="24"/>
          <w:szCs w:val="24"/>
        </w:rPr>
        <w:t>бюджетна рамка, гарантираща предоставяне на такова равнище на общинските услуги, което отговаря на потребностите и на възможностите на местната общност;</w:t>
      </w:r>
    </w:p>
    <w:p w:rsidR="00A944AB" w:rsidRPr="007E4884" w:rsidRDefault="00A944AB" w:rsidP="00A944AB">
      <w:pPr>
        <w:pStyle w:val="ListParagraph"/>
        <w:numPr>
          <w:ilvl w:val="0"/>
          <w:numId w:val="8"/>
        </w:numPr>
        <w:tabs>
          <w:tab w:val="left" w:pos="851"/>
        </w:tabs>
        <w:spacing w:after="120" w:line="240" w:lineRule="auto"/>
        <w:ind w:left="0" w:firstLine="567"/>
        <w:jc w:val="both"/>
        <w:rPr>
          <w:rFonts w:ascii="Times New Roman" w:hAnsi="Times New Roman"/>
          <w:sz w:val="24"/>
          <w:szCs w:val="24"/>
        </w:rPr>
      </w:pPr>
      <w:r w:rsidRPr="007E4884">
        <w:rPr>
          <w:rFonts w:ascii="Times New Roman" w:hAnsi="Times New Roman"/>
          <w:sz w:val="24"/>
          <w:szCs w:val="24"/>
        </w:rPr>
        <w:t>способността на общината да отговаря на промените в потребностите на местната общност по отношение на предоставените услуги;</w:t>
      </w:r>
    </w:p>
    <w:p w:rsidR="00A944AB" w:rsidRPr="007E4884" w:rsidRDefault="00A944AB" w:rsidP="00A944AB">
      <w:pPr>
        <w:pStyle w:val="ListParagraph"/>
        <w:numPr>
          <w:ilvl w:val="0"/>
          <w:numId w:val="8"/>
        </w:numPr>
        <w:tabs>
          <w:tab w:val="left" w:pos="851"/>
        </w:tabs>
        <w:spacing w:after="120" w:line="240" w:lineRule="auto"/>
        <w:ind w:left="0" w:firstLine="567"/>
        <w:jc w:val="both"/>
        <w:rPr>
          <w:rFonts w:ascii="Times New Roman" w:hAnsi="Times New Roman"/>
          <w:sz w:val="24"/>
          <w:szCs w:val="24"/>
        </w:rPr>
      </w:pPr>
      <w:r w:rsidRPr="007E4884">
        <w:rPr>
          <w:rFonts w:ascii="Times New Roman" w:hAnsi="Times New Roman"/>
          <w:sz w:val="24"/>
          <w:szCs w:val="24"/>
        </w:rPr>
        <w:t>поддържане на стабилно финансово състояние и спазване на принципите за управление на публичните средства и фискалните правила, определени със Закона за публичните финанси;</w:t>
      </w:r>
    </w:p>
    <w:p w:rsidR="00A944AB" w:rsidRPr="007E4884" w:rsidRDefault="00A944AB" w:rsidP="00A944AB">
      <w:pPr>
        <w:pStyle w:val="ListParagraph"/>
        <w:numPr>
          <w:ilvl w:val="0"/>
          <w:numId w:val="8"/>
        </w:numPr>
        <w:tabs>
          <w:tab w:val="left" w:pos="851"/>
        </w:tabs>
        <w:spacing w:after="120" w:line="240" w:lineRule="auto"/>
        <w:ind w:left="0" w:firstLine="567"/>
        <w:jc w:val="both"/>
        <w:rPr>
          <w:rFonts w:ascii="Times New Roman" w:hAnsi="Times New Roman"/>
          <w:sz w:val="24"/>
          <w:szCs w:val="24"/>
        </w:rPr>
      </w:pPr>
      <w:r w:rsidRPr="007E4884">
        <w:rPr>
          <w:rFonts w:ascii="Times New Roman" w:hAnsi="Times New Roman"/>
          <w:sz w:val="24"/>
          <w:szCs w:val="24"/>
        </w:rPr>
        <w:lastRenderedPageBreak/>
        <w:t>поддържане на балансирано бюджетно салдо на всеки етап от бюджетния процес.</w:t>
      </w:r>
    </w:p>
    <w:p w:rsidR="00A944AB" w:rsidRDefault="00A944AB" w:rsidP="00A944AB">
      <w:pPr>
        <w:spacing w:after="120" w:line="240" w:lineRule="auto"/>
        <w:jc w:val="both"/>
        <w:rPr>
          <w:rFonts w:ascii="Times New Roman" w:hAnsi="Times New Roman"/>
          <w:sz w:val="24"/>
          <w:szCs w:val="24"/>
        </w:rPr>
      </w:pPr>
      <w:r>
        <w:rPr>
          <w:rFonts w:ascii="Times New Roman" w:hAnsi="Times New Roman"/>
          <w:sz w:val="24"/>
          <w:szCs w:val="24"/>
        </w:rPr>
        <w:t>Н</w:t>
      </w:r>
      <w:r w:rsidRPr="00B82D26">
        <w:rPr>
          <w:rFonts w:ascii="Times New Roman" w:hAnsi="Times New Roman"/>
          <w:sz w:val="24"/>
          <w:szCs w:val="24"/>
        </w:rPr>
        <w:t xml:space="preserve">ормативни актове, установяващи задължение за създаването на система от правила за </w:t>
      </w:r>
      <w:r>
        <w:rPr>
          <w:rFonts w:ascii="Times New Roman" w:hAnsi="Times New Roman"/>
          <w:sz w:val="24"/>
          <w:szCs w:val="24"/>
        </w:rPr>
        <w:t>финансово управление и контрол:</w:t>
      </w:r>
    </w:p>
    <w:p w:rsidR="00A944AB" w:rsidRPr="000663B9" w:rsidRDefault="00A944AB" w:rsidP="00A944AB">
      <w:pPr>
        <w:pStyle w:val="ListParagraph"/>
        <w:numPr>
          <w:ilvl w:val="0"/>
          <w:numId w:val="9"/>
        </w:numPr>
        <w:tabs>
          <w:tab w:val="left" w:pos="851"/>
        </w:tabs>
        <w:spacing w:after="120" w:line="240" w:lineRule="auto"/>
        <w:ind w:left="0" w:firstLine="567"/>
        <w:jc w:val="both"/>
        <w:rPr>
          <w:rFonts w:ascii="Times New Roman" w:hAnsi="Times New Roman"/>
          <w:sz w:val="24"/>
          <w:szCs w:val="24"/>
        </w:rPr>
      </w:pPr>
      <w:r w:rsidRPr="000663B9">
        <w:rPr>
          <w:rFonts w:ascii="Times New Roman" w:hAnsi="Times New Roman"/>
          <w:sz w:val="24"/>
          <w:szCs w:val="24"/>
        </w:rPr>
        <w:t>ЗПФ - Кметовете на общини, както и ръководителите на бюджетни организации са отговорни за изграждането, функционирането и отчитането на системи за финансово управление и контрол в съответствие с действащото законодателство.</w:t>
      </w:r>
    </w:p>
    <w:p w:rsidR="00A944AB" w:rsidRPr="000663B9" w:rsidRDefault="00A944AB" w:rsidP="00A944AB">
      <w:pPr>
        <w:pStyle w:val="ListParagraph"/>
        <w:numPr>
          <w:ilvl w:val="0"/>
          <w:numId w:val="9"/>
        </w:numPr>
        <w:tabs>
          <w:tab w:val="left" w:pos="851"/>
        </w:tabs>
        <w:spacing w:after="120" w:line="240" w:lineRule="auto"/>
        <w:ind w:left="0" w:firstLine="567"/>
        <w:jc w:val="both"/>
        <w:rPr>
          <w:rFonts w:ascii="Times New Roman" w:hAnsi="Times New Roman"/>
          <w:sz w:val="24"/>
          <w:szCs w:val="24"/>
        </w:rPr>
      </w:pPr>
      <w:r w:rsidRPr="000663B9">
        <w:rPr>
          <w:rFonts w:ascii="Times New Roman" w:hAnsi="Times New Roman"/>
          <w:sz w:val="24"/>
          <w:szCs w:val="24"/>
        </w:rPr>
        <w:t xml:space="preserve">ЗФУКПС – Кметовете на общини и ръководителите на </w:t>
      </w:r>
      <w:r>
        <w:rPr>
          <w:rFonts w:ascii="Times New Roman" w:hAnsi="Times New Roman"/>
          <w:sz w:val="24"/>
          <w:szCs w:val="24"/>
        </w:rPr>
        <w:t>бюджетните организации</w:t>
      </w:r>
      <w:r w:rsidRPr="000663B9">
        <w:rPr>
          <w:rFonts w:ascii="Times New Roman" w:hAnsi="Times New Roman"/>
          <w:sz w:val="24"/>
          <w:szCs w:val="24"/>
        </w:rPr>
        <w:t xml:space="preserve"> отговарят за осъществяване на финансовото управление и контрол във всички ръководени от тях структури, програми, дейности и процеси при спазване на принципите за законосъобразност, добро финансово управление и прозрачност.</w:t>
      </w:r>
    </w:p>
    <w:p w:rsidR="00A944AB" w:rsidRPr="00B82D26" w:rsidRDefault="00A944AB" w:rsidP="00A944AB">
      <w:pPr>
        <w:spacing w:after="120" w:line="240" w:lineRule="auto"/>
        <w:jc w:val="both"/>
        <w:rPr>
          <w:rFonts w:ascii="Times New Roman" w:hAnsi="Times New Roman"/>
          <w:sz w:val="24"/>
          <w:szCs w:val="24"/>
        </w:rPr>
      </w:pPr>
      <w:r w:rsidRPr="007E4884">
        <w:rPr>
          <w:rFonts w:ascii="Times New Roman" w:hAnsi="Times New Roman"/>
          <w:sz w:val="24"/>
          <w:szCs w:val="24"/>
        </w:rPr>
        <w:t>Принципите на управление са съвкупност от правила, процедури, норми за поведение на участниците в бюджетния процес. Местната общност осъществява публичен контрол на разходваните средства и прави предложения по бюджета за годината</w:t>
      </w:r>
    </w:p>
    <w:p w:rsidR="00A944AB" w:rsidRPr="000663B9" w:rsidRDefault="00A944AB" w:rsidP="00A944AB">
      <w:pPr>
        <w:spacing w:after="120" w:line="240" w:lineRule="auto"/>
        <w:jc w:val="both"/>
        <w:rPr>
          <w:rFonts w:ascii="Times New Roman" w:hAnsi="Times New Roman"/>
          <w:b/>
          <w:sz w:val="24"/>
          <w:szCs w:val="24"/>
        </w:rPr>
      </w:pPr>
      <w:r w:rsidRPr="000663B9">
        <w:rPr>
          <w:rFonts w:ascii="Times New Roman" w:hAnsi="Times New Roman"/>
          <w:b/>
          <w:sz w:val="24"/>
          <w:szCs w:val="24"/>
        </w:rPr>
        <w:t>Предпоставки за развитие на публични, ефективни и ефикасни финансови политики</w:t>
      </w:r>
    </w:p>
    <w:p w:rsidR="00A944AB" w:rsidRPr="00B82D26" w:rsidRDefault="00A944AB" w:rsidP="00A944AB">
      <w:pPr>
        <w:spacing w:after="120" w:line="240" w:lineRule="auto"/>
        <w:jc w:val="both"/>
        <w:rPr>
          <w:rFonts w:ascii="Times New Roman" w:hAnsi="Times New Roman"/>
          <w:sz w:val="24"/>
          <w:szCs w:val="24"/>
        </w:rPr>
      </w:pPr>
      <w:r w:rsidRPr="00B82D26">
        <w:rPr>
          <w:rFonts w:ascii="Times New Roman" w:hAnsi="Times New Roman"/>
          <w:sz w:val="24"/>
          <w:szCs w:val="24"/>
        </w:rPr>
        <w:t>Системата за управление на публичните финанси има два основни аспекта:</w:t>
      </w:r>
    </w:p>
    <w:p w:rsidR="00A944AB" w:rsidRPr="00B82D26" w:rsidRDefault="00A944AB" w:rsidP="00A944AB">
      <w:pPr>
        <w:spacing w:after="120" w:line="240" w:lineRule="auto"/>
        <w:jc w:val="both"/>
        <w:rPr>
          <w:rFonts w:ascii="Times New Roman" w:hAnsi="Times New Roman"/>
          <w:sz w:val="24"/>
          <w:szCs w:val="24"/>
        </w:rPr>
      </w:pPr>
      <w:r w:rsidRPr="00B82D26">
        <w:rPr>
          <w:rFonts w:ascii="Times New Roman" w:hAnsi="Times New Roman"/>
          <w:sz w:val="24"/>
          <w:szCs w:val="24"/>
        </w:rPr>
        <w:t>- Организацион</w:t>
      </w:r>
      <w:r>
        <w:rPr>
          <w:rFonts w:ascii="Times New Roman" w:hAnsi="Times New Roman"/>
          <w:sz w:val="24"/>
          <w:szCs w:val="24"/>
        </w:rPr>
        <w:t>е</w:t>
      </w:r>
      <w:r w:rsidRPr="00B82D26">
        <w:rPr>
          <w:rFonts w:ascii="Times New Roman" w:hAnsi="Times New Roman"/>
          <w:sz w:val="24"/>
          <w:szCs w:val="24"/>
        </w:rPr>
        <w:t>н (институционален)</w:t>
      </w:r>
      <w:r>
        <w:rPr>
          <w:rFonts w:ascii="Times New Roman" w:hAnsi="Times New Roman"/>
          <w:sz w:val="24"/>
          <w:szCs w:val="24"/>
        </w:rPr>
        <w:t xml:space="preserve"> </w:t>
      </w:r>
      <w:r w:rsidRPr="00B82D26">
        <w:rPr>
          <w:rFonts w:ascii="Times New Roman" w:hAnsi="Times New Roman"/>
          <w:sz w:val="24"/>
          <w:szCs w:val="24"/>
        </w:rPr>
        <w:t>– изследване на правомощията на органите на местна власт, на организацията на управление, администрацията и структурите, които ги подпомагат;</w:t>
      </w:r>
      <w:r w:rsidRPr="00892354">
        <w:rPr>
          <w:rFonts w:ascii="Times New Roman" w:hAnsi="Times New Roman"/>
          <w:sz w:val="24"/>
          <w:szCs w:val="24"/>
        </w:rPr>
        <w:t xml:space="preserve"> </w:t>
      </w:r>
      <w:r w:rsidRPr="00B82D26">
        <w:rPr>
          <w:rFonts w:ascii="Times New Roman" w:hAnsi="Times New Roman"/>
          <w:sz w:val="24"/>
          <w:szCs w:val="24"/>
        </w:rPr>
        <w:t>и</w:t>
      </w:r>
    </w:p>
    <w:p w:rsidR="00A944AB" w:rsidRPr="00B82D26" w:rsidRDefault="00A944AB" w:rsidP="00A944AB">
      <w:pPr>
        <w:spacing w:after="120" w:line="240" w:lineRule="auto"/>
        <w:jc w:val="both"/>
        <w:rPr>
          <w:rFonts w:ascii="Times New Roman" w:hAnsi="Times New Roman"/>
          <w:sz w:val="24"/>
          <w:szCs w:val="24"/>
        </w:rPr>
      </w:pPr>
      <w:r w:rsidRPr="00B82D26">
        <w:rPr>
          <w:rFonts w:ascii="Times New Roman" w:hAnsi="Times New Roman"/>
          <w:sz w:val="24"/>
          <w:szCs w:val="24"/>
        </w:rPr>
        <w:t>- Функционал</w:t>
      </w:r>
      <w:r>
        <w:rPr>
          <w:rFonts w:ascii="Times New Roman" w:hAnsi="Times New Roman"/>
          <w:sz w:val="24"/>
          <w:szCs w:val="24"/>
        </w:rPr>
        <w:t>е</w:t>
      </w:r>
      <w:r w:rsidRPr="00B82D26">
        <w:rPr>
          <w:rFonts w:ascii="Times New Roman" w:hAnsi="Times New Roman"/>
          <w:sz w:val="24"/>
          <w:szCs w:val="24"/>
        </w:rPr>
        <w:t>н</w:t>
      </w:r>
      <w:r>
        <w:rPr>
          <w:rFonts w:ascii="Times New Roman" w:hAnsi="Times New Roman"/>
          <w:sz w:val="24"/>
          <w:szCs w:val="24"/>
        </w:rPr>
        <w:t xml:space="preserve"> </w:t>
      </w:r>
      <w:r w:rsidRPr="00B82D26">
        <w:rPr>
          <w:rFonts w:ascii="Times New Roman" w:hAnsi="Times New Roman"/>
          <w:sz w:val="24"/>
          <w:szCs w:val="24"/>
        </w:rPr>
        <w:t>– изследване на съвкупността от дейности за осъществяване на публично, ефективно и ефикасно управление и регулирането на финансови отношения (разпоредители, звена, контрагенти, лица и т.н.).</w:t>
      </w:r>
    </w:p>
    <w:p w:rsidR="00A944AB" w:rsidRPr="000663B9" w:rsidRDefault="00A944AB" w:rsidP="00A944AB">
      <w:pPr>
        <w:spacing w:after="120" w:line="240" w:lineRule="auto"/>
        <w:jc w:val="both"/>
        <w:rPr>
          <w:rFonts w:ascii="Times New Roman" w:hAnsi="Times New Roman"/>
          <w:b/>
          <w:sz w:val="24"/>
          <w:szCs w:val="24"/>
        </w:rPr>
      </w:pPr>
      <w:r w:rsidRPr="000663B9">
        <w:rPr>
          <w:rFonts w:ascii="Times New Roman" w:hAnsi="Times New Roman"/>
          <w:b/>
          <w:sz w:val="24"/>
          <w:szCs w:val="24"/>
        </w:rPr>
        <w:t>Ориентираност към резултатите</w:t>
      </w:r>
    </w:p>
    <w:p w:rsidR="00A944AB" w:rsidRPr="00B82D26" w:rsidRDefault="00A944AB" w:rsidP="00A944AB">
      <w:pPr>
        <w:spacing w:after="120" w:line="240" w:lineRule="auto"/>
        <w:jc w:val="both"/>
        <w:rPr>
          <w:rFonts w:ascii="Times New Roman" w:hAnsi="Times New Roman"/>
          <w:sz w:val="24"/>
          <w:szCs w:val="24"/>
        </w:rPr>
      </w:pPr>
      <w:r>
        <w:rPr>
          <w:rFonts w:ascii="Times New Roman" w:hAnsi="Times New Roman"/>
          <w:sz w:val="24"/>
          <w:szCs w:val="24"/>
        </w:rPr>
        <w:t>След</w:t>
      </w:r>
      <w:r w:rsidRPr="00B82D26">
        <w:rPr>
          <w:rFonts w:ascii="Times New Roman" w:hAnsi="Times New Roman"/>
          <w:sz w:val="24"/>
          <w:szCs w:val="24"/>
        </w:rPr>
        <w:t xml:space="preserve"> идентифицирането на конкретните специфики на организацията и изпълняваните функции, за да се постигне по-добр</w:t>
      </w:r>
      <w:r w:rsidRPr="004576D0">
        <w:rPr>
          <w:rFonts w:ascii="Times New Roman" w:hAnsi="Times New Roman"/>
          <w:sz w:val="24"/>
          <w:szCs w:val="24"/>
        </w:rPr>
        <w:t>о</w:t>
      </w:r>
      <w:r w:rsidRPr="00B82D26">
        <w:rPr>
          <w:rFonts w:ascii="Times New Roman" w:hAnsi="Times New Roman"/>
          <w:sz w:val="24"/>
          <w:szCs w:val="24"/>
        </w:rPr>
        <w:t xml:space="preserve"> управление на публичните средства, може да бъде приложен и моделът за ориентиране на политиката към резултатите. Изкуството е оскъдните ресурси да се концентрират върху най-големите възможности и резултати. За да се постигне това</w:t>
      </w:r>
      <w:r>
        <w:rPr>
          <w:rFonts w:ascii="Times New Roman" w:hAnsi="Times New Roman"/>
          <w:sz w:val="24"/>
          <w:szCs w:val="24"/>
        </w:rPr>
        <w:t>,</w:t>
      </w:r>
      <w:r w:rsidRPr="00B82D26">
        <w:rPr>
          <w:rFonts w:ascii="Times New Roman" w:hAnsi="Times New Roman"/>
          <w:sz w:val="24"/>
          <w:szCs w:val="24"/>
        </w:rPr>
        <w:t xml:space="preserve"> общините могат да прилагат три добре проверени и изпробван</w:t>
      </w:r>
      <w:r>
        <w:rPr>
          <w:rFonts w:ascii="Times New Roman" w:hAnsi="Times New Roman"/>
          <w:sz w:val="24"/>
          <w:szCs w:val="24"/>
        </w:rPr>
        <w:t>и подхода, валидни и за бизнеса.</w:t>
      </w:r>
    </w:p>
    <w:p w:rsidR="00A944AB" w:rsidRPr="00B82D26" w:rsidRDefault="00A944AB" w:rsidP="00A944AB">
      <w:pPr>
        <w:spacing w:after="120" w:line="240" w:lineRule="auto"/>
        <w:jc w:val="both"/>
        <w:rPr>
          <w:rFonts w:ascii="Times New Roman" w:hAnsi="Times New Roman"/>
          <w:sz w:val="24"/>
          <w:szCs w:val="24"/>
        </w:rPr>
      </w:pPr>
      <w:r w:rsidRPr="000663B9">
        <w:rPr>
          <w:rFonts w:ascii="Times New Roman" w:hAnsi="Times New Roman"/>
          <w:b/>
          <w:i/>
          <w:sz w:val="24"/>
          <w:szCs w:val="24"/>
        </w:rPr>
        <w:t>Първи подход</w:t>
      </w:r>
      <w:r w:rsidRPr="000663B9">
        <w:rPr>
          <w:rFonts w:ascii="Times New Roman" w:hAnsi="Times New Roman"/>
          <w:b/>
          <w:sz w:val="24"/>
          <w:szCs w:val="24"/>
        </w:rPr>
        <w:t>.</w:t>
      </w:r>
      <w:r w:rsidRPr="00B82D26">
        <w:rPr>
          <w:rFonts w:ascii="Times New Roman" w:hAnsi="Times New Roman"/>
          <w:sz w:val="24"/>
          <w:szCs w:val="24"/>
        </w:rPr>
        <w:t xml:space="preserve"> Това е моделът на “идеалното обслужване на местната общност“, който ще донесе максимум резултати за потребностите на гражданите или поне ще доведе до резултати, които в рамките на дълъг период вероятно ще бъдат най-благоприятни. </w:t>
      </w:r>
    </w:p>
    <w:p w:rsidR="00A944AB" w:rsidRPr="00B82D26" w:rsidRDefault="00A944AB" w:rsidP="00A944AB">
      <w:pPr>
        <w:spacing w:after="120" w:line="240" w:lineRule="auto"/>
        <w:jc w:val="both"/>
        <w:rPr>
          <w:rFonts w:ascii="Times New Roman" w:hAnsi="Times New Roman"/>
          <w:sz w:val="24"/>
          <w:szCs w:val="24"/>
        </w:rPr>
      </w:pPr>
      <w:r w:rsidRPr="000663B9">
        <w:rPr>
          <w:rFonts w:ascii="Times New Roman" w:hAnsi="Times New Roman"/>
          <w:b/>
          <w:i/>
          <w:sz w:val="24"/>
          <w:szCs w:val="24"/>
        </w:rPr>
        <w:t>Втори подход</w:t>
      </w:r>
      <w:r w:rsidRPr="000663B9">
        <w:rPr>
          <w:rFonts w:ascii="Times New Roman" w:hAnsi="Times New Roman"/>
          <w:b/>
          <w:sz w:val="24"/>
          <w:szCs w:val="24"/>
        </w:rPr>
        <w:t>.</w:t>
      </w:r>
      <w:r w:rsidRPr="00B82D26">
        <w:rPr>
          <w:rFonts w:ascii="Times New Roman" w:hAnsi="Times New Roman"/>
          <w:sz w:val="24"/>
          <w:szCs w:val="24"/>
        </w:rPr>
        <w:t xml:space="preserve"> Опит да се максимизират възможностите чрез съсредоточаване на ресурсите върху най-атрактивните услуги, за да се получат възможно най-добрите резултати. Кои са обаче атрактивните услуги за гражданите? Логично е да се смятат онези, които отговарят най-добре на основните потребности на гражданите в дадена общност. Практиката показва, че това са: чистотата, поддържането на пътищата и улиците, водоснабдяването, уличното осветление, развитие и поддържане на места за отдих, спорт и развлечение и достъпа до тях, бързо и качествено предоставяне на административни услуги. </w:t>
      </w:r>
    </w:p>
    <w:p w:rsidR="00A944AB" w:rsidRPr="00B82D26" w:rsidRDefault="00A944AB" w:rsidP="00A944AB">
      <w:pPr>
        <w:spacing w:after="120" w:line="240" w:lineRule="auto"/>
        <w:jc w:val="both"/>
        <w:rPr>
          <w:rFonts w:ascii="Times New Roman" w:hAnsi="Times New Roman"/>
          <w:sz w:val="24"/>
          <w:szCs w:val="24"/>
        </w:rPr>
      </w:pPr>
      <w:r w:rsidRPr="000663B9">
        <w:rPr>
          <w:rFonts w:ascii="Times New Roman" w:hAnsi="Times New Roman"/>
          <w:b/>
          <w:i/>
          <w:sz w:val="24"/>
          <w:szCs w:val="24"/>
        </w:rPr>
        <w:lastRenderedPageBreak/>
        <w:t>Трети подход</w:t>
      </w:r>
      <w:r w:rsidRPr="000663B9">
        <w:rPr>
          <w:rFonts w:ascii="Times New Roman" w:hAnsi="Times New Roman"/>
          <w:b/>
          <w:sz w:val="24"/>
          <w:szCs w:val="24"/>
        </w:rPr>
        <w:t>.</w:t>
      </w:r>
      <w:r w:rsidRPr="00B82D26">
        <w:rPr>
          <w:rFonts w:ascii="Times New Roman" w:hAnsi="Times New Roman"/>
          <w:sz w:val="24"/>
          <w:szCs w:val="24"/>
        </w:rPr>
        <w:t xml:space="preserve"> Състои се в установяване на приоритетите и съсредоточаване на ресурсите върху тях. Чрез него се постига ефект, при който енергията и усилията заработват за това, което дава най-добри резултати.</w:t>
      </w:r>
    </w:p>
    <w:p w:rsidR="00A944AB" w:rsidRPr="00B82D26" w:rsidRDefault="00A944AB" w:rsidP="00A944AB">
      <w:pPr>
        <w:spacing w:after="120" w:line="240" w:lineRule="auto"/>
        <w:jc w:val="both"/>
        <w:rPr>
          <w:rFonts w:ascii="Times New Roman" w:hAnsi="Times New Roman"/>
          <w:sz w:val="24"/>
          <w:szCs w:val="24"/>
        </w:rPr>
      </w:pPr>
      <w:r w:rsidRPr="00B82D26">
        <w:rPr>
          <w:rFonts w:ascii="Times New Roman" w:hAnsi="Times New Roman"/>
          <w:sz w:val="24"/>
          <w:szCs w:val="24"/>
        </w:rPr>
        <w:t xml:space="preserve">При всеки един от тези подхода се стига до разработване на програма за действие. Трудността за реализирането на подобни програми се състои в разпределението на ресурсите и най-вече в кадровите решения. </w:t>
      </w:r>
    </w:p>
    <w:p w:rsidR="00A944AB" w:rsidRPr="000663B9" w:rsidRDefault="00A944AB" w:rsidP="00A944AB">
      <w:pPr>
        <w:spacing w:after="120" w:line="240" w:lineRule="auto"/>
        <w:jc w:val="both"/>
        <w:rPr>
          <w:rFonts w:ascii="Times New Roman" w:hAnsi="Times New Roman"/>
          <w:b/>
          <w:sz w:val="24"/>
          <w:szCs w:val="24"/>
        </w:rPr>
      </w:pPr>
      <w:r w:rsidRPr="000663B9">
        <w:rPr>
          <w:rFonts w:ascii="Times New Roman" w:hAnsi="Times New Roman"/>
          <w:b/>
          <w:sz w:val="24"/>
          <w:szCs w:val="24"/>
        </w:rPr>
        <w:t>Гаранции за правилното разходване на бюджета и средствата от ЕС</w:t>
      </w:r>
    </w:p>
    <w:p w:rsidR="00A944AB" w:rsidRPr="00B82D26" w:rsidRDefault="00A944AB" w:rsidP="00A944AB">
      <w:pPr>
        <w:spacing w:after="120" w:line="240" w:lineRule="auto"/>
        <w:jc w:val="both"/>
        <w:rPr>
          <w:rFonts w:ascii="Times New Roman" w:hAnsi="Times New Roman"/>
          <w:sz w:val="24"/>
          <w:szCs w:val="24"/>
        </w:rPr>
      </w:pPr>
      <w:r w:rsidRPr="00B82D26">
        <w:rPr>
          <w:rFonts w:ascii="Times New Roman" w:hAnsi="Times New Roman"/>
          <w:sz w:val="24"/>
          <w:szCs w:val="24"/>
        </w:rPr>
        <w:t>Ключов</w:t>
      </w:r>
      <w:r>
        <w:rPr>
          <w:rFonts w:ascii="Times New Roman" w:hAnsi="Times New Roman"/>
          <w:sz w:val="24"/>
          <w:szCs w:val="24"/>
        </w:rPr>
        <w:t>и</w:t>
      </w:r>
      <w:r w:rsidRPr="00B82D26">
        <w:rPr>
          <w:rFonts w:ascii="Times New Roman" w:hAnsi="Times New Roman"/>
          <w:sz w:val="24"/>
          <w:szCs w:val="24"/>
        </w:rPr>
        <w:t xml:space="preserve"> елемент</w:t>
      </w:r>
      <w:r>
        <w:rPr>
          <w:rFonts w:ascii="Times New Roman" w:hAnsi="Times New Roman"/>
          <w:sz w:val="24"/>
          <w:szCs w:val="24"/>
        </w:rPr>
        <w:t>и</w:t>
      </w:r>
      <w:r w:rsidRPr="00B82D26">
        <w:rPr>
          <w:rFonts w:ascii="Times New Roman" w:hAnsi="Times New Roman"/>
          <w:sz w:val="24"/>
          <w:szCs w:val="24"/>
        </w:rPr>
        <w:t xml:space="preserve"> за гарантиране</w:t>
      </w:r>
      <w:r>
        <w:rPr>
          <w:rFonts w:ascii="Times New Roman" w:hAnsi="Times New Roman"/>
          <w:sz w:val="24"/>
          <w:szCs w:val="24"/>
        </w:rPr>
        <w:t>,</w:t>
      </w:r>
      <w:r w:rsidRPr="00B82D26">
        <w:rPr>
          <w:rFonts w:ascii="Times New Roman" w:hAnsi="Times New Roman"/>
          <w:sz w:val="24"/>
          <w:szCs w:val="24"/>
        </w:rPr>
        <w:t xml:space="preserve"> че бюджетът и </w:t>
      </w:r>
      <w:r w:rsidRPr="000663B9">
        <w:rPr>
          <w:rFonts w:ascii="Times New Roman" w:hAnsi="Times New Roman"/>
          <w:sz w:val="24"/>
          <w:szCs w:val="24"/>
        </w:rPr>
        <w:t xml:space="preserve">средствата от ЕС </w:t>
      </w:r>
      <w:r w:rsidRPr="00B82D26">
        <w:rPr>
          <w:rFonts w:ascii="Times New Roman" w:hAnsi="Times New Roman"/>
          <w:sz w:val="24"/>
          <w:szCs w:val="24"/>
        </w:rPr>
        <w:t xml:space="preserve">се изразходват правилно, са мониторингът и оценката. </w:t>
      </w:r>
    </w:p>
    <w:p w:rsidR="00A944AB" w:rsidRPr="00B82D26" w:rsidRDefault="00A944AB" w:rsidP="00A944AB">
      <w:pPr>
        <w:spacing w:after="120" w:line="240" w:lineRule="auto"/>
        <w:jc w:val="both"/>
        <w:rPr>
          <w:rFonts w:ascii="Times New Roman" w:hAnsi="Times New Roman"/>
          <w:sz w:val="24"/>
          <w:szCs w:val="24"/>
        </w:rPr>
      </w:pPr>
      <w:r w:rsidRPr="006D78BB">
        <w:rPr>
          <w:rFonts w:ascii="Times New Roman" w:hAnsi="Times New Roman"/>
          <w:b/>
          <w:sz w:val="24"/>
          <w:szCs w:val="24"/>
        </w:rPr>
        <w:t>Мониторингът</w:t>
      </w:r>
      <w:r w:rsidRPr="00B82D26">
        <w:rPr>
          <w:rFonts w:ascii="Times New Roman" w:hAnsi="Times New Roman"/>
          <w:sz w:val="24"/>
          <w:szCs w:val="24"/>
        </w:rPr>
        <w:t xml:space="preserve"> представлява редовен преглед на разходите, постиженията и резултатите, който предоставя актуална информация относно това дали програмите/мерките/бюджета се изпълняват според предвиденото. </w:t>
      </w:r>
    </w:p>
    <w:p w:rsidR="00A944AB" w:rsidRPr="00B82D26" w:rsidRDefault="00A944AB" w:rsidP="00A944AB">
      <w:pPr>
        <w:spacing w:after="120" w:line="240" w:lineRule="auto"/>
        <w:jc w:val="both"/>
        <w:rPr>
          <w:rFonts w:ascii="Times New Roman" w:hAnsi="Times New Roman"/>
          <w:sz w:val="24"/>
          <w:szCs w:val="24"/>
        </w:rPr>
      </w:pPr>
      <w:r w:rsidRPr="006D78BB">
        <w:rPr>
          <w:rFonts w:ascii="Times New Roman" w:hAnsi="Times New Roman"/>
          <w:b/>
          <w:sz w:val="24"/>
          <w:szCs w:val="24"/>
        </w:rPr>
        <w:t>Оценката</w:t>
      </w:r>
      <w:r w:rsidRPr="00B82D26">
        <w:rPr>
          <w:rFonts w:ascii="Times New Roman" w:hAnsi="Times New Roman"/>
          <w:sz w:val="24"/>
          <w:szCs w:val="24"/>
        </w:rPr>
        <w:t xml:space="preserve"> представлява периодично събиране и анализ на данни, в това число информацията, предоставена за мониторинга, с цел формиране на заключения относно ефективността и ефикасността на дадена програма или политика. </w:t>
      </w:r>
    </w:p>
    <w:p w:rsidR="00A944AB" w:rsidRPr="00B82D26" w:rsidRDefault="00A944AB" w:rsidP="00A944AB">
      <w:pPr>
        <w:spacing w:after="120" w:line="240" w:lineRule="auto"/>
        <w:jc w:val="both"/>
        <w:rPr>
          <w:rFonts w:ascii="Times New Roman" w:hAnsi="Times New Roman"/>
          <w:sz w:val="24"/>
          <w:szCs w:val="24"/>
        </w:rPr>
      </w:pPr>
      <w:r w:rsidRPr="00B82D26">
        <w:rPr>
          <w:rFonts w:ascii="Times New Roman" w:hAnsi="Times New Roman"/>
          <w:sz w:val="24"/>
          <w:szCs w:val="24"/>
        </w:rPr>
        <w:t>С помощта на информацията от мониторинга и оценката относно това кои разходи не са ефективни или ефикасни могат да бъдат направени промени в бюджета, съответно когато е приложимо и промени в реализираните проекти. Няма ограничения и текущо актуализиране на местната уредба, така че в средно и дългосрочен план тази тенденция да се преобърне. Подобна информация е необходима също така с цел отчетност: да се информират общинските съветници и местната общност, за това, което е било постигнато с бюджета, и да се демонстрира, че той е бил изразходван правилно.</w:t>
      </w:r>
      <w:r>
        <w:rPr>
          <w:rFonts w:ascii="Times New Roman" w:hAnsi="Times New Roman"/>
          <w:sz w:val="24"/>
          <w:szCs w:val="24"/>
        </w:rPr>
        <w:t xml:space="preserve"> </w:t>
      </w:r>
      <w:r w:rsidRPr="00B82D26">
        <w:rPr>
          <w:rFonts w:ascii="Times New Roman" w:hAnsi="Times New Roman"/>
          <w:sz w:val="24"/>
          <w:szCs w:val="24"/>
        </w:rPr>
        <w:t>От съществено значение за това е съдържанието и качеството на получаваната от мониторинга и оценката информация.</w:t>
      </w:r>
    </w:p>
    <w:p w:rsidR="00A944AB" w:rsidRPr="001D2372" w:rsidRDefault="00A944AB" w:rsidP="00A944AB">
      <w:pPr>
        <w:spacing w:after="120" w:line="240" w:lineRule="auto"/>
        <w:jc w:val="both"/>
        <w:rPr>
          <w:rFonts w:ascii="Times New Roman" w:hAnsi="Times New Roman"/>
          <w:b/>
          <w:sz w:val="24"/>
          <w:szCs w:val="24"/>
        </w:rPr>
      </w:pPr>
      <w:r w:rsidRPr="001D2372">
        <w:rPr>
          <w:rFonts w:ascii="Times New Roman" w:hAnsi="Times New Roman"/>
          <w:b/>
          <w:sz w:val="24"/>
          <w:szCs w:val="24"/>
        </w:rPr>
        <w:t>Публичността и прозрачността пред гражданите са основни изисквания за осигуряване на гражданското участие, разписани в международни и национални нормативни актове.</w:t>
      </w:r>
    </w:p>
    <w:p w:rsidR="00A944AB" w:rsidRPr="00B82D26" w:rsidRDefault="00A944AB" w:rsidP="00A944AB">
      <w:pPr>
        <w:spacing w:after="120" w:line="240" w:lineRule="auto"/>
        <w:jc w:val="both"/>
        <w:rPr>
          <w:rFonts w:ascii="Times New Roman" w:hAnsi="Times New Roman"/>
          <w:sz w:val="24"/>
          <w:szCs w:val="24"/>
        </w:rPr>
      </w:pPr>
      <w:r w:rsidRPr="00B82D26">
        <w:rPr>
          <w:rFonts w:ascii="Times New Roman" w:hAnsi="Times New Roman"/>
          <w:sz w:val="24"/>
          <w:szCs w:val="24"/>
        </w:rPr>
        <w:t>Европейската ха</w:t>
      </w:r>
      <w:r>
        <w:rPr>
          <w:rFonts w:ascii="Times New Roman" w:hAnsi="Times New Roman"/>
          <w:sz w:val="24"/>
          <w:szCs w:val="24"/>
        </w:rPr>
        <w:t xml:space="preserve">рта за местното самоуправление определя </w:t>
      </w:r>
      <w:r w:rsidRPr="00B82D26">
        <w:rPr>
          <w:rFonts w:ascii="Times New Roman" w:hAnsi="Times New Roman"/>
          <w:sz w:val="24"/>
          <w:szCs w:val="24"/>
        </w:rPr>
        <w:t>местното самоуправление като основа на демократичното устройство на обществото</w:t>
      </w:r>
      <w:r>
        <w:rPr>
          <w:rFonts w:ascii="Times New Roman" w:hAnsi="Times New Roman"/>
          <w:sz w:val="24"/>
          <w:szCs w:val="24"/>
        </w:rPr>
        <w:t>, а</w:t>
      </w:r>
      <w:r w:rsidRPr="00B82D26">
        <w:rPr>
          <w:rFonts w:ascii="Times New Roman" w:hAnsi="Times New Roman"/>
          <w:sz w:val="24"/>
          <w:szCs w:val="24"/>
        </w:rPr>
        <w:t xml:space="preserve"> правото на гражданите да участват в упр</w:t>
      </w:r>
      <w:r>
        <w:rPr>
          <w:rFonts w:ascii="Times New Roman" w:hAnsi="Times New Roman"/>
          <w:sz w:val="24"/>
          <w:szCs w:val="24"/>
        </w:rPr>
        <w:t>авлението на обществените дела като основен демократичен принцип.</w:t>
      </w:r>
    </w:p>
    <w:p w:rsidR="00A944AB" w:rsidRPr="00B82D26" w:rsidRDefault="00A944AB" w:rsidP="00A944AB">
      <w:pPr>
        <w:spacing w:after="120" w:line="240" w:lineRule="auto"/>
        <w:jc w:val="both"/>
        <w:rPr>
          <w:rFonts w:ascii="Times New Roman" w:hAnsi="Times New Roman"/>
          <w:sz w:val="24"/>
          <w:szCs w:val="24"/>
        </w:rPr>
      </w:pPr>
      <w:r w:rsidRPr="00B82D26">
        <w:rPr>
          <w:rFonts w:ascii="Times New Roman" w:hAnsi="Times New Roman"/>
          <w:sz w:val="24"/>
          <w:szCs w:val="24"/>
        </w:rPr>
        <w:t>В Конституцията на Република България е записано, че „Цялата държавна власт произтича от народа. Тя се осъществява от него непосредствено и чрез органите, предвидени в Конституцията.” Основният закон регламентира правата на гражданите да избират свои представители и гарантира защитата на обществения интерес. Затова гражданите са в състояние да контролират дейността на избраниците си и да реагират при накърняване на техните права и интереси.</w:t>
      </w:r>
    </w:p>
    <w:p w:rsidR="00A944AB" w:rsidRPr="006D78BB" w:rsidRDefault="00A944AB" w:rsidP="00A944AB">
      <w:pPr>
        <w:spacing w:after="120" w:line="240" w:lineRule="auto"/>
        <w:jc w:val="both"/>
        <w:rPr>
          <w:rFonts w:ascii="Times New Roman" w:hAnsi="Times New Roman"/>
          <w:sz w:val="24"/>
          <w:szCs w:val="24"/>
        </w:rPr>
      </w:pPr>
      <w:r w:rsidRPr="006D78BB">
        <w:rPr>
          <w:rFonts w:ascii="Times New Roman" w:hAnsi="Times New Roman"/>
          <w:sz w:val="24"/>
          <w:szCs w:val="24"/>
        </w:rPr>
        <w:t xml:space="preserve">Съществен принос за дефиниране на доброто местно управление, за изработване на инструментариум относно неговото приложение, както и за създаването на институционални предпоставки и стимулиране на местните власти за прилагане на принципите на добро управление имат </w:t>
      </w:r>
      <w:r w:rsidRPr="001D2372">
        <w:rPr>
          <w:rFonts w:ascii="Times New Roman" w:hAnsi="Times New Roman"/>
          <w:b/>
          <w:sz w:val="24"/>
          <w:szCs w:val="24"/>
        </w:rPr>
        <w:t>Стратегията за иновации и добро управление на местно ниво на Съвета на Европа</w:t>
      </w:r>
      <w:r w:rsidRPr="006D78BB">
        <w:rPr>
          <w:rFonts w:ascii="Times New Roman" w:hAnsi="Times New Roman"/>
          <w:sz w:val="24"/>
          <w:szCs w:val="24"/>
        </w:rPr>
        <w:t xml:space="preserve"> и мерките и инициативите по нейното изпълнение.</w:t>
      </w:r>
      <w:r>
        <w:rPr>
          <w:rFonts w:ascii="Times New Roman" w:hAnsi="Times New Roman"/>
          <w:sz w:val="24"/>
          <w:szCs w:val="24"/>
        </w:rPr>
        <w:t xml:space="preserve"> </w:t>
      </w:r>
      <w:r w:rsidRPr="006D78BB">
        <w:rPr>
          <w:rFonts w:ascii="Times New Roman" w:hAnsi="Times New Roman"/>
          <w:sz w:val="24"/>
          <w:szCs w:val="24"/>
        </w:rPr>
        <w:t xml:space="preserve">Стратегията на съвета на Европа за иновации и добро управление на местно ниво определя 12 принципа за добро </w:t>
      </w:r>
      <w:r w:rsidRPr="006D78BB">
        <w:rPr>
          <w:rFonts w:ascii="Times New Roman" w:hAnsi="Times New Roman"/>
          <w:sz w:val="24"/>
          <w:szCs w:val="24"/>
        </w:rPr>
        <w:lastRenderedPageBreak/>
        <w:t>упра</w:t>
      </w:r>
      <w:r>
        <w:rPr>
          <w:rFonts w:ascii="Times New Roman" w:hAnsi="Times New Roman"/>
          <w:sz w:val="24"/>
          <w:szCs w:val="24"/>
        </w:rPr>
        <w:t>вление. Част от тях са свързани с п</w:t>
      </w:r>
      <w:r w:rsidRPr="006D78BB">
        <w:rPr>
          <w:rFonts w:ascii="Times New Roman" w:hAnsi="Times New Roman"/>
          <w:sz w:val="24"/>
          <w:szCs w:val="24"/>
        </w:rPr>
        <w:t xml:space="preserve">убличността и прозрачността пред гражданите а именно: </w:t>
      </w:r>
    </w:p>
    <w:p w:rsidR="00A944AB" w:rsidRPr="006D78BB" w:rsidRDefault="00A944AB" w:rsidP="00A944AB">
      <w:pPr>
        <w:spacing w:after="120" w:line="240" w:lineRule="auto"/>
        <w:jc w:val="both"/>
        <w:rPr>
          <w:rFonts w:ascii="Times New Roman" w:hAnsi="Times New Roman"/>
          <w:sz w:val="24"/>
          <w:szCs w:val="24"/>
        </w:rPr>
      </w:pPr>
      <w:r w:rsidRPr="006D78BB">
        <w:rPr>
          <w:rFonts w:ascii="Times New Roman" w:hAnsi="Times New Roman"/>
          <w:sz w:val="24"/>
          <w:szCs w:val="24"/>
        </w:rPr>
        <w:t xml:space="preserve">1. Откритост и прозрачност - на гражданите трябва да се осигури обществен достъп до информация и да се улесни разбирането им за това, как се решават обществено значими въпроси; </w:t>
      </w:r>
    </w:p>
    <w:p w:rsidR="00A944AB" w:rsidRPr="006D78BB" w:rsidRDefault="00A944AB" w:rsidP="00A944AB">
      <w:pPr>
        <w:spacing w:after="120" w:line="240" w:lineRule="auto"/>
        <w:jc w:val="both"/>
        <w:rPr>
          <w:rFonts w:ascii="Times New Roman" w:hAnsi="Times New Roman"/>
          <w:sz w:val="24"/>
          <w:szCs w:val="24"/>
        </w:rPr>
      </w:pPr>
      <w:r w:rsidRPr="006D78BB">
        <w:rPr>
          <w:rFonts w:ascii="Times New Roman" w:hAnsi="Times New Roman"/>
          <w:sz w:val="24"/>
          <w:szCs w:val="24"/>
        </w:rPr>
        <w:t>2. Отзивчивост – да се осигури непрекъснато във времето посрещане на нуждите  и законно обоснованите очаквания на гражданите от страна на местните власти;</w:t>
      </w:r>
    </w:p>
    <w:p w:rsidR="00A944AB" w:rsidRPr="006D78BB" w:rsidRDefault="00A944AB" w:rsidP="00A944AB">
      <w:pPr>
        <w:spacing w:after="120" w:line="240" w:lineRule="auto"/>
        <w:jc w:val="both"/>
        <w:rPr>
          <w:rFonts w:ascii="Times New Roman" w:hAnsi="Times New Roman"/>
          <w:sz w:val="24"/>
          <w:szCs w:val="24"/>
        </w:rPr>
      </w:pPr>
      <w:r w:rsidRPr="006D78BB">
        <w:rPr>
          <w:rFonts w:ascii="Times New Roman" w:hAnsi="Times New Roman"/>
          <w:sz w:val="24"/>
          <w:szCs w:val="24"/>
        </w:rPr>
        <w:t>3. Етично поведение – с действията си местното ръководство трябва да гарантира, че общественият интерес е поставен над личните интереси;</w:t>
      </w:r>
    </w:p>
    <w:p w:rsidR="00A944AB" w:rsidRPr="006D78BB" w:rsidRDefault="00A944AB" w:rsidP="00A944AB">
      <w:pPr>
        <w:spacing w:after="120" w:line="240" w:lineRule="auto"/>
        <w:jc w:val="both"/>
        <w:rPr>
          <w:rFonts w:ascii="Times New Roman" w:hAnsi="Times New Roman"/>
          <w:sz w:val="24"/>
          <w:szCs w:val="24"/>
        </w:rPr>
      </w:pPr>
      <w:r w:rsidRPr="006D78BB">
        <w:rPr>
          <w:rFonts w:ascii="Times New Roman" w:hAnsi="Times New Roman"/>
          <w:sz w:val="24"/>
          <w:szCs w:val="24"/>
        </w:rPr>
        <w:t>4. Иновации и отвореност за промени – общинското ръководство да гарантира, че се извлича практическа полза от въвеждането на нови решения и добри практики от страна на гражданите;</w:t>
      </w:r>
    </w:p>
    <w:p w:rsidR="00A944AB" w:rsidRPr="006D78BB" w:rsidRDefault="00A944AB" w:rsidP="00A944AB">
      <w:pPr>
        <w:spacing w:after="120" w:line="240" w:lineRule="auto"/>
        <w:jc w:val="both"/>
        <w:rPr>
          <w:rFonts w:ascii="Times New Roman" w:hAnsi="Times New Roman"/>
          <w:sz w:val="24"/>
          <w:szCs w:val="24"/>
        </w:rPr>
      </w:pPr>
      <w:r w:rsidRPr="006D78BB">
        <w:rPr>
          <w:rFonts w:ascii="Times New Roman" w:hAnsi="Times New Roman"/>
          <w:sz w:val="24"/>
          <w:szCs w:val="24"/>
        </w:rPr>
        <w:t>5. Човешки права, културно разнообразие и социално единство – да се гарантира, че са защитени всички граждани и е зачетено човешкото им достойнство, както и това, че никой от тях не е дискриминиран или изключен от обществения живот;</w:t>
      </w:r>
    </w:p>
    <w:p w:rsidR="00A944AB" w:rsidRDefault="00A944AB" w:rsidP="00A944AB">
      <w:pPr>
        <w:spacing w:after="120" w:line="240" w:lineRule="auto"/>
        <w:jc w:val="both"/>
        <w:rPr>
          <w:rFonts w:ascii="Times New Roman" w:hAnsi="Times New Roman"/>
          <w:sz w:val="24"/>
          <w:szCs w:val="24"/>
        </w:rPr>
      </w:pPr>
      <w:r w:rsidRPr="00B82D26">
        <w:rPr>
          <w:rFonts w:ascii="Times New Roman" w:hAnsi="Times New Roman"/>
          <w:sz w:val="24"/>
          <w:szCs w:val="24"/>
        </w:rPr>
        <w:t xml:space="preserve">Доброто управление на местно ниво е управление, насочено към създаване и осъществяване на ефективни публични политики във всяка област на живота. Изисква административен капацитет – отговорна, ефективна и ефикасна публична администрация, пряко обвързана със структурите на гражданското общество. Провеждането на регионални политики в страните членки на Европейския съюз, изисква все повече ангажирането на местните власти използвайки принципите на добро управление и участието на гражданското общество. Те подпомагат демокрацията и върховенството на закона в държавите членки и се отнасят до всички нива на управлението – от глобалното, през европейското, до националното, регионалното и местното. </w:t>
      </w:r>
    </w:p>
    <w:p w:rsidR="00A944AB" w:rsidRPr="001D2372" w:rsidRDefault="00A944AB" w:rsidP="00A944AB">
      <w:pPr>
        <w:spacing w:after="120" w:line="240" w:lineRule="auto"/>
        <w:jc w:val="both"/>
        <w:rPr>
          <w:rFonts w:ascii="Times New Roman" w:hAnsi="Times New Roman"/>
          <w:b/>
          <w:sz w:val="24"/>
          <w:szCs w:val="24"/>
        </w:rPr>
      </w:pPr>
      <w:r w:rsidRPr="001D2372">
        <w:rPr>
          <w:rFonts w:ascii="Times New Roman" w:hAnsi="Times New Roman"/>
          <w:b/>
          <w:sz w:val="24"/>
          <w:szCs w:val="24"/>
        </w:rPr>
        <w:t xml:space="preserve">Децентрализацията в управлението може да постигне своята цел само чрез прилагането на принципите на доброто управление. </w:t>
      </w:r>
    </w:p>
    <w:p w:rsidR="00A944AB" w:rsidRDefault="00A944AB" w:rsidP="00A944AB">
      <w:pPr>
        <w:spacing w:after="120" w:line="240" w:lineRule="auto"/>
        <w:jc w:val="both"/>
        <w:rPr>
          <w:rFonts w:ascii="Times New Roman" w:hAnsi="Times New Roman"/>
          <w:sz w:val="24"/>
          <w:szCs w:val="24"/>
        </w:rPr>
      </w:pPr>
      <w:r w:rsidRPr="00B82D26">
        <w:rPr>
          <w:rFonts w:ascii="Times New Roman" w:hAnsi="Times New Roman"/>
          <w:sz w:val="24"/>
          <w:szCs w:val="24"/>
        </w:rPr>
        <w:t xml:space="preserve">По своята същност доброто управление акцентира върху ценностите на демокрацията, формирането на доверие в публичните институции, партньорството със заинтересованите страни, поставянето на гражданите във фокуса на публичните политики и административните процеси. </w:t>
      </w:r>
    </w:p>
    <w:p w:rsidR="00A944AB" w:rsidRPr="00B82D26" w:rsidRDefault="00A944AB" w:rsidP="00A944AB">
      <w:pPr>
        <w:spacing w:after="120" w:line="240" w:lineRule="auto"/>
        <w:jc w:val="both"/>
        <w:rPr>
          <w:rFonts w:ascii="Times New Roman" w:hAnsi="Times New Roman"/>
          <w:sz w:val="24"/>
          <w:szCs w:val="24"/>
        </w:rPr>
      </w:pPr>
      <w:r w:rsidRPr="00B82D26">
        <w:rPr>
          <w:rFonts w:ascii="Times New Roman" w:hAnsi="Times New Roman"/>
          <w:sz w:val="24"/>
          <w:szCs w:val="24"/>
        </w:rPr>
        <w:t xml:space="preserve">Спецификата на доброто управление на местно ниво е породена от една страна от обстоятелството, че местните власти и местната администрация са най-близо до гражданите, от друга страна е пряко свързано със степента на политическа, нормативна, финансова и административна автономност на местните власти в съответствие с Европейската </w:t>
      </w:r>
      <w:r>
        <w:rPr>
          <w:rFonts w:ascii="Times New Roman" w:hAnsi="Times New Roman"/>
          <w:sz w:val="24"/>
          <w:szCs w:val="24"/>
        </w:rPr>
        <w:t xml:space="preserve">харта за местно самоуправление </w:t>
      </w:r>
      <w:r w:rsidRPr="00B82D26">
        <w:rPr>
          <w:rFonts w:ascii="Times New Roman" w:hAnsi="Times New Roman"/>
          <w:sz w:val="24"/>
          <w:szCs w:val="24"/>
        </w:rPr>
        <w:t xml:space="preserve">и националното законодателство. </w:t>
      </w:r>
    </w:p>
    <w:p w:rsidR="00A944AB" w:rsidRPr="00B82D26" w:rsidRDefault="00A944AB" w:rsidP="00A944AB">
      <w:pPr>
        <w:spacing w:after="120" w:line="240" w:lineRule="auto"/>
        <w:jc w:val="both"/>
        <w:rPr>
          <w:rFonts w:ascii="Times New Roman" w:hAnsi="Times New Roman"/>
          <w:sz w:val="24"/>
          <w:szCs w:val="24"/>
        </w:rPr>
      </w:pPr>
      <w:r w:rsidRPr="00B82D26">
        <w:rPr>
          <w:rFonts w:ascii="Times New Roman" w:hAnsi="Times New Roman"/>
          <w:sz w:val="24"/>
          <w:szCs w:val="24"/>
        </w:rPr>
        <w:t xml:space="preserve">Стратегията за иновации и добро управление на местно ниво е приета през октомври 2007 г. на сесия на Конференцията на европейските министри, отговорни за местното и регионалното управление на Съвета на Европа. </w:t>
      </w:r>
      <w:r>
        <w:rPr>
          <w:rFonts w:ascii="Times New Roman" w:hAnsi="Times New Roman"/>
          <w:sz w:val="24"/>
          <w:szCs w:val="24"/>
        </w:rPr>
        <w:t>Целта на нейното създаване</w:t>
      </w:r>
      <w:r w:rsidRPr="00B82D26">
        <w:rPr>
          <w:rFonts w:ascii="Times New Roman" w:hAnsi="Times New Roman"/>
          <w:sz w:val="24"/>
          <w:szCs w:val="24"/>
        </w:rPr>
        <w:t xml:space="preserve"> е да стимулира съвместни действия от страна на държавното и местното управление за подобряване качеството на управление на всички нива, започвайки от нивото, което е най-близо до гражданите и където стабилната и ефективно функционираща демокрация е от съществено </w:t>
      </w:r>
      <w:r w:rsidRPr="00B82D26">
        <w:rPr>
          <w:rFonts w:ascii="Times New Roman" w:hAnsi="Times New Roman"/>
          <w:sz w:val="24"/>
          <w:szCs w:val="24"/>
        </w:rPr>
        <w:lastRenderedPageBreak/>
        <w:t xml:space="preserve">значение. Включените мерки мобилизират и стимулират действията на национално и местно ниво така, че гражданите да се възползват от доброто демократично местно управление посредством постоянно подобряване на качеството на местните публични услуги, ангажиране на населението в обществения живот и провеждането на политики, съответстващи на законно обоснованите очаквания на хората. За целта се изисква: </w:t>
      </w:r>
    </w:p>
    <w:p w:rsidR="00A944AB" w:rsidRPr="00B82D26" w:rsidRDefault="00A944AB" w:rsidP="00A944AB">
      <w:pPr>
        <w:spacing w:after="120" w:line="240" w:lineRule="auto"/>
        <w:jc w:val="both"/>
        <w:rPr>
          <w:rFonts w:ascii="Times New Roman" w:hAnsi="Times New Roman"/>
          <w:sz w:val="24"/>
          <w:szCs w:val="24"/>
        </w:rPr>
      </w:pPr>
      <w:r w:rsidRPr="00B82D26">
        <w:rPr>
          <w:rFonts w:ascii="Times New Roman" w:hAnsi="Times New Roman"/>
          <w:sz w:val="24"/>
          <w:szCs w:val="24"/>
        </w:rPr>
        <w:t xml:space="preserve">• гражданите да бъдат поставени в центъра на всички демократични институции и процеси; </w:t>
      </w:r>
    </w:p>
    <w:p w:rsidR="00A944AB" w:rsidRPr="00B82D26" w:rsidRDefault="00A944AB" w:rsidP="00A944AB">
      <w:pPr>
        <w:spacing w:after="120" w:line="240" w:lineRule="auto"/>
        <w:jc w:val="both"/>
        <w:rPr>
          <w:rFonts w:ascii="Times New Roman" w:hAnsi="Times New Roman"/>
          <w:sz w:val="24"/>
          <w:szCs w:val="24"/>
        </w:rPr>
      </w:pPr>
      <w:r w:rsidRPr="00B82D26">
        <w:rPr>
          <w:rFonts w:ascii="Times New Roman" w:hAnsi="Times New Roman"/>
          <w:sz w:val="24"/>
          <w:szCs w:val="24"/>
        </w:rPr>
        <w:t xml:space="preserve">• общините постоянно да подобряват своето управление, в съответствие с Принципите на добро демократично управление на местно ниво; </w:t>
      </w:r>
    </w:p>
    <w:p w:rsidR="00A944AB" w:rsidRPr="00965DCD" w:rsidRDefault="00A944AB" w:rsidP="00A944AB">
      <w:pPr>
        <w:spacing w:after="120" w:line="240" w:lineRule="auto"/>
        <w:jc w:val="both"/>
        <w:rPr>
          <w:rFonts w:ascii="Times New Roman" w:hAnsi="Times New Roman"/>
          <w:sz w:val="24"/>
          <w:szCs w:val="24"/>
        </w:rPr>
      </w:pPr>
      <w:r w:rsidRPr="00965DCD">
        <w:rPr>
          <w:rFonts w:ascii="Times New Roman" w:hAnsi="Times New Roman"/>
          <w:sz w:val="24"/>
          <w:szCs w:val="24"/>
        </w:rPr>
        <w:t xml:space="preserve">• централните органи да създадат и да утвърждават институционални предпоставки за подобряване на управлението на общинско ниво, основавайки се на вече съществуващите ангажименти в съответствие с Европейската харта за местно самоуправление. </w:t>
      </w:r>
    </w:p>
    <w:p w:rsidR="00A944AB" w:rsidRPr="00B82D26" w:rsidRDefault="00A944AB" w:rsidP="00A944AB">
      <w:pPr>
        <w:spacing w:after="120" w:line="240" w:lineRule="auto"/>
        <w:jc w:val="both"/>
        <w:rPr>
          <w:rFonts w:ascii="Times New Roman" w:hAnsi="Times New Roman"/>
          <w:sz w:val="24"/>
          <w:szCs w:val="24"/>
          <w:shd w:val="clear" w:color="auto" w:fill="FEFEFE"/>
        </w:rPr>
      </w:pPr>
      <w:r w:rsidRPr="00B82D26">
        <w:rPr>
          <w:rFonts w:ascii="Times New Roman" w:hAnsi="Times New Roman"/>
          <w:sz w:val="24"/>
          <w:szCs w:val="24"/>
        </w:rPr>
        <w:t xml:space="preserve">Основен елемент от Стратегията е присъждане на Етикет за иновации и добро управление на местно ниво. Главната цел на инициативата за присъждане на Етикета е да се насърчават усилията на все повече местни власти и конкуренцията между тях, което на свой ред да доведе до политики, насочени към силно местно самоуправление в България. </w:t>
      </w:r>
    </w:p>
    <w:p w:rsidR="00A944AB" w:rsidRPr="00965DCD" w:rsidRDefault="00A944AB" w:rsidP="00A944AB">
      <w:pPr>
        <w:spacing w:after="120" w:line="240" w:lineRule="auto"/>
        <w:jc w:val="both"/>
        <w:rPr>
          <w:rFonts w:ascii="Times New Roman" w:hAnsi="Times New Roman"/>
          <w:b/>
          <w:sz w:val="24"/>
          <w:szCs w:val="24"/>
          <w:shd w:val="clear" w:color="auto" w:fill="FEFEFE"/>
        </w:rPr>
      </w:pPr>
      <w:r w:rsidRPr="00965DCD">
        <w:rPr>
          <w:rFonts w:ascii="Times New Roman" w:hAnsi="Times New Roman"/>
          <w:b/>
          <w:sz w:val="24"/>
          <w:szCs w:val="24"/>
          <w:shd w:val="clear" w:color="auto" w:fill="FEFEFE"/>
        </w:rPr>
        <w:t xml:space="preserve">Нормативно регламентираните форми за пряко участие на гражданите </w:t>
      </w:r>
      <w:r>
        <w:rPr>
          <w:rFonts w:ascii="Times New Roman" w:hAnsi="Times New Roman"/>
          <w:b/>
          <w:sz w:val="24"/>
          <w:szCs w:val="24"/>
          <w:shd w:val="clear" w:color="auto" w:fill="FEFEFE"/>
        </w:rPr>
        <w:t xml:space="preserve">в управлението </w:t>
      </w:r>
      <w:r w:rsidRPr="00965DCD">
        <w:rPr>
          <w:rFonts w:ascii="Times New Roman" w:hAnsi="Times New Roman"/>
          <w:b/>
          <w:sz w:val="24"/>
          <w:szCs w:val="24"/>
          <w:shd w:val="clear" w:color="auto" w:fill="FEFEFE"/>
        </w:rPr>
        <w:t xml:space="preserve">са: </w:t>
      </w:r>
    </w:p>
    <w:p w:rsidR="00A944AB" w:rsidRPr="00965DCD" w:rsidRDefault="00A944AB" w:rsidP="00A944AB">
      <w:pPr>
        <w:pStyle w:val="ListParagraph"/>
        <w:numPr>
          <w:ilvl w:val="0"/>
          <w:numId w:val="11"/>
        </w:numPr>
        <w:tabs>
          <w:tab w:val="left" w:pos="851"/>
        </w:tabs>
        <w:spacing w:after="120" w:line="240" w:lineRule="auto"/>
        <w:ind w:left="0" w:firstLine="567"/>
        <w:jc w:val="both"/>
        <w:rPr>
          <w:rFonts w:ascii="Times New Roman" w:hAnsi="Times New Roman"/>
          <w:sz w:val="24"/>
          <w:szCs w:val="24"/>
          <w:shd w:val="clear" w:color="auto" w:fill="FEFEFE"/>
        </w:rPr>
      </w:pPr>
      <w:r w:rsidRPr="00965DCD">
        <w:rPr>
          <w:rFonts w:ascii="Times New Roman" w:hAnsi="Times New Roman"/>
          <w:b/>
          <w:sz w:val="24"/>
          <w:szCs w:val="24"/>
          <w:shd w:val="clear" w:color="auto" w:fill="FEFEFE"/>
        </w:rPr>
        <w:t>Референдумът</w:t>
      </w:r>
      <w:r w:rsidRPr="00965DCD">
        <w:rPr>
          <w:rFonts w:ascii="Times New Roman" w:hAnsi="Times New Roman"/>
          <w:sz w:val="24"/>
          <w:szCs w:val="24"/>
          <w:shd w:val="clear" w:color="auto" w:fill="FEFEFE"/>
        </w:rPr>
        <w:t xml:space="preserve"> е форма на пряко гласуване на гражданите на дадена държава, при което цялото население одобрява или отхвърля дадено предложение. Самото предложение – предмет на гласуването – може също да се организира от граждани – инициативен комитет. Референдумът бива два вида – местен и национален. Право на гласуване на национален и местен референдум имат гражданите на Република България с избирателни права. Финансови средства за произвеждане на национален референдум се осигуряват от държавния бюджет, а за провеждане на местен – от съответния общински бюджет; </w:t>
      </w:r>
    </w:p>
    <w:p w:rsidR="00A944AB" w:rsidRPr="00965DCD" w:rsidRDefault="00A944AB" w:rsidP="00A944AB">
      <w:pPr>
        <w:pStyle w:val="ListParagraph"/>
        <w:numPr>
          <w:ilvl w:val="0"/>
          <w:numId w:val="11"/>
        </w:numPr>
        <w:tabs>
          <w:tab w:val="left" w:pos="851"/>
        </w:tabs>
        <w:spacing w:after="120" w:line="240" w:lineRule="auto"/>
        <w:ind w:left="0" w:firstLine="567"/>
        <w:jc w:val="both"/>
        <w:rPr>
          <w:rFonts w:ascii="Times New Roman" w:hAnsi="Times New Roman"/>
          <w:sz w:val="24"/>
          <w:szCs w:val="24"/>
          <w:shd w:val="clear" w:color="auto" w:fill="FEFEFE"/>
        </w:rPr>
      </w:pPr>
      <w:r w:rsidRPr="00965DCD">
        <w:rPr>
          <w:rFonts w:ascii="Times New Roman" w:hAnsi="Times New Roman"/>
          <w:b/>
          <w:sz w:val="24"/>
          <w:szCs w:val="24"/>
          <w:shd w:val="clear" w:color="auto" w:fill="FEFEFE"/>
        </w:rPr>
        <w:t>Гражданска инициатива</w:t>
      </w:r>
      <w:r w:rsidRPr="00965DCD">
        <w:rPr>
          <w:rFonts w:ascii="Times New Roman" w:hAnsi="Times New Roman"/>
          <w:sz w:val="24"/>
          <w:szCs w:val="24"/>
          <w:shd w:val="clear" w:color="auto" w:fill="FEFEFE"/>
        </w:rPr>
        <w:t xml:space="preserve"> - по същността си националната гражданска инициатива представлява отправяне на предложение от страна на гражданите към Народното събрание или към органи на централната изпълнителна власт за решаване на въпроси от национално значение. Чрез местна гражданска инициатива гражданите правят предложения до общинския съвет, кмета на общината, на района или на кметството, или до областни или регионални органи на изпълнителната власт за решаване на въпроси от местно значение; </w:t>
      </w:r>
    </w:p>
    <w:p w:rsidR="00A944AB" w:rsidRPr="00965DCD" w:rsidRDefault="00A944AB" w:rsidP="00A944AB">
      <w:pPr>
        <w:pStyle w:val="ListParagraph"/>
        <w:numPr>
          <w:ilvl w:val="0"/>
          <w:numId w:val="11"/>
        </w:numPr>
        <w:tabs>
          <w:tab w:val="left" w:pos="851"/>
        </w:tabs>
        <w:spacing w:after="120" w:line="240" w:lineRule="auto"/>
        <w:ind w:left="0" w:firstLine="567"/>
        <w:jc w:val="both"/>
        <w:rPr>
          <w:rFonts w:ascii="Times New Roman" w:hAnsi="Times New Roman"/>
          <w:sz w:val="24"/>
          <w:szCs w:val="24"/>
          <w:shd w:val="clear" w:color="auto" w:fill="FEFEFE"/>
        </w:rPr>
      </w:pPr>
      <w:r w:rsidRPr="00965DCD">
        <w:rPr>
          <w:rFonts w:ascii="Times New Roman" w:hAnsi="Times New Roman"/>
          <w:b/>
          <w:sz w:val="24"/>
          <w:szCs w:val="24"/>
          <w:shd w:val="clear" w:color="auto" w:fill="FEFEFE"/>
        </w:rPr>
        <w:t>Европейска гражданска инициатива</w:t>
      </w:r>
      <w:r w:rsidRPr="00965DCD">
        <w:rPr>
          <w:rFonts w:ascii="Times New Roman" w:hAnsi="Times New Roman"/>
          <w:sz w:val="24"/>
          <w:szCs w:val="24"/>
          <w:shd w:val="clear" w:color="auto" w:fill="FEFEFE"/>
        </w:rPr>
        <w:t xml:space="preserve"> е гражданска инициатива на европейско ниво, чрез която гражданите на Европа приканват Комисията да представи подходящо предложение на даден проблем (посочен от гражданите). Необходимо е участието на 1 милион души от поне 7 държави-членки на ЕС. Организатори и поддръжници на инициативата трябва да са граждани на страна-членка на ЕС и да са на възраст, на която имат право да гласуват за избор на Европейски Парламент; </w:t>
      </w:r>
    </w:p>
    <w:p w:rsidR="00A944AB" w:rsidRPr="00965DCD" w:rsidRDefault="00A944AB" w:rsidP="00A944AB">
      <w:pPr>
        <w:pStyle w:val="ListParagraph"/>
        <w:numPr>
          <w:ilvl w:val="0"/>
          <w:numId w:val="11"/>
        </w:numPr>
        <w:tabs>
          <w:tab w:val="left" w:pos="851"/>
        </w:tabs>
        <w:spacing w:after="120" w:line="240" w:lineRule="auto"/>
        <w:ind w:left="0" w:firstLine="567"/>
        <w:jc w:val="both"/>
        <w:rPr>
          <w:rFonts w:ascii="Times New Roman" w:hAnsi="Times New Roman"/>
          <w:sz w:val="24"/>
          <w:szCs w:val="24"/>
          <w:shd w:val="clear" w:color="auto" w:fill="FEFEFE"/>
        </w:rPr>
      </w:pPr>
      <w:r w:rsidRPr="00965DCD">
        <w:rPr>
          <w:rFonts w:ascii="Times New Roman" w:hAnsi="Times New Roman"/>
          <w:b/>
          <w:sz w:val="24"/>
          <w:szCs w:val="24"/>
          <w:shd w:val="clear" w:color="auto" w:fill="FEFEFE"/>
        </w:rPr>
        <w:t>Общо събрание на населението</w:t>
      </w:r>
      <w:r w:rsidRPr="00965DCD">
        <w:rPr>
          <w:rFonts w:ascii="Times New Roman" w:hAnsi="Times New Roman"/>
          <w:sz w:val="24"/>
          <w:szCs w:val="24"/>
          <w:shd w:val="clear" w:color="auto" w:fill="FEFEFE"/>
        </w:rPr>
        <w:t xml:space="preserve"> се провежда за решаване на въпроси от местно значение, компетентността за чието решаване по целесъобразност е предоставена на съответния общински съвет или кмет. То се провежда в общини, райони, кметства, населени места и квартали с население до 10 000 жители. Общо събрание може да се свика по инициатива на населението с избирателни права и с адрес (постоянен или настоящ) на територията на общината, района, кметството, населеното място или квартала към момента на формулиране на искането. Общинският съвет или кметът на общината са длъжни да </w:t>
      </w:r>
      <w:r w:rsidRPr="00965DCD">
        <w:rPr>
          <w:rFonts w:ascii="Times New Roman" w:hAnsi="Times New Roman"/>
          <w:sz w:val="24"/>
          <w:szCs w:val="24"/>
          <w:shd w:val="clear" w:color="auto" w:fill="FEFEFE"/>
        </w:rPr>
        <w:lastRenderedPageBreak/>
        <w:t xml:space="preserve">издадат съответните актове за предприемане на необходимите действия в срок до един месец от приемането на решението на общото събрание, освен ако самото общо събрание не е определило по-дълъг срок. </w:t>
      </w:r>
    </w:p>
    <w:p w:rsidR="00A944AB" w:rsidRPr="00B82D26" w:rsidRDefault="00A944AB" w:rsidP="00A944AB">
      <w:pPr>
        <w:spacing w:after="120" w:line="240" w:lineRule="auto"/>
        <w:jc w:val="both"/>
        <w:rPr>
          <w:rFonts w:ascii="Times New Roman" w:hAnsi="Times New Roman"/>
          <w:sz w:val="24"/>
          <w:szCs w:val="24"/>
          <w:shd w:val="clear" w:color="auto" w:fill="FEFEFE"/>
        </w:rPr>
      </w:pPr>
      <w:r w:rsidRPr="00B82D26">
        <w:rPr>
          <w:rFonts w:ascii="Times New Roman" w:hAnsi="Times New Roman"/>
          <w:sz w:val="24"/>
          <w:szCs w:val="24"/>
          <w:shd w:val="clear" w:color="auto" w:fill="FEFEFE"/>
        </w:rPr>
        <w:t xml:space="preserve">В съответствие със Закона за местното самоуправление и местната администрация гражданите могат да присъстват на заседанията на общинския съвет и на неговите комисии, като заемат специално определените за тях места. Те могат да се изказват, да отправят питания, становища и предложения от компетентността на общинския съвет, кмета или общинската администрация, представляващи обществен интерес, и да получават отговори по ред, начин и в срок, определени в правилника за организацията и дейността на общинския съвет. </w:t>
      </w:r>
    </w:p>
    <w:p w:rsidR="00A944AB" w:rsidRPr="00B82D26" w:rsidRDefault="00A944AB" w:rsidP="00A944AB">
      <w:pPr>
        <w:spacing w:after="120" w:line="240" w:lineRule="auto"/>
        <w:jc w:val="both"/>
        <w:rPr>
          <w:rFonts w:ascii="Times New Roman" w:hAnsi="Times New Roman"/>
          <w:sz w:val="24"/>
          <w:szCs w:val="24"/>
          <w:shd w:val="clear" w:color="auto" w:fill="FEFEFE"/>
        </w:rPr>
      </w:pPr>
      <w:r w:rsidRPr="00B82D26">
        <w:rPr>
          <w:rFonts w:ascii="Times New Roman" w:hAnsi="Times New Roman"/>
          <w:sz w:val="24"/>
          <w:szCs w:val="24"/>
          <w:shd w:val="clear" w:color="auto" w:fill="FEFEFE"/>
        </w:rPr>
        <w:t xml:space="preserve">Гражданите и юридическите лица могат да внасят писмени предложения и становища в комисиите на общинския съвет. </w:t>
      </w:r>
    </w:p>
    <w:p w:rsidR="00A944AB" w:rsidRPr="00B82D26" w:rsidRDefault="00A944AB" w:rsidP="00A944AB">
      <w:pPr>
        <w:spacing w:after="120" w:line="240" w:lineRule="auto"/>
        <w:jc w:val="both"/>
        <w:rPr>
          <w:rFonts w:ascii="Times New Roman" w:hAnsi="Times New Roman"/>
          <w:sz w:val="24"/>
          <w:szCs w:val="24"/>
          <w:shd w:val="clear" w:color="auto" w:fill="FEFEFE"/>
        </w:rPr>
      </w:pPr>
      <w:r w:rsidRPr="00B82D26">
        <w:rPr>
          <w:rFonts w:ascii="Times New Roman" w:hAnsi="Times New Roman"/>
          <w:sz w:val="24"/>
          <w:szCs w:val="24"/>
          <w:shd w:val="clear" w:color="auto" w:fill="FEFEFE"/>
        </w:rPr>
        <w:t xml:space="preserve">По разглежданите въпроси комисиите приемат доклади, становища, предложения и препоръки, които се предават в общинския съвет и на съответните заинтересувани лица. Защитата на правата и законните интереси на гражданите може да се осъществява и чрез института на обществения посредник. Той съдейства за спазване правата и законните интереси на гражданите пред органите на местното самоуправление и местната администрация. </w:t>
      </w:r>
    </w:p>
    <w:p w:rsidR="00A944AB" w:rsidRPr="00B82D26" w:rsidRDefault="00A944AB" w:rsidP="00A944AB">
      <w:pPr>
        <w:spacing w:after="120" w:line="240" w:lineRule="auto"/>
        <w:jc w:val="both"/>
        <w:rPr>
          <w:rFonts w:ascii="Times New Roman" w:hAnsi="Times New Roman"/>
          <w:sz w:val="24"/>
          <w:szCs w:val="24"/>
          <w:shd w:val="clear" w:color="auto" w:fill="FEFEFE"/>
        </w:rPr>
      </w:pPr>
      <w:r w:rsidRPr="00B82D26">
        <w:rPr>
          <w:rFonts w:ascii="Times New Roman" w:hAnsi="Times New Roman"/>
          <w:sz w:val="24"/>
          <w:szCs w:val="24"/>
          <w:shd w:val="clear" w:color="auto" w:fill="FEFEFE"/>
        </w:rPr>
        <w:t xml:space="preserve">Видима е ползата от включването на по-широк кръг от хора в управлението – това дава възможност да се получи повече информация, различни гледни точки, а също и обществено одобрение и повишено доверие от страна на гражданите в общината. Гражданите са по-добре информирани, познават по-добре работата и намеренията на общината, могат да се включат в обсъждането на проблеми, значими за определена обществена група и в търсенето на решения, изразяват мнение и показват експертни познания, могат да участват в определянето на „дневния ред” на местното развитие. </w:t>
      </w:r>
    </w:p>
    <w:p w:rsidR="00A944AB" w:rsidRPr="00B82D26" w:rsidRDefault="00A944AB" w:rsidP="00A944AB">
      <w:pPr>
        <w:spacing w:after="120" w:line="240" w:lineRule="auto"/>
        <w:jc w:val="both"/>
        <w:rPr>
          <w:rFonts w:ascii="Times New Roman" w:hAnsi="Times New Roman"/>
          <w:sz w:val="24"/>
          <w:szCs w:val="24"/>
          <w:shd w:val="clear" w:color="auto" w:fill="FEFEFE"/>
        </w:rPr>
      </w:pPr>
      <w:r w:rsidRPr="00B82D26">
        <w:rPr>
          <w:rFonts w:ascii="Times New Roman" w:hAnsi="Times New Roman"/>
          <w:sz w:val="24"/>
          <w:szCs w:val="24"/>
          <w:shd w:val="clear" w:color="auto" w:fill="FEFEFE"/>
        </w:rPr>
        <w:t>Във връзка с правото и задължението на местната власт за провеждане на публични обсъждания, примерни форми за по-достъпна комуникация са:</w:t>
      </w:r>
    </w:p>
    <w:p w:rsidR="00A944AB" w:rsidRPr="00965DCD" w:rsidRDefault="00A944AB" w:rsidP="00A944AB">
      <w:pPr>
        <w:pStyle w:val="ListParagraph"/>
        <w:numPr>
          <w:ilvl w:val="0"/>
          <w:numId w:val="10"/>
        </w:numPr>
        <w:tabs>
          <w:tab w:val="left" w:pos="851"/>
        </w:tabs>
        <w:spacing w:after="120" w:line="240" w:lineRule="auto"/>
        <w:ind w:left="0" w:firstLine="567"/>
        <w:jc w:val="both"/>
        <w:rPr>
          <w:rFonts w:ascii="Times New Roman" w:hAnsi="Times New Roman"/>
          <w:sz w:val="24"/>
          <w:szCs w:val="24"/>
          <w:shd w:val="clear" w:color="auto" w:fill="FEFEFE"/>
        </w:rPr>
      </w:pPr>
      <w:r>
        <w:rPr>
          <w:rFonts w:ascii="Times New Roman" w:hAnsi="Times New Roman"/>
          <w:b/>
          <w:sz w:val="24"/>
          <w:szCs w:val="24"/>
          <w:shd w:val="clear" w:color="auto" w:fill="FEFEFE"/>
        </w:rPr>
        <w:t>Фокус-</w:t>
      </w:r>
      <w:r w:rsidRPr="00965DCD">
        <w:rPr>
          <w:rFonts w:ascii="Times New Roman" w:hAnsi="Times New Roman"/>
          <w:b/>
          <w:sz w:val="24"/>
          <w:szCs w:val="24"/>
          <w:shd w:val="clear" w:color="auto" w:fill="FEFEFE"/>
        </w:rPr>
        <w:t>група</w:t>
      </w:r>
      <w:r w:rsidRPr="00965DCD">
        <w:rPr>
          <w:rFonts w:ascii="Times New Roman" w:hAnsi="Times New Roman"/>
          <w:sz w:val="24"/>
          <w:szCs w:val="24"/>
          <w:shd w:val="clear" w:color="auto" w:fill="FEFEFE"/>
        </w:rPr>
        <w:t xml:space="preserve"> се използва ранен етап в процеса на консултиране с цел събиране на информация за мненията на гражданите по даден проблем/тема. </w:t>
      </w:r>
    </w:p>
    <w:p w:rsidR="00A944AB" w:rsidRPr="00965DCD" w:rsidRDefault="00A944AB" w:rsidP="00A944AB">
      <w:pPr>
        <w:pStyle w:val="ListParagraph"/>
        <w:numPr>
          <w:ilvl w:val="0"/>
          <w:numId w:val="10"/>
        </w:numPr>
        <w:tabs>
          <w:tab w:val="left" w:pos="851"/>
        </w:tabs>
        <w:spacing w:after="120" w:line="240" w:lineRule="auto"/>
        <w:ind w:left="0" w:firstLine="567"/>
        <w:jc w:val="both"/>
        <w:rPr>
          <w:rFonts w:ascii="Times New Roman" w:hAnsi="Times New Roman"/>
          <w:sz w:val="24"/>
          <w:szCs w:val="24"/>
          <w:shd w:val="clear" w:color="auto" w:fill="FEFEFE"/>
        </w:rPr>
      </w:pPr>
      <w:r w:rsidRPr="00965DCD">
        <w:rPr>
          <w:rFonts w:ascii="Times New Roman" w:hAnsi="Times New Roman"/>
          <w:b/>
          <w:sz w:val="24"/>
          <w:szCs w:val="24"/>
          <w:shd w:val="clear" w:color="auto" w:fill="FEFEFE"/>
        </w:rPr>
        <w:t>Кръглата маса</w:t>
      </w:r>
      <w:r w:rsidRPr="00965DCD">
        <w:rPr>
          <w:rFonts w:ascii="Times New Roman" w:hAnsi="Times New Roman"/>
          <w:sz w:val="24"/>
          <w:szCs w:val="24"/>
          <w:shd w:val="clear" w:color="auto" w:fill="FEFEFE"/>
        </w:rPr>
        <w:t xml:space="preserve"> е открита официална дискусия по обществена тема, целяща вземане на решения по важен за обществеността въпрос. Очакваните резултати са изразени мнения и различни гледни точки с цел одобрение на обсъждания документ; </w:t>
      </w:r>
    </w:p>
    <w:p w:rsidR="00A944AB" w:rsidRPr="00965DCD" w:rsidRDefault="00A944AB" w:rsidP="00A944AB">
      <w:pPr>
        <w:pStyle w:val="ListParagraph"/>
        <w:numPr>
          <w:ilvl w:val="0"/>
          <w:numId w:val="10"/>
        </w:numPr>
        <w:tabs>
          <w:tab w:val="left" w:pos="851"/>
        </w:tabs>
        <w:spacing w:after="120" w:line="240" w:lineRule="auto"/>
        <w:ind w:left="0" w:firstLine="567"/>
        <w:jc w:val="both"/>
        <w:rPr>
          <w:rFonts w:ascii="Times New Roman" w:hAnsi="Times New Roman"/>
          <w:sz w:val="24"/>
          <w:szCs w:val="24"/>
          <w:shd w:val="clear" w:color="auto" w:fill="FEFEFE"/>
        </w:rPr>
      </w:pPr>
      <w:r w:rsidRPr="00965DCD">
        <w:rPr>
          <w:rFonts w:ascii="Times New Roman" w:hAnsi="Times New Roman"/>
          <w:b/>
          <w:sz w:val="24"/>
          <w:szCs w:val="24"/>
          <w:shd w:val="clear" w:color="auto" w:fill="FEFEFE"/>
        </w:rPr>
        <w:t>Общественият форум</w:t>
      </w:r>
      <w:r w:rsidRPr="00965DCD">
        <w:rPr>
          <w:rFonts w:ascii="Times New Roman" w:hAnsi="Times New Roman"/>
          <w:sz w:val="24"/>
          <w:szCs w:val="24"/>
          <w:shd w:val="clear" w:color="auto" w:fill="FEFEFE"/>
        </w:rPr>
        <w:t xml:space="preserve"> е цикъл от структурирани обществени дискусии (форум-сесии) между равнопоставени участници, които са разпределени по работни маси според своята професионална или социална принадлежност - администрация, бизнес, култура, образование, млади хора, малки населени места, външни експерти и др.; </w:t>
      </w:r>
    </w:p>
    <w:p w:rsidR="00A944AB" w:rsidRPr="00965DCD" w:rsidRDefault="00A944AB" w:rsidP="00A944AB">
      <w:pPr>
        <w:pStyle w:val="ListParagraph"/>
        <w:numPr>
          <w:ilvl w:val="0"/>
          <w:numId w:val="10"/>
        </w:numPr>
        <w:tabs>
          <w:tab w:val="left" w:pos="851"/>
        </w:tabs>
        <w:spacing w:after="120" w:line="240" w:lineRule="auto"/>
        <w:ind w:left="0" w:firstLine="567"/>
        <w:jc w:val="both"/>
        <w:rPr>
          <w:rFonts w:ascii="Times New Roman" w:hAnsi="Times New Roman"/>
          <w:sz w:val="24"/>
          <w:szCs w:val="24"/>
          <w:shd w:val="clear" w:color="auto" w:fill="FEFEFE"/>
        </w:rPr>
      </w:pPr>
      <w:r w:rsidRPr="00965DCD">
        <w:rPr>
          <w:rFonts w:ascii="Times New Roman" w:hAnsi="Times New Roman"/>
          <w:b/>
          <w:sz w:val="24"/>
          <w:szCs w:val="24"/>
          <w:shd w:val="clear" w:color="auto" w:fill="FEFEFE"/>
        </w:rPr>
        <w:t>Други</w:t>
      </w:r>
      <w:r w:rsidRPr="00965DCD">
        <w:rPr>
          <w:rFonts w:ascii="Times New Roman" w:hAnsi="Times New Roman"/>
          <w:sz w:val="24"/>
          <w:szCs w:val="24"/>
          <w:shd w:val="clear" w:color="auto" w:fill="FEFEFE"/>
        </w:rPr>
        <w:t xml:space="preserve"> – граждански консултативни съвети, срещи със заинтересовани страни, квартални съвети, срещи по населени места, пресконференции, анкетни проучвания.</w:t>
      </w:r>
    </w:p>
    <w:p w:rsidR="00A944AB" w:rsidRPr="00A1320E" w:rsidRDefault="00A944AB" w:rsidP="00A944AB">
      <w:pPr>
        <w:spacing w:after="120" w:line="240" w:lineRule="auto"/>
        <w:jc w:val="both"/>
        <w:rPr>
          <w:rFonts w:ascii="Times New Roman" w:hAnsi="Times New Roman"/>
          <w:b/>
          <w:sz w:val="24"/>
          <w:szCs w:val="24"/>
          <w:shd w:val="clear" w:color="auto" w:fill="FEFEFE"/>
        </w:rPr>
      </w:pPr>
      <w:r w:rsidRPr="00A1320E">
        <w:rPr>
          <w:rFonts w:ascii="Times New Roman" w:hAnsi="Times New Roman"/>
          <w:b/>
          <w:sz w:val="24"/>
          <w:szCs w:val="24"/>
          <w:shd w:val="clear" w:color="auto" w:fill="FEFEFE"/>
        </w:rPr>
        <w:t>Нов публичен мениджмънт – адаптиране на правилата за работа</w:t>
      </w:r>
    </w:p>
    <w:p w:rsidR="00A944AB" w:rsidRPr="00A1320E" w:rsidRDefault="00A944AB" w:rsidP="00A944AB">
      <w:pPr>
        <w:spacing w:after="120" w:line="240" w:lineRule="auto"/>
        <w:jc w:val="both"/>
        <w:rPr>
          <w:rFonts w:ascii="Times New Roman" w:hAnsi="Times New Roman"/>
          <w:sz w:val="24"/>
          <w:szCs w:val="24"/>
          <w:shd w:val="clear" w:color="auto" w:fill="FEFEFE"/>
        </w:rPr>
      </w:pPr>
      <w:r w:rsidRPr="00A1320E">
        <w:rPr>
          <w:rFonts w:ascii="Times New Roman" w:hAnsi="Times New Roman"/>
          <w:sz w:val="24"/>
          <w:szCs w:val="24"/>
          <w:shd w:val="clear" w:color="auto" w:fill="FEFEFE"/>
        </w:rPr>
        <w:t xml:space="preserve">Обществения сектор съществува благодарение на пазара, а данъкоплатците желаят да получат срещу внесените данъци еквивалент от определено количество и качество на блага и услуги, създавани в публичните организации и гарантирани от държавата. </w:t>
      </w:r>
    </w:p>
    <w:p w:rsidR="00A944AB" w:rsidRPr="00A1320E" w:rsidRDefault="00A944AB" w:rsidP="00A944AB">
      <w:pPr>
        <w:spacing w:after="120" w:line="240" w:lineRule="auto"/>
        <w:jc w:val="both"/>
        <w:rPr>
          <w:rFonts w:ascii="Times New Roman" w:hAnsi="Times New Roman"/>
          <w:sz w:val="24"/>
          <w:szCs w:val="24"/>
          <w:shd w:val="clear" w:color="auto" w:fill="FEFEFE"/>
        </w:rPr>
      </w:pPr>
      <w:r w:rsidRPr="00A1320E">
        <w:rPr>
          <w:rFonts w:ascii="Times New Roman" w:hAnsi="Times New Roman"/>
          <w:sz w:val="24"/>
          <w:szCs w:val="24"/>
          <w:shd w:val="clear" w:color="auto" w:fill="FEFEFE"/>
        </w:rPr>
        <w:lastRenderedPageBreak/>
        <w:t xml:space="preserve">Публичните организации предоставят разнообразие от блага (чисти публични, смесени, частни), с които се задоволяват лични, групови и обществени потребности и трябва да държат сметка за постигнатите ефекти, т.е. да имат обратна връзка от потребителите, така както това става чрез сделките на пазара. </w:t>
      </w:r>
    </w:p>
    <w:p w:rsidR="00A944AB" w:rsidRPr="00A1320E" w:rsidRDefault="00A944AB" w:rsidP="00A944AB">
      <w:pPr>
        <w:spacing w:after="120" w:line="240" w:lineRule="auto"/>
        <w:jc w:val="both"/>
        <w:rPr>
          <w:rFonts w:ascii="Times New Roman" w:hAnsi="Times New Roman"/>
          <w:sz w:val="24"/>
          <w:szCs w:val="24"/>
          <w:shd w:val="clear" w:color="auto" w:fill="FEFEFE"/>
        </w:rPr>
      </w:pPr>
      <w:r w:rsidRPr="00A1320E">
        <w:rPr>
          <w:rFonts w:ascii="Times New Roman" w:hAnsi="Times New Roman"/>
          <w:sz w:val="24"/>
          <w:szCs w:val="24"/>
          <w:shd w:val="clear" w:color="auto" w:fill="FEFEFE"/>
        </w:rPr>
        <w:t xml:space="preserve">Всяка публична организация е стопанска единица, която не работи за печалба, но трябва да изразходва икономично ресурсите за постигане на зададените цели в рамките на определения предмет на дейност. Тя използва капиталови активи (сгради, съоръжения, техника), за чиято поддръжка и развитие трябва да се правят разходи. </w:t>
      </w:r>
    </w:p>
    <w:p w:rsidR="00A944AB" w:rsidRPr="00A1320E" w:rsidRDefault="00A944AB" w:rsidP="00A944AB">
      <w:pPr>
        <w:spacing w:after="120" w:line="240" w:lineRule="auto"/>
        <w:jc w:val="both"/>
        <w:rPr>
          <w:rFonts w:ascii="Times New Roman" w:hAnsi="Times New Roman"/>
          <w:sz w:val="24"/>
          <w:szCs w:val="24"/>
          <w:shd w:val="clear" w:color="auto" w:fill="FEFEFE"/>
        </w:rPr>
      </w:pPr>
      <w:r w:rsidRPr="00A1320E">
        <w:rPr>
          <w:rFonts w:ascii="Times New Roman" w:hAnsi="Times New Roman"/>
          <w:sz w:val="24"/>
          <w:szCs w:val="24"/>
          <w:shd w:val="clear" w:color="auto" w:fill="FEFEFE"/>
        </w:rPr>
        <w:t xml:space="preserve">Много от формите на взаимоотношения между публичните и частните организации неминуемо придобиват пазарна форма (покупки на стоки и услуги). Отделно от това, не </w:t>
      </w:r>
      <w:proofErr w:type="spellStart"/>
      <w:r w:rsidRPr="00A1320E">
        <w:rPr>
          <w:rFonts w:ascii="Times New Roman" w:hAnsi="Times New Roman"/>
          <w:sz w:val="24"/>
          <w:szCs w:val="24"/>
          <w:shd w:val="clear" w:color="auto" w:fill="FEFEFE"/>
        </w:rPr>
        <w:t>вяка</w:t>
      </w:r>
      <w:proofErr w:type="spellEnd"/>
      <w:r w:rsidRPr="00A1320E">
        <w:rPr>
          <w:rFonts w:ascii="Times New Roman" w:hAnsi="Times New Roman"/>
          <w:sz w:val="24"/>
          <w:szCs w:val="24"/>
          <w:shd w:val="clear" w:color="auto" w:fill="FEFEFE"/>
        </w:rPr>
        <w:t xml:space="preserve"> дейност, която е свързана с доставката на публични блага трябва да се осъществява от организации в обществения сектор, защото това може да е по-скъпо и неефективно. </w:t>
      </w:r>
    </w:p>
    <w:p w:rsidR="00A944AB" w:rsidRPr="00A1320E" w:rsidRDefault="00A944AB" w:rsidP="00A944AB">
      <w:pPr>
        <w:spacing w:after="120" w:line="240" w:lineRule="auto"/>
        <w:jc w:val="both"/>
        <w:rPr>
          <w:rFonts w:ascii="Times New Roman" w:hAnsi="Times New Roman"/>
          <w:sz w:val="24"/>
          <w:szCs w:val="24"/>
          <w:shd w:val="clear" w:color="auto" w:fill="FEFEFE"/>
        </w:rPr>
      </w:pPr>
      <w:r w:rsidRPr="00A1320E">
        <w:rPr>
          <w:rFonts w:ascii="Times New Roman" w:hAnsi="Times New Roman"/>
          <w:sz w:val="24"/>
          <w:szCs w:val="24"/>
          <w:shd w:val="clear" w:color="auto" w:fill="FEFEFE"/>
        </w:rPr>
        <w:t>Концепцията за прилагане на адаптирани пазарни подходи и елементи на корпоративния мениджмънт в обществения сектор е една от характеристиките за реформиране.</w:t>
      </w:r>
    </w:p>
    <w:p w:rsidR="00A944AB" w:rsidRPr="00A1320E" w:rsidRDefault="00A944AB" w:rsidP="00A944AB">
      <w:pPr>
        <w:spacing w:after="120" w:line="240" w:lineRule="auto"/>
        <w:jc w:val="both"/>
        <w:rPr>
          <w:rFonts w:ascii="Times New Roman" w:hAnsi="Times New Roman"/>
          <w:b/>
          <w:sz w:val="24"/>
          <w:szCs w:val="24"/>
          <w:shd w:val="clear" w:color="auto" w:fill="FEFEFE"/>
        </w:rPr>
      </w:pPr>
      <w:r w:rsidRPr="00A1320E">
        <w:rPr>
          <w:rFonts w:ascii="Times New Roman" w:hAnsi="Times New Roman"/>
          <w:b/>
          <w:sz w:val="24"/>
          <w:szCs w:val="24"/>
          <w:shd w:val="clear" w:color="auto" w:fill="FEFEFE"/>
        </w:rPr>
        <w:t xml:space="preserve">Новият мениджмънт налага редица промени и подходи в дейността на общините, като: </w:t>
      </w:r>
    </w:p>
    <w:p w:rsidR="00A944AB" w:rsidRPr="00A1320E" w:rsidRDefault="00A944AB" w:rsidP="00A944AB">
      <w:pPr>
        <w:spacing w:after="120" w:line="240" w:lineRule="auto"/>
        <w:jc w:val="both"/>
        <w:rPr>
          <w:rFonts w:ascii="Times New Roman" w:hAnsi="Times New Roman"/>
          <w:sz w:val="24"/>
          <w:szCs w:val="24"/>
          <w:shd w:val="clear" w:color="auto" w:fill="FEFEFE"/>
        </w:rPr>
      </w:pPr>
      <w:r w:rsidRPr="00A1320E">
        <w:rPr>
          <w:rFonts w:ascii="Times New Roman" w:hAnsi="Times New Roman"/>
          <w:sz w:val="24"/>
          <w:szCs w:val="24"/>
          <w:shd w:val="clear" w:color="auto" w:fill="FEFEFE"/>
        </w:rPr>
        <w:t xml:space="preserve">Промени в структурата на общината, отделяне на политиката от администрирането, намаляване на йерархичните равнища. </w:t>
      </w:r>
    </w:p>
    <w:p w:rsidR="00A944AB" w:rsidRPr="00A1320E" w:rsidRDefault="00A944AB" w:rsidP="00A944AB">
      <w:pPr>
        <w:spacing w:after="120" w:line="240" w:lineRule="auto"/>
        <w:jc w:val="both"/>
        <w:rPr>
          <w:rFonts w:ascii="Times New Roman" w:hAnsi="Times New Roman"/>
          <w:sz w:val="24"/>
          <w:szCs w:val="24"/>
          <w:shd w:val="clear" w:color="auto" w:fill="FEFEFE"/>
        </w:rPr>
      </w:pPr>
      <w:r w:rsidRPr="00A1320E">
        <w:rPr>
          <w:rFonts w:ascii="Times New Roman" w:hAnsi="Times New Roman"/>
          <w:sz w:val="24"/>
          <w:szCs w:val="24"/>
          <w:shd w:val="clear" w:color="auto" w:fill="FEFEFE"/>
        </w:rPr>
        <w:t>Предоставяне на права на мениджърите.</w:t>
      </w:r>
    </w:p>
    <w:p w:rsidR="00A944AB" w:rsidRPr="00A1320E" w:rsidRDefault="00A944AB" w:rsidP="00A944AB">
      <w:pPr>
        <w:spacing w:after="120" w:line="240" w:lineRule="auto"/>
        <w:jc w:val="both"/>
        <w:rPr>
          <w:rFonts w:ascii="Times New Roman" w:hAnsi="Times New Roman"/>
          <w:sz w:val="24"/>
          <w:szCs w:val="24"/>
          <w:shd w:val="clear" w:color="auto" w:fill="FEFEFE"/>
        </w:rPr>
      </w:pPr>
      <w:r w:rsidRPr="00A1320E">
        <w:rPr>
          <w:rFonts w:ascii="Times New Roman" w:hAnsi="Times New Roman"/>
          <w:sz w:val="24"/>
          <w:szCs w:val="24"/>
          <w:shd w:val="clear" w:color="auto" w:fill="FEFEFE"/>
        </w:rPr>
        <w:t>Измерване на резултатите от дейността чрез система от показатели, отчитащи икономичност, ефективност и ефикасност.</w:t>
      </w:r>
    </w:p>
    <w:p w:rsidR="00A944AB" w:rsidRDefault="00A944AB" w:rsidP="00A944AB">
      <w:pPr>
        <w:spacing w:after="120" w:line="240" w:lineRule="auto"/>
        <w:jc w:val="both"/>
        <w:rPr>
          <w:rFonts w:ascii="Times New Roman" w:hAnsi="Times New Roman"/>
          <w:sz w:val="24"/>
          <w:szCs w:val="24"/>
          <w:shd w:val="clear" w:color="auto" w:fill="FEFEFE"/>
        </w:rPr>
      </w:pPr>
      <w:r w:rsidRPr="00A1320E">
        <w:rPr>
          <w:rFonts w:ascii="Times New Roman" w:hAnsi="Times New Roman"/>
          <w:sz w:val="24"/>
          <w:szCs w:val="24"/>
          <w:shd w:val="clear" w:color="auto" w:fill="FEFEFE"/>
        </w:rPr>
        <w:t>Промяна  културата на организацията и промяна на отношението към гражданите и потребителите на услуги, налагане на високи стандарти за качество.</w:t>
      </w:r>
    </w:p>
    <w:p w:rsidR="00A944AB" w:rsidRPr="00A1320E" w:rsidRDefault="00A944AB" w:rsidP="00A944AB">
      <w:pPr>
        <w:spacing w:after="120" w:line="240" w:lineRule="auto"/>
        <w:jc w:val="both"/>
        <w:rPr>
          <w:rFonts w:ascii="Times New Roman" w:hAnsi="Times New Roman"/>
          <w:sz w:val="24"/>
          <w:szCs w:val="24"/>
          <w:shd w:val="clear" w:color="auto" w:fill="FEFEFE"/>
        </w:rPr>
      </w:pPr>
      <w:r w:rsidRPr="00A1320E">
        <w:rPr>
          <w:rFonts w:ascii="Times New Roman" w:hAnsi="Times New Roman"/>
          <w:sz w:val="24"/>
          <w:szCs w:val="24"/>
          <w:shd w:val="clear" w:color="auto" w:fill="FEFEFE"/>
        </w:rPr>
        <w:t>Индивидуализиране на задачите и отговорностите и засилване на личната мотивация чрез система от стимули.</w:t>
      </w:r>
    </w:p>
    <w:p w:rsidR="00A944AB" w:rsidRPr="00A1320E" w:rsidRDefault="00A944AB" w:rsidP="00A944AB">
      <w:pPr>
        <w:spacing w:after="120" w:line="240" w:lineRule="auto"/>
        <w:jc w:val="both"/>
        <w:rPr>
          <w:rFonts w:ascii="Times New Roman" w:hAnsi="Times New Roman"/>
          <w:sz w:val="24"/>
          <w:szCs w:val="24"/>
          <w:shd w:val="clear" w:color="auto" w:fill="FEFEFE"/>
        </w:rPr>
      </w:pPr>
      <w:r w:rsidRPr="00A1320E">
        <w:rPr>
          <w:rFonts w:ascii="Times New Roman" w:hAnsi="Times New Roman"/>
          <w:sz w:val="24"/>
          <w:szCs w:val="24"/>
          <w:shd w:val="clear" w:color="auto" w:fill="FEFEFE"/>
        </w:rPr>
        <w:t xml:space="preserve">Изместване на центъра – от предлагането към търсенето, т.е. ясно отчитане на потребностите на потребителите, местната общност. </w:t>
      </w:r>
    </w:p>
    <w:p w:rsidR="00A944AB" w:rsidRPr="00A1320E" w:rsidRDefault="00A944AB" w:rsidP="00A944AB">
      <w:pPr>
        <w:spacing w:after="120" w:line="240" w:lineRule="auto"/>
        <w:jc w:val="both"/>
        <w:rPr>
          <w:rFonts w:ascii="Times New Roman" w:hAnsi="Times New Roman"/>
          <w:sz w:val="24"/>
          <w:szCs w:val="24"/>
          <w:shd w:val="clear" w:color="auto" w:fill="FEFEFE"/>
        </w:rPr>
      </w:pPr>
      <w:r w:rsidRPr="00A1320E">
        <w:rPr>
          <w:rFonts w:ascii="Times New Roman" w:hAnsi="Times New Roman"/>
          <w:sz w:val="24"/>
          <w:szCs w:val="24"/>
          <w:shd w:val="clear" w:color="auto" w:fill="FEFEFE"/>
        </w:rPr>
        <w:t>Заместване на традиционните отношения на бюджетна зависимост с договорна система, която точно определя: права и задължения на страните, цени, изисквания за качество и обем.</w:t>
      </w:r>
    </w:p>
    <w:p w:rsidR="00A944AB" w:rsidRDefault="00A944AB" w:rsidP="00A944AB">
      <w:pPr>
        <w:spacing w:after="120" w:line="240" w:lineRule="auto"/>
        <w:jc w:val="both"/>
        <w:rPr>
          <w:rFonts w:ascii="Times New Roman" w:hAnsi="Times New Roman"/>
          <w:color w:val="FF0000"/>
          <w:sz w:val="24"/>
          <w:szCs w:val="24"/>
          <w:shd w:val="clear" w:color="auto" w:fill="FEFEFE"/>
        </w:rPr>
      </w:pPr>
    </w:p>
    <w:p w:rsidR="00A944AB" w:rsidRDefault="00A944AB" w:rsidP="00A944AB">
      <w:pPr>
        <w:spacing w:after="120" w:line="240" w:lineRule="auto"/>
        <w:jc w:val="both"/>
        <w:rPr>
          <w:rFonts w:ascii="Times New Roman" w:hAnsi="Times New Roman"/>
          <w:color w:val="FF0000"/>
          <w:sz w:val="24"/>
          <w:szCs w:val="24"/>
          <w:shd w:val="clear" w:color="auto" w:fill="FEFEFE"/>
        </w:rPr>
      </w:pPr>
    </w:p>
    <w:p w:rsidR="00A944AB" w:rsidRPr="00B87F87" w:rsidRDefault="00A944AB" w:rsidP="00A944AB">
      <w:pPr>
        <w:spacing w:after="120" w:line="240" w:lineRule="auto"/>
        <w:jc w:val="both"/>
        <w:rPr>
          <w:rFonts w:ascii="Times New Roman" w:hAnsi="Times New Roman"/>
          <w:color w:val="FF0000"/>
          <w:sz w:val="24"/>
          <w:szCs w:val="24"/>
          <w:shd w:val="clear" w:color="auto" w:fill="FEFEFE"/>
        </w:rPr>
      </w:pPr>
    </w:p>
    <w:p w:rsidR="00A944AB" w:rsidRPr="00B82D26" w:rsidRDefault="00A944AB" w:rsidP="00A944AB">
      <w:pPr>
        <w:spacing w:after="120" w:line="240" w:lineRule="auto"/>
        <w:jc w:val="both"/>
        <w:rPr>
          <w:rFonts w:ascii="Times New Roman" w:hAnsi="Times New Roman"/>
          <w:sz w:val="24"/>
          <w:szCs w:val="24"/>
        </w:rPr>
      </w:pPr>
      <w:r w:rsidRPr="00B82D26">
        <w:rPr>
          <w:rFonts w:ascii="Times New Roman" w:hAnsi="Times New Roman"/>
          <w:sz w:val="24"/>
          <w:szCs w:val="24"/>
        </w:rPr>
        <w:t xml:space="preserve"> „Политическият проблем на човечеството е да съчетае три неща: </w:t>
      </w:r>
      <w:r w:rsidRPr="00B82D26">
        <w:rPr>
          <w:rFonts w:ascii="Times New Roman" w:hAnsi="Times New Roman"/>
          <w:i/>
          <w:sz w:val="24"/>
          <w:szCs w:val="24"/>
        </w:rPr>
        <w:t xml:space="preserve">икономическа ефективност, социална справедливост </w:t>
      </w:r>
      <w:r w:rsidRPr="00B82D26">
        <w:rPr>
          <w:rFonts w:ascii="Times New Roman" w:hAnsi="Times New Roman"/>
          <w:sz w:val="24"/>
          <w:szCs w:val="24"/>
        </w:rPr>
        <w:t>и</w:t>
      </w:r>
      <w:r w:rsidRPr="00B82D26">
        <w:rPr>
          <w:rFonts w:ascii="Times New Roman" w:hAnsi="Times New Roman"/>
          <w:i/>
          <w:sz w:val="24"/>
          <w:szCs w:val="24"/>
        </w:rPr>
        <w:t xml:space="preserve"> индивидуална свобода</w:t>
      </w:r>
      <w:r>
        <w:rPr>
          <w:rFonts w:ascii="Times New Roman" w:hAnsi="Times New Roman"/>
          <w:sz w:val="24"/>
          <w:szCs w:val="24"/>
        </w:rPr>
        <w:t xml:space="preserve">.“, </w:t>
      </w:r>
      <w:proofErr w:type="spellStart"/>
      <w:r>
        <w:rPr>
          <w:rFonts w:ascii="Times New Roman" w:hAnsi="Times New Roman"/>
          <w:sz w:val="24"/>
          <w:szCs w:val="24"/>
        </w:rPr>
        <w:t>Дж</w:t>
      </w:r>
      <w:proofErr w:type="spellEnd"/>
      <w:r>
        <w:rPr>
          <w:rFonts w:ascii="Times New Roman" w:hAnsi="Times New Roman"/>
          <w:sz w:val="24"/>
          <w:szCs w:val="24"/>
        </w:rPr>
        <w:t xml:space="preserve">. М. </w:t>
      </w:r>
      <w:proofErr w:type="spellStart"/>
      <w:r>
        <w:rPr>
          <w:rFonts w:ascii="Times New Roman" w:hAnsi="Times New Roman"/>
          <w:sz w:val="24"/>
          <w:szCs w:val="24"/>
        </w:rPr>
        <w:t>Кейнс</w:t>
      </w:r>
      <w:proofErr w:type="spellEnd"/>
      <w:r>
        <w:rPr>
          <w:rFonts w:ascii="Times New Roman" w:hAnsi="Times New Roman"/>
          <w:sz w:val="24"/>
          <w:szCs w:val="24"/>
        </w:rPr>
        <w:t>“.</w:t>
      </w:r>
    </w:p>
    <w:p w:rsidR="00A944AB" w:rsidRDefault="00A944AB" w:rsidP="00A944AB"/>
    <w:p w:rsidR="001D0DED" w:rsidRPr="00A944AB" w:rsidRDefault="001D0DED" w:rsidP="00A944AB"/>
    <w:sectPr w:rsidR="001D0DED" w:rsidRPr="00A944AB" w:rsidSect="0017275B">
      <w:headerReference w:type="default" r:id="rId7"/>
      <w:footerReference w:type="default" r:id="rId8"/>
      <w:pgSz w:w="11906" w:h="16838"/>
      <w:pgMar w:top="1418" w:right="1016" w:bottom="2127" w:left="1418" w:header="68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073" w:rsidRDefault="00255073">
      <w:pPr>
        <w:spacing w:after="0" w:line="240" w:lineRule="auto"/>
      </w:pPr>
      <w:r>
        <w:separator/>
      </w:r>
    </w:p>
  </w:endnote>
  <w:endnote w:type="continuationSeparator" w:id="0">
    <w:p w:rsidR="00255073" w:rsidRDefault="00255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CC"/>
    <w:family w:val="swiss"/>
    <w:pitch w:val="variable"/>
    <w:sig w:usb0="A00002EF" w:usb1="4000A44B"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72" w:rsidRPr="00445034" w:rsidRDefault="00822351" w:rsidP="0017275B">
    <w:pPr>
      <w:tabs>
        <w:tab w:val="left" w:pos="9090"/>
      </w:tabs>
      <w:spacing w:after="0" w:line="240" w:lineRule="auto"/>
      <w:ind w:right="22"/>
      <w:jc w:val="center"/>
      <w:rPr>
        <w:iCs/>
        <w:sz w:val="18"/>
        <w:szCs w:val="18"/>
      </w:rPr>
    </w:pPr>
    <w:r w:rsidRPr="00445034">
      <w:rPr>
        <w:i/>
        <w:iCs/>
        <w:sz w:val="18"/>
        <w:szCs w:val="18"/>
      </w:rPr>
      <w:t>Този документ е създаден съгласно Административен договор № BG05SFOP001-2.015-0001-C01, проект „Повишаване на знанията, уменията и квалификацията на общинските служители, за предоставяне на безвъзмездна финансова помощ по Оперативна програма „Добро управление“, съфинансирана от Европейския съюз чрез Европейския социален фонд.</w:t>
    </w:r>
  </w:p>
  <w:p w:rsidR="001D2372" w:rsidRPr="0062581A" w:rsidRDefault="00255073" w:rsidP="00CD6F18">
    <w:pPr>
      <w:tabs>
        <w:tab w:val="left" w:pos="9090"/>
      </w:tabs>
      <w:spacing w:after="0" w:line="240" w:lineRule="auto"/>
      <w:ind w:right="-144"/>
      <w:jc w:val="center"/>
      <w:rPr>
        <w:iCs/>
        <w:sz w:val="18"/>
        <w:szCs w:val="18"/>
      </w:rPr>
    </w:pPr>
    <w:hyperlink r:id="rId1" w:history="1">
      <w:r w:rsidR="00822351" w:rsidRPr="0062581A">
        <w:rPr>
          <w:rStyle w:val="Hyperlink"/>
          <w:i/>
          <w:iCs/>
          <w:sz w:val="18"/>
          <w:szCs w:val="18"/>
          <w:lang w:val="en-US"/>
        </w:rPr>
        <w:t>www.eufunds.bg</w:t>
      </w:r>
    </w:hyperlink>
  </w:p>
  <w:p w:rsidR="001D2372" w:rsidRDefault="00822351" w:rsidP="0046622D">
    <w:pPr>
      <w:pStyle w:val="Footer"/>
      <w:jc w:val="center"/>
    </w:pPr>
    <w:r>
      <w:fldChar w:fldCharType="begin"/>
    </w:r>
    <w:r>
      <w:instrText xml:space="preserve"> PAGE   \* MERGEFORMAT </w:instrText>
    </w:r>
    <w:r>
      <w:fldChar w:fldCharType="separate"/>
    </w:r>
    <w:r w:rsidR="00B937E1">
      <w:rPr>
        <w:noProof/>
      </w:rPr>
      <w:t>9</w:t>
    </w:r>
    <w:r>
      <w:rPr>
        <w:noProof/>
      </w:rPr>
      <w:fldChar w:fldCharType="end"/>
    </w:r>
  </w:p>
  <w:p w:rsidR="001D2372" w:rsidRDefault="002550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073" w:rsidRDefault="00255073">
      <w:pPr>
        <w:spacing w:after="0" w:line="240" w:lineRule="auto"/>
      </w:pPr>
      <w:r>
        <w:separator/>
      </w:r>
    </w:p>
  </w:footnote>
  <w:footnote w:type="continuationSeparator" w:id="0">
    <w:p w:rsidR="00255073" w:rsidRDefault="002550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72" w:rsidRPr="009B2E5E" w:rsidRDefault="00822351" w:rsidP="009B2E5E">
    <w:pPr>
      <w:pStyle w:val="Header"/>
      <w:ind w:left="-142"/>
      <w:rPr>
        <w:lang w:val="bg-BG"/>
      </w:rPr>
    </w:pPr>
    <w:r>
      <w:rPr>
        <w:noProof/>
        <w:lang w:val="bg-BG" w:eastAsia="bg-BG"/>
      </w:rPr>
      <w:drawing>
        <wp:inline distT="0" distB="0" distL="0" distR="0" wp14:anchorId="1E249738" wp14:editId="7CCA0433">
          <wp:extent cx="1523067" cy="695852"/>
          <wp:effectExtent l="0" t="0" r="0" b="0"/>
          <wp:docPr id="3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930" cy="698074"/>
                  </a:xfrm>
                  <a:prstGeom prst="rect">
                    <a:avLst/>
                  </a:prstGeom>
                  <a:noFill/>
                </pic:spPr>
              </pic:pic>
            </a:graphicData>
          </a:graphic>
        </wp:inline>
      </w:drawing>
    </w:r>
    <w:r>
      <w:rPr>
        <w:lang w:val="bg-BG"/>
      </w:rPr>
      <w:t xml:space="preserve">                               </w:t>
    </w:r>
    <w:r>
      <w:rPr>
        <w:noProof/>
        <w:lang w:val="bg-BG" w:eastAsia="bg-BG"/>
      </w:rPr>
      <w:drawing>
        <wp:inline distT="0" distB="0" distL="0" distR="0" wp14:anchorId="6D1015F4" wp14:editId="1D27348B">
          <wp:extent cx="994350" cy="654918"/>
          <wp:effectExtent l="0" t="0" r="0" b="0"/>
          <wp:docPr id="3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9319" cy="658191"/>
                  </a:xfrm>
                  <a:prstGeom prst="rect">
                    <a:avLst/>
                  </a:prstGeom>
                  <a:noFill/>
                </pic:spPr>
              </pic:pic>
            </a:graphicData>
          </a:graphic>
        </wp:inline>
      </w:drawing>
    </w:r>
    <w:r>
      <w:rPr>
        <w:lang w:val="bg-BG"/>
      </w:rPr>
      <w:t xml:space="preserve">                                      </w:t>
    </w:r>
    <w:r>
      <w:rPr>
        <w:noProof/>
        <w:lang w:val="bg-BG" w:eastAsia="bg-BG"/>
      </w:rPr>
      <w:drawing>
        <wp:inline distT="0" distB="0" distL="0" distR="0" wp14:anchorId="04177890" wp14:editId="1378EB68">
          <wp:extent cx="1260000" cy="612000"/>
          <wp:effectExtent l="0" t="0" r="0" b="0"/>
          <wp:docPr id="3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0000" cy="6120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C1209"/>
    <w:multiLevelType w:val="hybridMultilevel"/>
    <w:tmpl w:val="1D4A083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1647531E"/>
    <w:multiLevelType w:val="hybridMultilevel"/>
    <w:tmpl w:val="C82AA876"/>
    <w:lvl w:ilvl="0" w:tplc="E78ECBB8">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4C55301"/>
    <w:multiLevelType w:val="hybridMultilevel"/>
    <w:tmpl w:val="8A6833D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2FBB59A2"/>
    <w:multiLevelType w:val="hybridMultilevel"/>
    <w:tmpl w:val="C21C47CE"/>
    <w:lvl w:ilvl="0" w:tplc="E78ECBB8">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3E9A574E"/>
    <w:multiLevelType w:val="hybridMultilevel"/>
    <w:tmpl w:val="1990FF8E"/>
    <w:lvl w:ilvl="0" w:tplc="E78ECBB8">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44041C22"/>
    <w:multiLevelType w:val="hybridMultilevel"/>
    <w:tmpl w:val="0C06C69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4AB36B70"/>
    <w:multiLevelType w:val="hybridMultilevel"/>
    <w:tmpl w:val="0EF4E82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57C13FDB"/>
    <w:multiLevelType w:val="hybridMultilevel"/>
    <w:tmpl w:val="EF86887C"/>
    <w:lvl w:ilvl="0" w:tplc="695A4148">
      <w:start w:val="1"/>
      <w:numFmt w:val="bullet"/>
      <w:lvlText w:val="•"/>
      <w:lvlJc w:val="left"/>
      <w:pPr>
        <w:tabs>
          <w:tab w:val="num" w:pos="720"/>
        </w:tabs>
        <w:ind w:left="720" w:hanging="360"/>
      </w:pPr>
      <w:rPr>
        <w:rFonts w:ascii="Corbel" w:hAnsi="Corbel" w:hint="default"/>
      </w:rPr>
    </w:lvl>
    <w:lvl w:ilvl="1" w:tplc="D96ED36C" w:tentative="1">
      <w:start w:val="1"/>
      <w:numFmt w:val="bullet"/>
      <w:lvlText w:val="•"/>
      <w:lvlJc w:val="left"/>
      <w:pPr>
        <w:tabs>
          <w:tab w:val="num" w:pos="1440"/>
        </w:tabs>
        <w:ind w:left="1440" w:hanging="360"/>
      </w:pPr>
      <w:rPr>
        <w:rFonts w:ascii="Corbel" w:hAnsi="Corbel" w:hint="default"/>
      </w:rPr>
    </w:lvl>
    <w:lvl w:ilvl="2" w:tplc="81A4F126" w:tentative="1">
      <w:start w:val="1"/>
      <w:numFmt w:val="bullet"/>
      <w:lvlText w:val="•"/>
      <w:lvlJc w:val="left"/>
      <w:pPr>
        <w:tabs>
          <w:tab w:val="num" w:pos="2160"/>
        </w:tabs>
        <w:ind w:left="2160" w:hanging="360"/>
      </w:pPr>
      <w:rPr>
        <w:rFonts w:ascii="Corbel" w:hAnsi="Corbel" w:hint="default"/>
      </w:rPr>
    </w:lvl>
    <w:lvl w:ilvl="3" w:tplc="CAAA67E0" w:tentative="1">
      <w:start w:val="1"/>
      <w:numFmt w:val="bullet"/>
      <w:lvlText w:val="•"/>
      <w:lvlJc w:val="left"/>
      <w:pPr>
        <w:tabs>
          <w:tab w:val="num" w:pos="2880"/>
        </w:tabs>
        <w:ind w:left="2880" w:hanging="360"/>
      </w:pPr>
      <w:rPr>
        <w:rFonts w:ascii="Corbel" w:hAnsi="Corbel" w:hint="default"/>
      </w:rPr>
    </w:lvl>
    <w:lvl w:ilvl="4" w:tplc="8CD06D66" w:tentative="1">
      <w:start w:val="1"/>
      <w:numFmt w:val="bullet"/>
      <w:lvlText w:val="•"/>
      <w:lvlJc w:val="left"/>
      <w:pPr>
        <w:tabs>
          <w:tab w:val="num" w:pos="3600"/>
        </w:tabs>
        <w:ind w:left="3600" w:hanging="360"/>
      </w:pPr>
      <w:rPr>
        <w:rFonts w:ascii="Corbel" w:hAnsi="Corbel" w:hint="default"/>
      </w:rPr>
    </w:lvl>
    <w:lvl w:ilvl="5" w:tplc="502C0614" w:tentative="1">
      <w:start w:val="1"/>
      <w:numFmt w:val="bullet"/>
      <w:lvlText w:val="•"/>
      <w:lvlJc w:val="left"/>
      <w:pPr>
        <w:tabs>
          <w:tab w:val="num" w:pos="4320"/>
        </w:tabs>
        <w:ind w:left="4320" w:hanging="360"/>
      </w:pPr>
      <w:rPr>
        <w:rFonts w:ascii="Corbel" w:hAnsi="Corbel" w:hint="default"/>
      </w:rPr>
    </w:lvl>
    <w:lvl w:ilvl="6" w:tplc="AC607C92" w:tentative="1">
      <w:start w:val="1"/>
      <w:numFmt w:val="bullet"/>
      <w:lvlText w:val="•"/>
      <w:lvlJc w:val="left"/>
      <w:pPr>
        <w:tabs>
          <w:tab w:val="num" w:pos="5040"/>
        </w:tabs>
        <w:ind w:left="5040" w:hanging="360"/>
      </w:pPr>
      <w:rPr>
        <w:rFonts w:ascii="Corbel" w:hAnsi="Corbel" w:hint="default"/>
      </w:rPr>
    </w:lvl>
    <w:lvl w:ilvl="7" w:tplc="8196F778" w:tentative="1">
      <w:start w:val="1"/>
      <w:numFmt w:val="bullet"/>
      <w:lvlText w:val="•"/>
      <w:lvlJc w:val="left"/>
      <w:pPr>
        <w:tabs>
          <w:tab w:val="num" w:pos="5760"/>
        </w:tabs>
        <w:ind w:left="5760" w:hanging="360"/>
      </w:pPr>
      <w:rPr>
        <w:rFonts w:ascii="Corbel" w:hAnsi="Corbel" w:hint="default"/>
      </w:rPr>
    </w:lvl>
    <w:lvl w:ilvl="8" w:tplc="59EADCBA" w:tentative="1">
      <w:start w:val="1"/>
      <w:numFmt w:val="bullet"/>
      <w:lvlText w:val="•"/>
      <w:lvlJc w:val="left"/>
      <w:pPr>
        <w:tabs>
          <w:tab w:val="num" w:pos="6480"/>
        </w:tabs>
        <w:ind w:left="6480" w:hanging="360"/>
      </w:pPr>
      <w:rPr>
        <w:rFonts w:ascii="Corbel" w:hAnsi="Corbel" w:hint="default"/>
      </w:rPr>
    </w:lvl>
  </w:abstractNum>
  <w:abstractNum w:abstractNumId="8" w15:restartNumberingAfterBreak="0">
    <w:nsid w:val="58364C34"/>
    <w:multiLevelType w:val="hybridMultilevel"/>
    <w:tmpl w:val="B3EA855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67271F98"/>
    <w:multiLevelType w:val="hybridMultilevel"/>
    <w:tmpl w:val="60809040"/>
    <w:lvl w:ilvl="0" w:tplc="E78ECBB8">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78897A41"/>
    <w:multiLevelType w:val="hybridMultilevel"/>
    <w:tmpl w:val="B15CBE06"/>
    <w:lvl w:ilvl="0" w:tplc="E78ECBB8">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0"/>
  </w:num>
  <w:num w:numId="4">
    <w:abstractNumId w:val="1"/>
  </w:num>
  <w:num w:numId="5">
    <w:abstractNumId w:val="8"/>
  </w:num>
  <w:num w:numId="6">
    <w:abstractNumId w:val="9"/>
  </w:num>
  <w:num w:numId="7">
    <w:abstractNumId w:val="7"/>
  </w:num>
  <w:num w:numId="8">
    <w:abstractNumId w:val="4"/>
  </w:num>
  <w:num w:numId="9">
    <w:abstractNumId w:val="0"/>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2B9"/>
    <w:rsid w:val="001D0DED"/>
    <w:rsid w:val="00207B61"/>
    <w:rsid w:val="00255073"/>
    <w:rsid w:val="00376F6D"/>
    <w:rsid w:val="00822351"/>
    <w:rsid w:val="009612B9"/>
    <w:rsid w:val="00A944AB"/>
    <w:rsid w:val="00B937E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52E57E-7317-472C-A62F-C436DBEB8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2B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612B9"/>
    <w:rPr>
      <w:color w:val="0000FF"/>
      <w:u w:val="single"/>
    </w:rPr>
  </w:style>
  <w:style w:type="paragraph" w:styleId="ListParagraph">
    <w:name w:val="List Paragraph"/>
    <w:basedOn w:val="Normal"/>
    <w:uiPriority w:val="34"/>
    <w:qFormat/>
    <w:rsid w:val="009612B9"/>
    <w:pPr>
      <w:ind w:left="720"/>
      <w:contextualSpacing/>
    </w:pPr>
  </w:style>
  <w:style w:type="paragraph" w:styleId="Header">
    <w:name w:val="header"/>
    <w:basedOn w:val="Normal"/>
    <w:link w:val="HeaderChar"/>
    <w:uiPriority w:val="99"/>
    <w:unhideWhenUsed/>
    <w:rsid w:val="009612B9"/>
    <w:pPr>
      <w:tabs>
        <w:tab w:val="center" w:pos="4536"/>
        <w:tab w:val="right" w:pos="9072"/>
      </w:tabs>
    </w:pPr>
    <w:rPr>
      <w:lang w:val="x-none"/>
    </w:rPr>
  </w:style>
  <w:style w:type="character" w:customStyle="1" w:styleId="HeaderChar">
    <w:name w:val="Header Char"/>
    <w:basedOn w:val="DefaultParagraphFont"/>
    <w:link w:val="Header"/>
    <w:uiPriority w:val="99"/>
    <w:rsid w:val="009612B9"/>
    <w:rPr>
      <w:rFonts w:ascii="Calibri" w:eastAsia="Calibri" w:hAnsi="Calibri" w:cs="Times New Roman"/>
      <w:lang w:val="x-none"/>
    </w:rPr>
  </w:style>
  <w:style w:type="paragraph" w:styleId="Footer">
    <w:name w:val="footer"/>
    <w:basedOn w:val="Normal"/>
    <w:link w:val="FooterChar"/>
    <w:uiPriority w:val="99"/>
    <w:unhideWhenUsed/>
    <w:rsid w:val="009612B9"/>
    <w:pPr>
      <w:tabs>
        <w:tab w:val="center" w:pos="4536"/>
        <w:tab w:val="right" w:pos="9072"/>
      </w:tabs>
    </w:pPr>
    <w:rPr>
      <w:lang w:val="x-none"/>
    </w:rPr>
  </w:style>
  <w:style w:type="character" w:customStyle="1" w:styleId="FooterChar">
    <w:name w:val="Footer Char"/>
    <w:basedOn w:val="DefaultParagraphFont"/>
    <w:link w:val="Footer"/>
    <w:uiPriority w:val="99"/>
    <w:rsid w:val="009612B9"/>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3477</Words>
  <Characters>19820</Characters>
  <Application>Microsoft Office Word</Application>
  <DocSecurity>0</DocSecurity>
  <Lines>165</Lines>
  <Paragraphs>46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N-Karatova</dc:creator>
  <cp:keywords/>
  <dc:description/>
  <cp:lastModifiedBy>Windows User</cp:lastModifiedBy>
  <cp:revision>4</cp:revision>
  <dcterms:created xsi:type="dcterms:W3CDTF">2021-08-05T12:06:00Z</dcterms:created>
  <dcterms:modified xsi:type="dcterms:W3CDTF">2021-08-08T10:26:00Z</dcterms:modified>
</cp:coreProperties>
</file>