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5F" w:rsidRDefault="002A625F" w:rsidP="006A126F">
      <w:pPr>
        <w:spacing w:after="120" w:line="240" w:lineRule="auto"/>
        <w:jc w:val="center"/>
        <w:rPr>
          <w:rFonts w:ascii="Times New Roman" w:hAnsi="Times New Roman"/>
          <w:b/>
          <w:sz w:val="28"/>
          <w:szCs w:val="24"/>
        </w:rPr>
      </w:pPr>
    </w:p>
    <w:p w:rsidR="000F19D8" w:rsidRDefault="002A625F" w:rsidP="002A625F">
      <w:pPr>
        <w:spacing w:before="120" w:after="0" w:line="240" w:lineRule="auto"/>
        <w:jc w:val="center"/>
        <w:rPr>
          <w:rFonts w:ascii="Times New Roman" w:hAnsi="Times New Roman"/>
          <w:b/>
          <w:caps/>
          <w:color w:val="385623" w:themeColor="accent6" w:themeShade="80"/>
          <w:sz w:val="44"/>
          <w:szCs w:val="44"/>
        </w:rPr>
      </w:pPr>
      <w:r w:rsidRPr="002A625F">
        <w:rPr>
          <w:rFonts w:ascii="Times New Roman" w:hAnsi="Times New Roman"/>
          <w:b/>
          <w:caps/>
          <w:color w:val="385623" w:themeColor="accent6" w:themeShade="80"/>
          <w:sz w:val="44"/>
          <w:szCs w:val="44"/>
        </w:rPr>
        <w:t>ДИСТАНЦИОНН</w:t>
      </w:r>
      <w:r w:rsidRPr="002A625F">
        <w:rPr>
          <w:rFonts w:ascii="Times New Roman" w:hAnsi="Times New Roman"/>
          <w:b/>
          <w:caps/>
          <w:color w:val="385623" w:themeColor="accent6" w:themeShade="80"/>
          <w:sz w:val="44"/>
          <w:szCs w:val="44"/>
        </w:rPr>
        <w:t>И ОБУЧЕНИЯ  ОБУЧИТЕЛЕН МОДУЛ 1</w:t>
      </w:r>
    </w:p>
    <w:p w:rsidR="002A625F" w:rsidRPr="002A625F" w:rsidRDefault="000F19D8" w:rsidP="002A625F">
      <w:pPr>
        <w:spacing w:before="120" w:after="0" w:line="240" w:lineRule="auto"/>
        <w:jc w:val="center"/>
        <w:rPr>
          <w:rFonts w:ascii="Times New Roman" w:hAnsi="Times New Roman"/>
          <w:b/>
          <w:caps/>
          <w:color w:val="385623" w:themeColor="accent6" w:themeShade="80"/>
          <w:sz w:val="44"/>
          <w:szCs w:val="44"/>
        </w:rPr>
      </w:pPr>
      <w:r w:rsidRPr="00551BE5">
        <w:rPr>
          <w:rFonts w:ascii="Times New Roman" w:hAnsi="Times New Roman"/>
          <w:b/>
          <w:caps/>
          <w:color w:val="385623" w:themeColor="accent6" w:themeShade="80"/>
          <w:sz w:val="40"/>
          <w:szCs w:val="44"/>
        </w:rPr>
        <w:t>«УПРАВЛЕНИЕ НА ОБЩИНСКИТЕ ФИНАНСИ»</w:t>
      </w:r>
      <w:r w:rsidR="002A625F" w:rsidRPr="002A625F">
        <w:rPr>
          <w:rFonts w:ascii="Times New Roman" w:hAnsi="Times New Roman"/>
          <w:b/>
          <w:caps/>
          <w:color w:val="385623" w:themeColor="accent6" w:themeShade="80"/>
          <w:sz w:val="44"/>
          <w:szCs w:val="44"/>
        </w:rPr>
        <w:pict>
          <v:rect id="_x0000_i1025" style="width:453.6pt;height:1.5pt" o:hralign="center" o:hrstd="t" o:hrnoshade="t" o:hr="t" fillcolor="#823b0b [1605]" stroked="f"/>
        </w:pict>
      </w:r>
    </w:p>
    <w:p w:rsidR="002A625F" w:rsidRPr="002A625F" w:rsidRDefault="002A625F" w:rsidP="002A625F">
      <w:pPr>
        <w:spacing w:before="120" w:after="0" w:line="240" w:lineRule="auto"/>
        <w:jc w:val="center"/>
        <w:rPr>
          <w:rFonts w:ascii="Times New Roman" w:hAnsi="Times New Roman"/>
          <w:b/>
          <w:caps/>
          <w:color w:val="385623" w:themeColor="accent6" w:themeShade="80"/>
          <w:sz w:val="44"/>
          <w:szCs w:val="44"/>
        </w:rPr>
      </w:pPr>
    </w:p>
    <w:p w:rsidR="000F19D8" w:rsidRDefault="000F19D8" w:rsidP="002A625F">
      <w:pPr>
        <w:spacing w:before="120" w:after="0" w:line="240" w:lineRule="auto"/>
        <w:jc w:val="center"/>
        <w:rPr>
          <w:rFonts w:ascii="Times New Roman" w:hAnsi="Times New Roman"/>
          <w:b/>
          <w:caps/>
          <w:color w:val="385623" w:themeColor="accent6" w:themeShade="80"/>
          <w:sz w:val="44"/>
          <w:szCs w:val="44"/>
        </w:rPr>
      </w:pPr>
    </w:p>
    <w:p w:rsidR="000F19D8" w:rsidRDefault="000F19D8" w:rsidP="002A625F">
      <w:pPr>
        <w:spacing w:before="120" w:after="0" w:line="240" w:lineRule="auto"/>
        <w:jc w:val="center"/>
        <w:rPr>
          <w:rFonts w:ascii="Times New Roman" w:hAnsi="Times New Roman"/>
          <w:b/>
          <w:caps/>
          <w:color w:val="385623" w:themeColor="accent6" w:themeShade="80"/>
          <w:sz w:val="44"/>
          <w:szCs w:val="44"/>
        </w:rPr>
      </w:pPr>
    </w:p>
    <w:p w:rsidR="002A625F" w:rsidRPr="002A625F" w:rsidRDefault="002A625F" w:rsidP="002A625F">
      <w:pPr>
        <w:spacing w:before="120" w:after="0" w:line="240" w:lineRule="auto"/>
        <w:jc w:val="center"/>
        <w:rPr>
          <w:rFonts w:ascii="Times New Roman" w:hAnsi="Times New Roman"/>
          <w:b/>
          <w:caps/>
          <w:color w:val="385623" w:themeColor="accent6" w:themeShade="80"/>
          <w:sz w:val="44"/>
          <w:szCs w:val="44"/>
        </w:rPr>
      </w:pPr>
    </w:p>
    <w:p w:rsidR="002A625F" w:rsidRDefault="002A625F" w:rsidP="002A625F">
      <w:pPr>
        <w:spacing w:before="120" w:after="0" w:line="240" w:lineRule="auto"/>
        <w:jc w:val="center"/>
        <w:rPr>
          <w:rFonts w:ascii="Times New Roman" w:hAnsi="Times New Roman"/>
          <w:b/>
          <w:caps/>
          <w:color w:val="385623" w:themeColor="accent6" w:themeShade="80"/>
          <w:sz w:val="44"/>
          <w:szCs w:val="44"/>
        </w:rPr>
      </w:pPr>
    </w:p>
    <w:p w:rsidR="002A625F" w:rsidRPr="002A625F" w:rsidRDefault="002A625F" w:rsidP="002A625F">
      <w:pPr>
        <w:spacing w:before="120" w:after="0" w:line="240" w:lineRule="auto"/>
        <w:jc w:val="center"/>
        <w:rPr>
          <w:rFonts w:ascii="Times New Roman" w:hAnsi="Times New Roman"/>
          <w:b/>
          <w:caps/>
          <w:color w:val="385623" w:themeColor="accent6" w:themeShade="80"/>
          <w:sz w:val="44"/>
          <w:szCs w:val="44"/>
        </w:rPr>
      </w:pPr>
      <w:bookmarkStart w:id="0" w:name="_GoBack"/>
      <w:bookmarkEnd w:id="0"/>
      <w:r w:rsidRPr="002A625F">
        <w:rPr>
          <w:rFonts w:ascii="Times New Roman" w:hAnsi="Times New Roman"/>
          <w:b/>
          <w:caps/>
          <w:color w:val="385623" w:themeColor="accent6" w:themeShade="80"/>
          <w:sz w:val="44"/>
          <w:szCs w:val="44"/>
        </w:rPr>
        <w:t>ТЕМА 4</w:t>
      </w:r>
      <w:r w:rsidRPr="002A625F">
        <w:rPr>
          <w:rFonts w:ascii="Times New Roman" w:hAnsi="Times New Roman"/>
          <w:b/>
          <w:caps/>
          <w:color w:val="385623" w:themeColor="accent6" w:themeShade="80"/>
          <w:sz w:val="44"/>
          <w:szCs w:val="44"/>
        </w:rPr>
        <w:t xml:space="preserve">. </w:t>
      </w:r>
      <w:r w:rsidRPr="002A625F">
        <w:rPr>
          <w:rFonts w:ascii="Times New Roman" w:hAnsi="Times New Roman"/>
          <w:b/>
          <w:color w:val="385623" w:themeColor="accent6" w:themeShade="80"/>
          <w:sz w:val="44"/>
          <w:szCs w:val="44"/>
        </w:rPr>
        <w:t>ПОЛИТИКИ ПО УПРАВЛЕНИЕ НА ПРИХОДИТЕ. СЛАБОСТИ И ДОБРИ ПРАКТИКИ. ПРИВЛЕЧЕНИ СРЕДСТВА</w:t>
      </w:r>
      <w:r w:rsidRPr="002A625F">
        <w:rPr>
          <w:rFonts w:ascii="Times New Roman" w:hAnsi="Times New Roman"/>
          <w:b/>
          <w:caps/>
          <w:color w:val="385623" w:themeColor="accent6" w:themeShade="80"/>
          <w:sz w:val="44"/>
          <w:szCs w:val="44"/>
        </w:rPr>
        <w:t xml:space="preserve"> </w:t>
      </w:r>
    </w:p>
    <w:p w:rsidR="00551BE5" w:rsidRPr="00551BE5" w:rsidRDefault="00551BE5" w:rsidP="00551BE5">
      <w:pPr>
        <w:spacing w:before="120" w:after="0" w:line="240" w:lineRule="auto"/>
        <w:jc w:val="center"/>
        <w:rPr>
          <w:rFonts w:ascii="Times New Roman" w:hAnsi="Times New Roman"/>
          <w:b/>
          <w:caps/>
          <w:color w:val="385623" w:themeColor="accent6" w:themeShade="80"/>
          <w:sz w:val="32"/>
          <w:szCs w:val="44"/>
        </w:rPr>
      </w:pPr>
      <w:r>
        <w:rPr>
          <w:rFonts w:ascii="Times New Roman" w:hAnsi="Times New Roman"/>
          <w:b/>
          <w:caps/>
          <w:color w:val="385623" w:themeColor="accent6" w:themeShade="80"/>
          <w:sz w:val="32"/>
          <w:szCs w:val="44"/>
        </w:rPr>
        <w:t>(МАТЕРИАЛИ ЗА САМОПОДГОТОВКА)</w:t>
      </w:r>
    </w:p>
    <w:p w:rsidR="002A625F" w:rsidRPr="00CD4F2E" w:rsidRDefault="002A625F" w:rsidP="002A625F">
      <w:pPr>
        <w:spacing w:before="120" w:after="0" w:line="240" w:lineRule="auto"/>
        <w:jc w:val="center"/>
        <w:rPr>
          <w:rFonts w:ascii="Arial" w:hAnsi="Arial" w:cs="Arial"/>
          <w:b/>
          <w:caps/>
          <w:color w:val="385623"/>
          <w:sz w:val="44"/>
          <w:szCs w:val="44"/>
        </w:rPr>
      </w:pPr>
    </w:p>
    <w:p w:rsidR="002A625F" w:rsidRDefault="002A625F" w:rsidP="006A126F">
      <w:pPr>
        <w:spacing w:after="120" w:line="240" w:lineRule="auto"/>
        <w:jc w:val="center"/>
        <w:rPr>
          <w:rFonts w:ascii="Times New Roman" w:hAnsi="Times New Roman"/>
          <w:b/>
          <w:sz w:val="28"/>
          <w:szCs w:val="24"/>
        </w:rPr>
      </w:pPr>
    </w:p>
    <w:p w:rsidR="002A625F" w:rsidRDefault="002A625F">
      <w:pPr>
        <w:spacing w:after="160" w:line="259" w:lineRule="auto"/>
        <w:rPr>
          <w:rFonts w:ascii="Times New Roman" w:hAnsi="Times New Roman"/>
          <w:b/>
          <w:sz w:val="24"/>
          <w:szCs w:val="24"/>
        </w:rPr>
      </w:pPr>
      <w:r>
        <w:rPr>
          <w:rFonts w:ascii="Times New Roman" w:hAnsi="Times New Roman"/>
          <w:b/>
          <w:sz w:val="24"/>
          <w:szCs w:val="24"/>
        </w:rPr>
        <w:br w:type="page"/>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b/>
          <w:sz w:val="24"/>
          <w:szCs w:val="24"/>
        </w:rPr>
        <w:lastRenderedPageBreak/>
        <w:t>Цел</w:t>
      </w:r>
      <w:r>
        <w:rPr>
          <w:rFonts w:ascii="Times New Roman" w:hAnsi="Times New Roman"/>
          <w:b/>
          <w:sz w:val="24"/>
          <w:szCs w:val="24"/>
        </w:rPr>
        <w:t xml:space="preserve">та на темата е обучаемите </w:t>
      </w:r>
      <w:r w:rsidRPr="00B82D26">
        <w:rPr>
          <w:rFonts w:ascii="Times New Roman" w:hAnsi="Times New Roman"/>
          <w:sz w:val="24"/>
          <w:szCs w:val="24"/>
        </w:rPr>
        <w:t>да опреснят и структурират своите практически знания по отношение на приходите в общинските бюджети. Акцентира се, както върху планирането на приходите, така и върху изработването на бази с данни за текущи анализи на събираемостта им, предприетите мерки за повишаване на събираемостта и оценка на резултатите от тях.</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b/>
          <w:sz w:val="24"/>
          <w:szCs w:val="24"/>
        </w:rPr>
        <w:t>С</w:t>
      </w:r>
      <w:r w:rsidRPr="00B82D26">
        <w:rPr>
          <w:rFonts w:ascii="Times New Roman" w:hAnsi="Times New Roman"/>
          <w:b/>
          <w:sz w:val="24"/>
          <w:szCs w:val="24"/>
        </w:rPr>
        <w:t>ъдържание</w:t>
      </w:r>
      <w:r>
        <w:rPr>
          <w:rFonts w:ascii="Times New Roman" w:hAnsi="Times New Roman"/>
          <w:b/>
          <w:sz w:val="24"/>
          <w:szCs w:val="24"/>
        </w:rPr>
        <w:t xml:space="preserve"> на темата</w:t>
      </w:r>
      <w:r w:rsidRPr="00B82D26">
        <w:rPr>
          <w:rFonts w:ascii="Times New Roman" w:hAnsi="Times New Roman"/>
          <w:b/>
          <w:sz w:val="24"/>
          <w:szCs w:val="24"/>
        </w:rPr>
        <w:t>:</w:t>
      </w:r>
      <w:r w:rsidRPr="00B82D26">
        <w:rPr>
          <w:rFonts w:ascii="Times New Roman" w:hAnsi="Times New Roman"/>
          <w:sz w:val="24"/>
          <w:szCs w:val="24"/>
        </w:rPr>
        <w:t xml:space="preserve"> </w:t>
      </w:r>
    </w:p>
    <w:p w:rsidR="005A552B" w:rsidRPr="00BF15AD" w:rsidRDefault="005A552B" w:rsidP="005A552B">
      <w:pPr>
        <w:pStyle w:val="ListParagraph"/>
        <w:numPr>
          <w:ilvl w:val="0"/>
          <w:numId w:val="1"/>
        </w:numPr>
        <w:spacing w:after="120" w:line="240" w:lineRule="auto"/>
        <w:jc w:val="both"/>
        <w:rPr>
          <w:rFonts w:ascii="Times New Roman" w:hAnsi="Times New Roman"/>
          <w:b/>
          <w:sz w:val="24"/>
          <w:szCs w:val="24"/>
        </w:rPr>
      </w:pPr>
      <w:r w:rsidRPr="00BF15AD">
        <w:rPr>
          <w:rFonts w:ascii="Times New Roman" w:hAnsi="Times New Roman"/>
          <w:b/>
          <w:sz w:val="24"/>
          <w:szCs w:val="24"/>
        </w:rPr>
        <w:t>Подтема 4.1. Политики по управление на приходите.</w:t>
      </w:r>
    </w:p>
    <w:p w:rsidR="005A552B" w:rsidRPr="00BF15AD" w:rsidRDefault="005A552B" w:rsidP="005A552B">
      <w:pPr>
        <w:pStyle w:val="ListParagraph"/>
        <w:numPr>
          <w:ilvl w:val="0"/>
          <w:numId w:val="1"/>
        </w:numPr>
        <w:spacing w:after="120" w:line="240" w:lineRule="auto"/>
        <w:jc w:val="both"/>
        <w:rPr>
          <w:rFonts w:ascii="Times New Roman" w:hAnsi="Times New Roman"/>
          <w:b/>
          <w:sz w:val="24"/>
          <w:szCs w:val="24"/>
        </w:rPr>
      </w:pPr>
      <w:r w:rsidRPr="00BF15AD">
        <w:rPr>
          <w:rFonts w:ascii="Times New Roman" w:hAnsi="Times New Roman"/>
          <w:b/>
          <w:sz w:val="24"/>
          <w:szCs w:val="24"/>
        </w:rPr>
        <w:t>Подтема 4.2. Слабости и добри практики.</w:t>
      </w:r>
    </w:p>
    <w:p w:rsidR="005A552B" w:rsidRPr="00BF15AD" w:rsidRDefault="005A552B" w:rsidP="005A552B">
      <w:pPr>
        <w:pStyle w:val="ListParagraph"/>
        <w:numPr>
          <w:ilvl w:val="0"/>
          <w:numId w:val="1"/>
        </w:numPr>
        <w:spacing w:after="120" w:line="240" w:lineRule="auto"/>
        <w:jc w:val="both"/>
        <w:rPr>
          <w:rFonts w:ascii="Times New Roman" w:hAnsi="Times New Roman"/>
          <w:b/>
          <w:sz w:val="24"/>
          <w:szCs w:val="24"/>
        </w:rPr>
      </w:pPr>
      <w:r w:rsidRPr="00BF15AD">
        <w:rPr>
          <w:rFonts w:ascii="Times New Roman" w:hAnsi="Times New Roman"/>
          <w:b/>
          <w:sz w:val="24"/>
          <w:szCs w:val="24"/>
        </w:rPr>
        <w:t>Подтема 4.3. Привлечени средства.</w:t>
      </w:r>
    </w:p>
    <w:p w:rsidR="005A552B" w:rsidRPr="00B82D26" w:rsidRDefault="005A552B" w:rsidP="005A552B">
      <w:pPr>
        <w:spacing w:after="120" w:line="240" w:lineRule="auto"/>
        <w:jc w:val="both"/>
        <w:rPr>
          <w:rFonts w:ascii="Times New Roman" w:hAnsi="Times New Roman"/>
          <w:sz w:val="24"/>
          <w:szCs w:val="24"/>
        </w:rPr>
      </w:pPr>
      <w:r w:rsidRPr="00BF15AD">
        <w:rPr>
          <w:rFonts w:ascii="Times New Roman" w:hAnsi="Times New Roman"/>
          <w:sz w:val="24"/>
          <w:szCs w:val="24"/>
        </w:rPr>
        <w:t>Обучаемите ще придобият компетенции за п</w:t>
      </w:r>
      <w:r w:rsidRPr="00B82D26">
        <w:rPr>
          <w:rFonts w:ascii="Times New Roman" w:hAnsi="Times New Roman"/>
          <w:sz w:val="24"/>
          <w:szCs w:val="24"/>
        </w:rPr>
        <w:t>рактическо осмисляне на ролята на финансистите от общините за използване на възможностите за повишаване на собствените приходи в общинския бюджет.</w:t>
      </w:r>
    </w:p>
    <w:p w:rsidR="005A552B" w:rsidRDefault="005A552B" w:rsidP="005A552B">
      <w:pPr>
        <w:spacing w:after="120" w:line="240" w:lineRule="auto"/>
        <w:jc w:val="both"/>
        <w:rPr>
          <w:rFonts w:ascii="Times New Roman" w:hAnsi="Times New Roman"/>
          <w:sz w:val="24"/>
          <w:szCs w:val="24"/>
        </w:rPr>
      </w:pPr>
      <w:r w:rsidRPr="00B82D26">
        <w:rPr>
          <w:rFonts w:ascii="Times New Roman" w:hAnsi="Times New Roman"/>
          <w:b/>
          <w:sz w:val="24"/>
          <w:szCs w:val="24"/>
        </w:rPr>
        <w:t>Очаквани резултати от обучението:</w:t>
      </w:r>
      <w:r w:rsidRPr="00B82D26">
        <w:rPr>
          <w:rFonts w:ascii="Times New Roman" w:hAnsi="Times New Roman"/>
          <w:sz w:val="24"/>
          <w:szCs w:val="24"/>
        </w:rPr>
        <w:t xml:space="preserve"> Да се повишат знанията и възможностите на всеки от участниците да участват активно в политиката на общината по управление на приходите в общинските бюджети.</w:t>
      </w:r>
    </w:p>
    <w:p w:rsidR="005A552B" w:rsidRPr="00B82D26" w:rsidRDefault="005A552B" w:rsidP="005A552B">
      <w:pPr>
        <w:spacing w:after="120" w:line="240" w:lineRule="auto"/>
        <w:jc w:val="both"/>
        <w:rPr>
          <w:rFonts w:ascii="Times New Roman" w:hAnsi="Times New Roman"/>
          <w:sz w:val="24"/>
          <w:szCs w:val="24"/>
        </w:rPr>
      </w:pPr>
    </w:p>
    <w:p w:rsidR="005A552B" w:rsidRDefault="005A552B" w:rsidP="005A552B">
      <w:pPr>
        <w:spacing w:after="120" w:line="240" w:lineRule="auto"/>
        <w:jc w:val="both"/>
        <w:rPr>
          <w:rFonts w:ascii="Times New Roman" w:hAnsi="Times New Roman"/>
          <w:b/>
          <w:sz w:val="24"/>
          <w:szCs w:val="24"/>
        </w:rPr>
      </w:pPr>
      <w:r w:rsidRPr="0004701A">
        <w:rPr>
          <w:rFonts w:ascii="Times New Roman" w:hAnsi="Times New Roman"/>
          <w:b/>
          <w:sz w:val="24"/>
          <w:szCs w:val="24"/>
        </w:rPr>
        <w:t>Подтема 4.1. Политики по управление на приходите.</w:t>
      </w:r>
    </w:p>
    <w:p w:rsidR="005A552B" w:rsidRPr="003B7977" w:rsidRDefault="005A552B" w:rsidP="005A552B">
      <w:pPr>
        <w:spacing w:after="120" w:line="240" w:lineRule="auto"/>
        <w:jc w:val="both"/>
        <w:rPr>
          <w:rFonts w:ascii="Times New Roman" w:hAnsi="Times New Roman"/>
          <w:sz w:val="24"/>
          <w:szCs w:val="24"/>
        </w:rPr>
      </w:pPr>
      <w:r w:rsidRPr="003B7977">
        <w:rPr>
          <w:rFonts w:ascii="Times New Roman" w:hAnsi="Times New Roman"/>
          <w:sz w:val="24"/>
          <w:szCs w:val="24"/>
        </w:rPr>
        <w:t xml:space="preserve">Нормативните изисквания при формиране на приходната част на общинския бюджет са определени основно в Закона за местните данъци и такси, Закона за общинската собственост, Закона за общинския дълг, в съответните правилници, наредби, указания, правила и др. </w:t>
      </w:r>
    </w:p>
    <w:p w:rsidR="005A552B" w:rsidRPr="003B7977" w:rsidRDefault="005A552B" w:rsidP="005A552B">
      <w:pPr>
        <w:spacing w:after="120" w:line="240" w:lineRule="auto"/>
        <w:jc w:val="both"/>
        <w:rPr>
          <w:rFonts w:ascii="Times New Roman" w:hAnsi="Times New Roman"/>
          <w:sz w:val="24"/>
          <w:szCs w:val="24"/>
        </w:rPr>
      </w:pPr>
      <w:r w:rsidRPr="003B7977">
        <w:rPr>
          <w:rFonts w:ascii="Times New Roman" w:hAnsi="Times New Roman"/>
          <w:sz w:val="24"/>
          <w:szCs w:val="24"/>
        </w:rPr>
        <w:t>При формиране на бюджетните приходи е необходимо да се придържаме към следните основни правила:</w:t>
      </w:r>
    </w:p>
    <w:p w:rsidR="005A552B" w:rsidRPr="00A04F7D" w:rsidRDefault="005A552B" w:rsidP="005A552B">
      <w:pPr>
        <w:pStyle w:val="ListParagraph"/>
        <w:numPr>
          <w:ilvl w:val="0"/>
          <w:numId w:val="6"/>
        </w:numPr>
        <w:tabs>
          <w:tab w:val="left" w:pos="851"/>
        </w:tabs>
        <w:spacing w:after="120" w:line="240" w:lineRule="auto"/>
        <w:ind w:left="0" w:firstLine="567"/>
        <w:jc w:val="both"/>
        <w:rPr>
          <w:rFonts w:ascii="Times New Roman" w:hAnsi="Times New Roman"/>
          <w:sz w:val="24"/>
          <w:szCs w:val="24"/>
        </w:rPr>
      </w:pPr>
      <w:r w:rsidRPr="00A04F7D">
        <w:rPr>
          <w:rFonts w:ascii="Times New Roman" w:hAnsi="Times New Roman"/>
          <w:sz w:val="24"/>
          <w:szCs w:val="24"/>
        </w:rPr>
        <w:t>Стриктното спазване на нормативната уредба е предпоставка за устойчивост на общинските приходи и превенция срещу бъдещи касови разриви по бюджета, породени от отмяна на приходните местни наредби или техни части;</w:t>
      </w:r>
    </w:p>
    <w:p w:rsidR="005A552B" w:rsidRPr="00A04F7D" w:rsidRDefault="005A552B" w:rsidP="005A552B">
      <w:pPr>
        <w:pStyle w:val="ListParagraph"/>
        <w:numPr>
          <w:ilvl w:val="0"/>
          <w:numId w:val="6"/>
        </w:numPr>
        <w:tabs>
          <w:tab w:val="left" w:pos="851"/>
        </w:tabs>
        <w:spacing w:after="120" w:line="240" w:lineRule="auto"/>
        <w:ind w:left="0" w:firstLine="567"/>
        <w:jc w:val="both"/>
        <w:rPr>
          <w:rFonts w:ascii="Times New Roman" w:hAnsi="Times New Roman"/>
          <w:sz w:val="24"/>
          <w:szCs w:val="24"/>
        </w:rPr>
      </w:pPr>
      <w:r w:rsidRPr="00A04F7D">
        <w:rPr>
          <w:rFonts w:ascii="Times New Roman" w:hAnsi="Times New Roman"/>
          <w:sz w:val="24"/>
          <w:szCs w:val="24"/>
        </w:rPr>
        <w:t>Реалистично планиране на приходите, т.е. заложеният размер по бюджета да бъде този, който има най-голяма вероятност да настъпи. Въпреки, че в чл.17, ал.1 от ЗПФ законодателят е определил постъпленията за нецелеви и служещи за покриване на плащанията, то в чл.31, ал.2, възможността за увеличаване на разходите по бюджета на общината, е при условие, че приходите нарастват устойчиво, но нямат еднократен характер. В чл. 127, ал.2 и ал.3 се поставя ограничение при разходването на приходите от продажба на общински нефинансови активи и от приватизация. „Кухият“ размер на приходите е предпоставка за натрупване на просрочени задължения и влошаване на финансовото състояние на общината;</w:t>
      </w:r>
    </w:p>
    <w:p w:rsidR="005A552B"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Видове приходи в общинския бюджет</w:t>
      </w:r>
      <w:r>
        <w:rPr>
          <w:rFonts w:ascii="Times New Roman" w:hAnsi="Times New Roman"/>
          <w:sz w:val="24"/>
          <w:szCs w:val="24"/>
        </w:rPr>
        <w:t xml:space="preserve"> са </w:t>
      </w:r>
      <w:r w:rsidRPr="00B82D26">
        <w:rPr>
          <w:rFonts w:ascii="Times New Roman" w:hAnsi="Times New Roman"/>
          <w:sz w:val="24"/>
          <w:szCs w:val="24"/>
        </w:rPr>
        <w:t>собствени приходи</w:t>
      </w:r>
      <w:r>
        <w:rPr>
          <w:rFonts w:ascii="Times New Roman" w:hAnsi="Times New Roman"/>
          <w:sz w:val="24"/>
          <w:szCs w:val="24"/>
        </w:rPr>
        <w:t>,</w:t>
      </w:r>
      <w:r w:rsidRPr="00B82D26">
        <w:rPr>
          <w:rFonts w:ascii="Times New Roman" w:hAnsi="Times New Roman"/>
          <w:sz w:val="24"/>
          <w:szCs w:val="24"/>
        </w:rPr>
        <w:t xml:space="preserve"> държавни трансфери</w:t>
      </w:r>
      <w:r>
        <w:rPr>
          <w:rFonts w:ascii="Times New Roman" w:hAnsi="Times New Roman"/>
          <w:sz w:val="24"/>
          <w:szCs w:val="24"/>
        </w:rPr>
        <w:t xml:space="preserve"> и привлечени средства.</w:t>
      </w:r>
    </w:p>
    <w:p w:rsidR="005A552B" w:rsidRDefault="005A552B" w:rsidP="005A552B">
      <w:pPr>
        <w:spacing w:after="120" w:line="240" w:lineRule="auto"/>
        <w:jc w:val="both"/>
        <w:rPr>
          <w:rFonts w:ascii="Times New Roman" w:hAnsi="Times New Roman"/>
          <w:sz w:val="24"/>
          <w:szCs w:val="24"/>
        </w:rPr>
      </w:pPr>
      <w:r w:rsidRPr="003E2ECA">
        <w:rPr>
          <w:rFonts w:ascii="Times New Roman" w:hAnsi="Times New Roman"/>
          <w:b/>
          <w:sz w:val="24"/>
          <w:szCs w:val="24"/>
        </w:rPr>
        <w:t>Собствените приходи</w:t>
      </w:r>
      <w:r>
        <w:rPr>
          <w:rFonts w:ascii="Times New Roman" w:hAnsi="Times New Roman"/>
          <w:sz w:val="24"/>
          <w:szCs w:val="24"/>
        </w:rPr>
        <w:t xml:space="preserve"> са местни данъци, местни такси, приходи и доходи от</w:t>
      </w:r>
      <w:r w:rsidRPr="003E2ECA">
        <w:t xml:space="preserve"> </w:t>
      </w:r>
      <w:r w:rsidRPr="003E2ECA">
        <w:rPr>
          <w:rFonts w:ascii="Times New Roman" w:hAnsi="Times New Roman"/>
          <w:sz w:val="24"/>
          <w:szCs w:val="24"/>
        </w:rPr>
        <w:t>управление на общинска собственост: наеми, услуги, продажби, приватизация, помощи и дарения</w:t>
      </w:r>
      <w:r>
        <w:rPr>
          <w:rFonts w:ascii="Times New Roman" w:hAnsi="Times New Roman"/>
          <w:sz w:val="24"/>
          <w:szCs w:val="24"/>
        </w:rPr>
        <w:t xml:space="preserve">. </w:t>
      </w:r>
      <w:r w:rsidRPr="003E2ECA">
        <w:rPr>
          <w:rFonts w:ascii="Times New Roman" w:hAnsi="Times New Roman"/>
          <w:b/>
          <w:sz w:val="24"/>
          <w:szCs w:val="24"/>
        </w:rPr>
        <w:t xml:space="preserve">Държавните трансфери </w:t>
      </w:r>
      <w:r w:rsidRPr="003E2ECA">
        <w:rPr>
          <w:rFonts w:ascii="Times New Roman" w:hAnsi="Times New Roman"/>
          <w:sz w:val="24"/>
          <w:szCs w:val="24"/>
        </w:rPr>
        <w:t>са субсидии</w:t>
      </w:r>
      <w:r>
        <w:rPr>
          <w:rFonts w:ascii="Times New Roman" w:hAnsi="Times New Roman"/>
          <w:sz w:val="24"/>
          <w:szCs w:val="24"/>
        </w:rPr>
        <w:t xml:space="preserve"> и трансфери за делегирани от държавата дейности, за местни дейности (изравнителна субсидия и целеви трансфер за зимно поддържане и </w:t>
      </w:r>
      <w:proofErr w:type="spellStart"/>
      <w:r>
        <w:rPr>
          <w:rFonts w:ascii="Times New Roman" w:hAnsi="Times New Roman"/>
          <w:sz w:val="24"/>
          <w:szCs w:val="24"/>
        </w:rPr>
        <w:t>снегопочистване</w:t>
      </w:r>
      <w:proofErr w:type="spellEnd"/>
      <w:r>
        <w:rPr>
          <w:rFonts w:ascii="Times New Roman" w:hAnsi="Times New Roman"/>
          <w:sz w:val="24"/>
          <w:szCs w:val="24"/>
        </w:rPr>
        <w:t>) и целеви субсидии за капиталови разходи</w:t>
      </w:r>
    </w:p>
    <w:p w:rsidR="005A552B" w:rsidRPr="00B82D26" w:rsidRDefault="005A552B" w:rsidP="005A552B">
      <w:pPr>
        <w:spacing w:after="120" w:line="240" w:lineRule="auto"/>
        <w:jc w:val="both"/>
        <w:rPr>
          <w:rFonts w:ascii="Times New Roman" w:hAnsi="Times New Roman"/>
          <w:b/>
          <w:sz w:val="24"/>
          <w:szCs w:val="24"/>
        </w:rPr>
      </w:pPr>
      <w:r w:rsidRPr="003E2ECA">
        <w:rPr>
          <w:rFonts w:ascii="Times New Roman" w:hAnsi="Times New Roman"/>
          <w:b/>
          <w:sz w:val="24"/>
          <w:szCs w:val="24"/>
        </w:rPr>
        <w:lastRenderedPageBreak/>
        <w:t>Привлечените средства</w:t>
      </w:r>
      <w:r w:rsidRPr="00B82D26">
        <w:rPr>
          <w:rFonts w:ascii="Times New Roman" w:hAnsi="Times New Roman"/>
          <w:sz w:val="24"/>
          <w:szCs w:val="24"/>
        </w:rPr>
        <w:t xml:space="preserve">, предвид начина на тяхното отчитане и правомощията на общините по отношение на дълга са </w:t>
      </w:r>
      <w:r>
        <w:rPr>
          <w:rFonts w:ascii="Times New Roman" w:hAnsi="Times New Roman"/>
          <w:sz w:val="24"/>
          <w:szCs w:val="24"/>
        </w:rPr>
        <w:t>отделени съгласно чл. 45 от ЗПФ като бюджетно салдо и финансиране</w:t>
      </w:r>
      <w:r w:rsidRPr="00B82D26">
        <w:rPr>
          <w:rFonts w:ascii="Times New Roman" w:hAnsi="Times New Roman"/>
          <w:sz w:val="24"/>
          <w:szCs w:val="24"/>
        </w:rPr>
        <w:t>.</w:t>
      </w:r>
      <w:r>
        <w:rPr>
          <w:rFonts w:ascii="Times New Roman" w:hAnsi="Times New Roman"/>
          <w:sz w:val="24"/>
          <w:szCs w:val="24"/>
        </w:rPr>
        <w:t xml:space="preserve"> По дефиниция</w:t>
      </w:r>
      <w:r w:rsidRPr="00C93A10">
        <w:rPr>
          <w:rFonts w:ascii="Times New Roman" w:hAnsi="Times New Roman"/>
          <w:sz w:val="24"/>
          <w:szCs w:val="24"/>
        </w:rPr>
        <w:t xml:space="preserve"> </w:t>
      </w:r>
      <w:r>
        <w:rPr>
          <w:rFonts w:ascii="Times New Roman" w:hAnsi="Times New Roman"/>
          <w:sz w:val="24"/>
          <w:szCs w:val="24"/>
        </w:rPr>
        <w:t>ф</w:t>
      </w:r>
      <w:r w:rsidRPr="00C93A10">
        <w:rPr>
          <w:rFonts w:ascii="Times New Roman" w:hAnsi="Times New Roman"/>
          <w:sz w:val="24"/>
          <w:szCs w:val="24"/>
        </w:rPr>
        <w:t>инансирането е равно на бюджетното салдо с противоположен знак.</w:t>
      </w:r>
      <w:r>
        <w:rPr>
          <w:rFonts w:ascii="Times New Roman" w:hAnsi="Times New Roman"/>
          <w:sz w:val="24"/>
          <w:szCs w:val="24"/>
        </w:rPr>
        <w:t xml:space="preserve"> Включва</w:t>
      </w:r>
      <w:r w:rsidRPr="00C93A10">
        <w:rPr>
          <w:rFonts w:ascii="Times New Roman" w:hAnsi="Times New Roman"/>
          <w:sz w:val="24"/>
          <w:szCs w:val="24"/>
        </w:rPr>
        <w:t xml:space="preserve"> постъпленията и плащанията, произтичащи от: поемането и погасяването на дълга, постъпленията от приватизация, операциите с чужди средства, операциите по придобиването и реализирането на финансови активи и пасиви, несвързани с приходи и разходи, както и изменението в наличността на паричните средства за съответната бюджетна година, включително от преоценка на наличните парични средства в чуждестранна валута. </w:t>
      </w:r>
    </w:p>
    <w:p w:rsidR="005A552B" w:rsidRPr="003B7977"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П</w:t>
      </w:r>
      <w:r w:rsidRPr="003B7977">
        <w:rPr>
          <w:rFonts w:ascii="Times New Roman" w:hAnsi="Times New Roman"/>
          <w:sz w:val="24"/>
          <w:szCs w:val="24"/>
        </w:rPr>
        <w:t>ри планиране на приходите</w:t>
      </w:r>
      <w:r>
        <w:rPr>
          <w:rFonts w:ascii="Times New Roman" w:hAnsi="Times New Roman"/>
          <w:sz w:val="24"/>
          <w:szCs w:val="24"/>
        </w:rPr>
        <w:t xml:space="preserve"> могат да се дадат следните препоръки: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Необходимо е текущо да се оценява влиянието</w:t>
      </w:r>
      <w:r w:rsidRPr="00B82D26">
        <w:rPr>
          <w:rFonts w:ascii="Times New Roman" w:hAnsi="Times New Roman"/>
          <w:sz w:val="24"/>
          <w:szCs w:val="24"/>
        </w:rPr>
        <w:t xml:space="preserve">, което оказва върху размера на приходите </w:t>
      </w:r>
      <w:r>
        <w:rPr>
          <w:rFonts w:ascii="Times New Roman" w:hAnsi="Times New Roman"/>
          <w:sz w:val="24"/>
          <w:szCs w:val="24"/>
        </w:rPr>
        <w:t xml:space="preserve">в общинския бюджета на </w:t>
      </w:r>
      <w:r w:rsidRPr="00B82D26">
        <w:rPr>
          <w:rFonts w:ascii="Times New Roman" w:hAnsi="Times New Roman"/>
          <w:sz w:val="24"/>
          <w:szCs w:val="24"/>
        </w:rPr>
        <w:t>актуализирането на ставките на местните данъци и</w:t>
      </w:r>
      <w:r>
        <w:rPr>
          <w:rFonts w:ascii="Times New Roman" w:hAnsi="Times New Roman"/>
          <w:sz w:val="24"/>
          <w:szCs w:val="24"/>
        </w:rPr>
        <w:t>/или</w:t>
      </w:r>
      <w:r w:rsidRPr="00B82D26">
        <w:rPr>
          <w:rFonts w:ascii="Times New Roman" w:hAnsi="Times New Roman"/>
          <w:sz w:val="24"/>
          <w:szCs w:val="24"/>
        </w:rPr>
        <w:t xml:space="preserve"> такси и как приетите облекчения за някои категории лица биха намалили постъпленията в общинския бюджет.</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Очакваната събираемост е резултатен показател, който се получава като се изследва събираемостта за конкретния приход за предходните няколко (обичайно три) години. </w:t>
      </w:r>
      <w:r>
        <w:rPr>
          <w:rFonts w:ascii="Times New Roman" w:hAnsi="Times New Roman"/>
          <w:sz w:val="24"/>
          <w:szCs w:val="24"/>
        </w:rPr>
        <w:t>По</w:t>
      </w:r>
      <w:r w:rsidRPr="00B82D26">
        <w:rPr>
          <w:rFonts w:ascii="Times New Roman" w:hAnsi="Times New Roman"/>
          <w:sz w:val="24"/>
          <w:szCs w:val="24"/>
        </w:rPr>
        <w:t xml:space="preserve">-подробно този въпрос ще се разгледа в следващите </w:t>
      </w:r>
      <w:r>
        <w:rPr>
          <w:rFonts w:ascii="Times New Roman" w:hAnsi="Times New Roman"/>
          <w:sz w:val="24"/>
          <w:szCs w:val="24"/>
        </w:rPr>
        <w:t>редове</w:t>
      </w:r>
      <w:r w:rsidRPr="00B82D26">
        <w:rPr>
          <w:rFonts w:ascii="Times New Roman" w:hAnsi="Times New Roman"/>
          <w:sz w:val="24"/>
          <w:szCs w:val="24"/>
        </w:rPr>
        <w:t>.</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За да бъде правилно оценена очакваната събираемост на местните приходи от голямо значение е актуалността на декларираните обстоятелства и бази с данни, което може да се постигне чрез обмен с други органи.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При планиране на приходите е необходимо да се направи и детайлен анализ на възможностите за събиране на част от просрочени вземания и те също да бъдат включени в проекта за бюджет. В анализа специално внимание трябва да се обърне на дългосрочно просрочените вземания и на тези, на които предстои изтичане на абсолютната давност. Повече възможности за събиране на тези вземания общината ще постигне чрез прилагането на адекватни мерки.</w:t>
      </w:r>
    </w:p>
    <w:p w:rsidR="005A552B"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Планирането приходите от наказателни лихви в размери, които наистина могат да се постигнат, трябва да бъде направено на база на анализа на просрочените вземания</w:t>
      </w:r>
      <w:r>
        <w:rPr>
          <w:rFonts w:ascii="Times New Roman" w:hAnsi="Times New Roman"/>
          <w:sz w:val="24"/>
          <w:szCs w:val="24"/>
        </w:rPr>
        <w:t xml:space="preserve"> – вид (данък или такса), време на просрочване (повишава размера на лихвите, но води до изтичане на срокове), възможности за събиране</w:t>
      </w:r>
      <w:r w:rsidRPr="00B82D26">
        <w:rPr>
          <w:rFonts w:ascii="Times New Roman" w:hAnsi="Times New Roman"/>
          <w:sz w:val="24"/>
          <w:szCs w:val="24"/>
        </w:rPr>
        <w:t>.</w:t>
      </w:r>
      <w:r>
        <w:rPr>
          <w:rFonts w:ascii="Times New Roman" w:hAnsi="Times New Roman"/>
          <w:sz w:val="24"/>
          <w:szCs w:val="24"/>
        </w:rPr>
        <w:t xml:space="preserve">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Несъбираеми приходи са тези, за които е изтекла абсолютната давност и не са предприети мерки за нейното прекъсване. Такива приходи трябва да бъдат отписани от базите с данни или поне да бъдат отбелязани по специален начин и да не се предвиждат в проекта.</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Трябва да се</w:t>
      </w:r>
      <w:r w:rsidRPr="00B82D26">
        <w:rPr>
          <w:rFonts w:ascii="Times New Roman" w:hAnsi="Times New Roman"/>
          <w:sz w:val="24"/>
          <w:szCs w:val="24"/>
        </w:rPr>
        <w:t xml:space="preserve"> акцентира върху две много важни за финансовата стабилност на всяка община фискални правила от ЗПФ:</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Трайното намаляване на бюджетните приходи се компенсира с мерки за трайно намаляване на разходите;</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По-висок темп на нарастване на разходите се компенсира с мерки за устойчиво и нееднократно увеличение на собствените приходи.</w:t>
      </w:r>
    </w:p>
    <w:p w:rsidR="005A552B" w:rsidRPr="000047EF" w:rsidRDefault="005A552B" w:rsidP="005A552B">
      <w:pPr>
        <w:spacing w:after="120" w:line="240" w:lineRule="auto"/>
        <w:jc w:val="both"/>
        <w:rPr>
          <w:rFonts w:ascii="Times New Roman" w:hAnsi="Times New Roman"/>
          <w:b/>
          <w:sz w:val="24"/>
          <w:szCs w:val="24"/>
        </w:rPr>
      </w:pPr>
      <w:r w:rsidRPr="000047EF">
        <w:rPr>
          <w:rFonts w:ascii="Times New Roman" w:hAnsi="Times New Roman"/>
          <w:b/>
          <w:sz w:val="24"/>
          <w:szCs w:val="24"/>
        </w:rPr>
        <w:t>Практически правила при формиране на местните приходи.</w:t>
      </w:r>
    </w:p>
    <w:p w:rsidR="005A552B" w:rsidRDefault="005A552B" w:rsidP="005A552B">
      <w:pPr>
        <w:spacing w:after="120" w:line="240" w:lineRule="auto"/>
        <w:jc w:val="both"/>
        <w:rPr>
          <w:rFonts w:ascii="Times New Roman" w:hAnsi="Times New Roman"/>
          <w:sz w:val="24"/>
          <w:szCs w:val="24"/>
        </w:rPr>
      </w:pPr>
      <w:r w:rsidRPr="000047EF">
        <w:rPr>
          <w:rFonts w:ascii="Times New Roman" w:hAnsi="Times New Roman"/>
          <w:i/>
          <w:sz w:val="24"/>
          <w:szCs w:val="24"/>
        </w:rPr>
        <w:t xml:space="preserve"> „Най-добрият начин да предвидиш бъдещето е да го създадеш.“</w:t>
      </w:r>
      <w:r>
        <w:rPr>
          <w:rFonts w:ascii="Times New Roman" w:hAnsi="Times New Roman"/>
          <w:sz w:val="24"/>
          <w:szCs w:val="24"/>
        </w:rPr>
        <w:t xml:space="preserve"> Питър </w:t>
      </w:r>
      <w:proofErr w:type="spellStart"/>
      <w:r>
        <w:rPr>
          <w:rFonts w:ascii="Times New Roman" w:hAnsi="Times New Roman"/>
          <w:sz w:val="24"/>
          <w:szCs w:val="24"/>
        </w:rPr>
        <w:t>Дракър</w:t>
      </w:r>
      <w:proofErr w:type="spellEnd"/>
      <w:r>
        <w:rPr>
          <w:rFonts w:ascii="Times New Roman" w:hAnsi="Times New Roman"/>
          <w:sz w:val="24"/>
          <w:szCs w:val="24"/>
        </w:rPr>
        <w:t xml:space="preserve"> </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В този контекст един от най-важните елементи на политиката по управление на приходите е планирането. </w:t>
      </w:r>
      <w:r w:rsidRPr="00B82D26">
        <w:rPr>
          <w:rFonts w:ascii="Times New Roman" w:hAnsi="Times New Roman"/>
          <w:sz w:val="24"/>
          <w:szCs w:val="24"/>
        </w:rPr>
        <w:t>Собствените приходи се разделят на три основни групи, като за всяка от тях има специфични правила, а именно:</w:t>
      </w:r>
    </w:p>
    <w:p w:rsidR="005A552B" w:rsidRDefault="005A552B" w:rsidP="005A552B">
      <w:pPr>
        <w:pStyle w:val="ListParagraph"/>
        <w:numPr>
          <w:ilvl w:val="0"/>
          <w:numId w:val="2"/>
        </w:numPr>
        <w:tabs>
          <w:tab w:val="left" w:pos="851"/>
        </w:tabs>
        <w:spacing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При планиране на </w:t>
      </w:r>
      <w:r w:rsidRPr="00841904">
        <w:rPr>
          <w:rFonts w:ascii="Times New Roman" w:hAnsi="Times New Roman"/>
          <w:b/>
          <w:sz w:val="24"/>
          <w:szCs w:val="24"/>
        </w:rPr>
        <w:t>приходи от местните данъци, такси и цени на общински услуги</w:t>
      </w:r>
      <w:r w:rsidRPr="00B82D26">
        <w:rPr>
          <w:rFonts w:ascii="Times New Roman" w:hAnsi="Times New Roman"/>
          <w:sz w:val="24"/>
          <w:szCs w:val="24"/>
        </w:rPr>
        <w:t xml:space="preserve"> е необходимо да се търси баланс между потребностите от средства в общинския бюджет за предоставяне на публични услуги от една страна и поносимостта на данъчната тежест, от друга. </w:t>
      </w:r>
      <w:r w:rsidRPr="00A04F7D">
        <w:rPr>
          <w:rFonts w:ascii="Times New Roman" w:hAnsi="Times New Roman"/>
          <w:sz w:val="24"/>
          <w:szCs w:val="24"/>
        </w:rPr>
        <w:t>Прекалено високите ставки могат да доведат до трудна събираемост и натрупване на просрочени вземания. Прекалено ниските пък, в даден момент, могат да доведат до невъзможност общината да разплаща задълженията си и да натрупа просрочени задължения, тъй като ниският размер на събраните приходи няма да може да обезпечи извършването на необходимите разходи, а при невъзможност Общината да осигури средства за разплащането им, това ще доведе до влошаване качеството на предлаганите услуги. Затова</w:t>
      </w:r>
      <w:r>
        <w:rPr>
          <w:rFonts w:ascii="Times New Roman" w:hAnsi="Times New Roman"/>
          <w:sz w:val="24"/>
          <w:szCs w:val="24"/>
        </w:rPr>
        <w:t>,</w:t>
      </w:r>
      <w:r w:rsidRPr="00A04F7D">
        <w:rPr>
          <w:rFonts w:ascii="Times New Roman" w:hAnsi="Times New Roman"/>
          <w:sz w:val="24"/>
          <w:szCs w:val="24"/>
        </w:rPr>
        <w:t xml:space="preserve"> при определяне на размера на местните задължения следва да се търси съответният баланс, който да доведе до подобряване на бизнес средата, облекчаване на данъчната тежест на населението и повишаване събираемо</w:t>
      </w:r>
      <w:r>
        <w:rPr>
          <w:rFonts w:ascii="Times New Roman" w:hAnsi="Times New Roman"/>
          <w:sz w:val="24"/>
          <w:szCs w:val="24"/>
        </w:rPr>
        <w:t xml:space="preserve">стта на местните данъци и такси. </w:t>
      </w:r>
      <w:r w:rsidRPr="00B82D26">
        <w:rPr>
          <w:rFonts w:ascii="Times New Roman" w:hAnsi="Times New Roman"/>
          <w:sz w:val="24"/>
          <w:szCs w:val="24"/>
        </w:rPr>
        <w:t>Във всяка община трябва да се търсят адекватни начини за повишаване на събираемостта и несъбраните вземания.</w:t>
      </w:r>
      <w:r>
        <w:rPr>
          <w:rFonts w:ascii="Times New Roman" w:hAnsi="Times New Roman"/>
          <w:sz w:val="24"/>
          <w:szCs w:val="24"/>
        </w:rPr>
        <w:t xml:space="preserve"> </w:t>
      </w:r>
    </w:p>
    <w:p w:rsidR="005A552B" w:rsidRPr="000047EF" w:rsidRDefault="005A552B" w:rsidP="005A552B">
      <w:pPr>
        <w:pStyle w:val="ListParagraph"/>
        <w:numPr>
          <w:ilvl w:val="0"/>
          <w:numId w:val="2"/>
        </w:numPr>
        <w:tabs>
          <w:tab w:val="left" w:pos="851"/>
        </w:tabs>
        <w:spacing w:after="120" w:line="240" w:lineRule="auto"/>
        <w:ind w:left="0" w:firstLine="567"/>
        <w:jc w:val="both"/>
        <w:rPr>
          <w:rFonts w:ascii="Times New Roman" w:hAnsi="Times New Roman"/>
          <w:sz w:val="24"/>
          <w:szCs w:val="24"/>
        </w:rPr>
      </w:pPr>
      <w:r>
        <w:rPr>
          <w:rFonts w:ascii="Times New Roman" w:hAnsi="Times New Roman"/>
          <w:sz w:val="24"/>
          <w:szCs w:val="24"/>
        </w:rPr>
        <w:t>П</w:t>
      </w:r>
      <w:r w:rsidRPr="00B82D26">
        <w:rPr>
          <w:rFonts w:ascii="Times New Roman" w:hAnsi="Times New Roman"/>
          <w:sz w:val="24"/>
          <w:szCs w:val="24"/>
        </w:rPr>
        <w:t xml:space="preserve">риходи от ефективно и рационално </w:t>
      </w:r>
      <w:r w:rsidRPr="00841904">
        <w:rPr>
          <w:rFonts w:ascii="Times New Roman" w:hAnsi="Times New Roman"/>
          <w:b/>
          <w:sz w:val="24"/>
          <w:szCs w:val="24"/>
        </w:rPr>
        <w:t>разпореждане с общинската собственост</w:t>
      </w:r>
      <w:r>
        <w:rPr>
          <w:rFonts w:ascii="Times New Roman" w:hAnsi="Times New Roman"/>
          <w:sz w:val="24"/>
          <w:szCs w:val="24"/>
        </w:rPr>
        <w:t>.</w:t>
      </w:r>
      <w:r w:rsidRPr="000047EF">
        <w:t xml:space="preserve"> </w:t>
      </w:r>
      <w:r w:rsidRPr="000047EF">
        <w:rPr>
          <w:rFonts w:ascii="Times New Roman" w:hAnsi="Times New Roman"/>
          <w:sz w:val="24"/>
          <w:szCs w:val="24"/>
        </w:rPr>
        <w:t>Повечето общини притежават собственост, като например свободна земя или неизползвани сгради, които биха могли да са ценни за други институции или за частни юридически и физически лица. Продажбата на подобни активи може да доведе до еднократни приходи, които съгласно разпоредбите на ЗПФ, трябва да се влагат само за финансиране на изграждането, за основен и текущ ремонт на социална и техническа инфраструктура, както и за погасяване на ползвани заеми за финансиране на проекти на социалната и техническата инфраструктура и за погасяване на временни безлихвени заеми, отпуснати по реда на чл. 130ж, ал. 1. Влагането на тези еднократни приходи за оперативни нужди поддържа оперативния дефицит, но с тях не може да се балансира дългосрочно бюджета. Другият начин е, те да се отдават под наем, което ще осигури по-дългосрочен алтернативен източник на приходи. Тези приходи се формират главно на база приетата Годишна програма за управление и разпореждане с общинска собственост за постигане на целите и приоритетите, заложени в Стратегията за управление на общинската собственост на съответната община, след предварителен анализ на потребностите на общината, при ясната визия за целите и очаквания резултат на постъпленията по плана за приходите по общинския бюджет. Приходите, които постъпват в общинския бюджет могат да бъдат от отдаване под наем на имотите, ненужни за дейността на общината и към които има проявен интерес, отдаване под наем на терени за монтиране на временни обекти, както и от такси за ползване на общински площи – тротоари, площади, улични платна, места, върху които са организират пазари и панаири. Приходи се формират и от продажбата на терени и неизползваеми нежилищни имоти, към които има проявен инвеститорски интерес, както и на поземлени имоти на собствениците на законно построените в тях сгради.</w:t>
      </w:r>
    </w:p>
    <w:p w:rsidR="005A552B" w:rsidRPr="000047EF" w:rsidRDefault="005A552B" w:rsidP="005A552B">
      <w:pPr>
        <w:pStyle w:val="ListParagraph"/>
        <w:numPr>
          <w:ilvl w:val="0"/>
          <w:numId w:val="2"/>
        </w:numPr>
        <w:spacing w:after="120" w:line="240" w:lineRule="auto"/>
        <w:ind w:left="0" w:firstLine="284"/>
        <w:jc w:val="both"/>
        <w:rPr>
          <w:rFonts w:ascii="Times New Roman" w:hAnsi="Times New Roman"/>
          <w:sz w:val="24"/>
          <w:szCs w:val="24"/>
        </w:rPr>
      </w:pPr>
      <w:r w:rsidRPr="000047EF">
        <w:rPr>
          <w:rFonts w:ascii="Times New Roman" w:hAnsi="Times New Roman"/>
          <w:sz w:val="24"/>
          <w:szCs w:val="24"/>
        </w:rPr>
        <w:t xml:space="preserve">Третата група собствени приходи са </w:t>
      </w:r>
      <w:r w:rsidRPr="00841904">
        <w:rPr>
          <w:rFonts w:ascii="Times New Roman" w:hAnsi="Times New Roman"/>
          <w:b/>
          <w:sz w:val="24"/>
          <w:szCs w:val="24"/>
        </w:rPr>
        <w:t>привлечените средства</w:t>
      </w:r>
      <w:r w:rsidRPr="000047EF">
        <w:rPr>
          <w:rFonts w:ascii="Times New Roman" w:hAnsi="Times New Roman"/>
          <w:sz w:val="24"/>
          <w:szCs w:val="24"/>
        </w:rPr>
        <w:t xml:space="preserve"> и е необходимо използване на възможност</w:t>
      </w:r>
      <w:r>
        <w:rPr>
          <w:rFonts w:ascii="Times New Roman" w:hAnsi="Times New Roman"/>
          <w:sz w:val="24"/>
          <w:szCs w:val="24"/>
        </w:rPr>
        <w:t xml:space="preserve">ите на Закона за общинския </w:t>
      </w:r>
      <w:r w:rsidRPr="000047EF">
        <w:rPr>
          <w:rFonts w:ascii="Times New Roman" w:hAnsi="Times New Roman"/>
          <w:sz w:val="24"/>
          <w:szCs w:val="24"/>
        </w:rPr>
        <w:t xml:space="preserve">дълг за финансиране на инвестиционни проекти в полза на местната общност, за предотвратяване и ликвидиране на последиците от форсмажорни обстоятелства, за финансиране на общински проекти за концесии за строителство, за финансиране при временни касови разриви по бюджета на </w:t>
      </w:r>
      <w:r w:rsidRPr="000047EF">
        <w:rPr>
          <w:rFonts w:ascii="Times New Roman" w:hAnsi="Times New Roman"/>
          <w:sz w:val="24"/>
          <w:szCs w:val="24"/>
        </w:rPr>
        <w:lastRenderedPageBreak/>
        <w:t xml:space="preserve">общината по чл. 103, ал. 1 от Закона за публичните финанси, за осигуряване на плащания по предоставени временни безлихвени заеми за сметка на централния бюджет по реда на Закона за публичните финанси, за предоставяне на публични услуги при временен недостиг на средства, възникнал при временни касови разриви по бюджета на общината, за разплащане на просрочени задължения и др. </w:t>
      </w:r>
    </w:p>
    <w:p w:rsidR="005A552B" w:rsidRPr="00841904" w:rsidRDefault="005A552B" w:rsidP="005A552B">
      <w:pPr>
        <w:spacing w:after="120" w:line="240" w:lineRule="auto"/>
        <w:jc w:val="both"/>
        <w:rPr>
          <w:rFonts w:ascii="Times New Roman" w:hAnsi="Times New Roman"/>
          <w:b/>
          <w:sz w:val="24"/>
          <w:szCs w:val="24"/>
        </w:rPr>
      </w:pPr>
      <w:r w:rsidRPr="00841904">
        <w:rPr>
          <w:rFonts w:ascii="Times New Roman" w:hAnsi="Times New Roman"/>
          <w:b/>
          <w:sz w:val="24"/>
          <w:szCs w:val="24"/>
        </w:rPr>
        <w:t>Методи за прогнозиране на общинските приходи</w:t>
      </w:r>
    </w:p>
    <w:p w:rsidR="005A552B" w:rsidRPr="00B82D26" w:rsidRDefault="005A552B" w:rsidP="005A552B">
      <w:pPr>
        <w:pStyle w:val="ListParagraph"/>
        <w:numPr>
          <w:ilvl w:val="0"/>
          <w:numId w:val="2"/>
        </w:numPr>
        <w:spacing w:after="120" w:line="240" w:lineRule="auto"/>
        <w:ind w:left="0" w:firstLine="426"/>
        <w:jc w:val="both"/>
        <w:rPr>
          <w:rFonts w:ascii="Times New Roman" w:hAnsi="Times New Roman"/>
          <w:sz w:val="24"/>
          <w:szCs w:val="24"/>
        </w:rPr>
      </w:pPr>
      <w:r w:rsidRPr="00841904">
        <w:rPr>
          <w:rFonts w:ascii="Times New Roman" w:hAnsi="Times New Roman"/>
          <w:b/>
          <w:sz w:val="24"/>
          <w:szCs w:val="24"/>
        </w:rPr>
        <w:t>Анализ на тенденциите.</w:t>
      </w:r>
      <w:r w:rsidRPr="00B82D26">
        <w:rPr>
          <w:rFonts w:ascii="Times New Roman" w:hAnsi="Times New Roman"/>
          <w:sz w:val="24"/>
          <w:szCs w:val="24"/>
        </w:rPr>
        <w:t xml:space="preserve"> Този способ се гради върху презумпцията, че приходите са функция на времето. Основното допускане при анализа на тенденциите е, че бъдещият годишен темп на растеж на приходите е равен на отчетения за минали периоди. Анализът на тенденциите е приложим към всички общински приходи – данъчни и неданъчни. Основната слабост на анализа на тенденциите е, че този метод никога не може да предвиди екстремни колебания на приходните потоци (така както се случва в периода на криза, напр. здравната криза породи икономическа и през 2020 година паричните потоци от местни приходи не следваха тенденциите от предходните години</w:t>
      </w:r>
      <w:r w:rsidRPr="00622C93">
        <w:rPr>
          <w:rFonts w:ascii="Times New Roman" w:hAnsi="Times New Roman"/>
          <w:sz w:val="24"/>
          <w:szCs w:val="24"/>
        </w:rPr>
        <w:t>, т.е. тези</w:t>
      </w:r>
      <w:r w:rsidRPr="00B82D26">
        <w:rPr>
          <w:rFonts w:ascii="Times New Roman" w:hAnsi="Times New Roman"/>
          <w:sz w:val="24"/>
          <w:szCs w:val="24"/>
        </w:rPr>
        <w:t xml:space="preserve"> след </w:t>
      </w:r>
      <w:r w:rsidRPr="00622C93">
        <w:rPr>
          <w:rFonts w:ascii="Times New Roman" w:hAnsi="Times New Roman"/>
          <w:sz w:val="24"/>
          <w:szCs w:val="24"/>
        </w:rPr>
        <w:t>предходния кризисен период</w:t>
      </w:r>
      <w:r w:rsidRPr="00B82D26">
        <w:rPr>
          <w:rFonts w:ascii="Times New Roman" w:hAnsi="Times New Roman"/>
          <w:sz w:val="24"/>
          <w:szCs w:val="24"/>
        </w:rPr>
        <w:t xml:space="preserve"> 2009 – 2010 година). Вместо това при този метод се разчита на запазване на тенденцията на растеж или спад, наблюдавана в миналото, независимо от настъпващите междувременно икономически промени. По този начин бъдещите приходи могат да бъдат надценени или подценени. Анализа на тенденциите предполага анализ на </w:t>
      </w:r>
      <w:r w:rsidRPr="00841904">
        <w:rPr>
          <w:rFonts w:ascii="Times New Roman" w:hAnsi="Times New Roman"/>
          <w:sz w:val="24"/>
          <w:szCs w:val="24"/>
          <w:u w:val="single"/>
        </w:rPr>
        <w:t>отчетни</w:t>
      </w:r>
      <w:r w:rsidRPr="00B82D26">
        <w:rPr>
          <w:rFonts w:ascii="Times New Roman" w:hAnsi="Times New Roman"/>
          <w:sz w:val="24"/>
          <w:szCs w:val="24"/>
        </w:rPr>
        <w:t xml:space="preserve"> данни за минали периоди, отчитане на настъпващите изменения в местните източници на приходи, открояване на положителните и отрицателните икономически условия, коригиране на данните с темпа на инфлация (при големи колебания, които биха оказали съществено влияние) и внимателни преценки при анализа на данните. За да използваме ефективно този инструмент е необходимо да сме си направили база с данни от предходни години, която да се актуализира текущо и да бъде надежден източник на информация. </w:t>
      </w:r>
      <w:r>
        <w:rPr>
          <w:rFonts w:ascii="Times New Roman" w:hAnsi="Times New Roman"/>
          <w:sz w:val="24"/>
          <w:szCs w:val="24"/>
        </w:rPr>
        <w:t>Като пример за д</w:t>
      </w:r>
      <w:r w:rsidRPr="00B82D26">
        <w:rPr>
          <w:rFonts w:ascii="Times New Roman" w:hAnsi="Times New Roman"/>
          <w:sz w:val="24"/>
          <w:szCs w:val="24"/>
        </w:rPr>
        <w:t>обра практика</w:t>
      </w:r>
      <w:r>
        <w:rPr>
          <w:rFonts w:ascii="Times New Roman" w:hAnsi="Times New Roman"/>
          <w:sz w:val="24"/>
          <w:szCs w:val="24"/>
        </w:rPr>
        <w:t xml:space="preserve"> е факта, че</w:t>
      </w:r>
      <w:r w:rsidRPr="00B82D26">
        <w:rPr>
          <w:rFonts w:ascii="Times New Roman" w:hAnsi="Times New Roman"/>
          <w:sz w:val="24"/>
          <w:szCs w:val="24"/>
        </w:rPr>
        <w:t xml:space="preserve"> в някой общини такава база с данни е натрупана за повече от 10 години. При анализ на тенденциите, за да са съпоставими натрупаните данни, в голяма степен трябва да се обърне внимание на следните фактори: изменения в нормативната база, засягаща правомощията на общината да събира местни приходи; степента на събираемост; необичайни или сезонни колебания по приходоизточници; ефектът на инфлацията върху реалния темп на нарастване на приходите, особено при анализиране на данни за големи периоди от време; специфични проблеми за събираемостта на определени приходи. След приключване н</w:t>
      </w:r>
      <w:r w:rsidRPr="00622C93">
        <w:rPr>
          <w:rFonts w:ascii="Times New Roman" w:hAnsi="Times New Roman"/>
          <w:sz w:val="24"/>
          <w:szCs w:val="24"/>
        </w:rPr>
        <w:t xml:space="preserve">а </w:t>
      </w:r>
      <w:r w:rsidRPr="00B82D26">
        <w:rPr>
          <w:rFonts w:ascii="Times New Roman" w:hAnsi="Times New Roman"/>
          <w:sz w:val="24"/>
          <w:szCs w:val="24"/>
        </w:rPr>
        <w:t>анализа на тенденциите следва да се определят вероятните срокове за постъпване и съответните суми на приходите в течение на финансовата година. Така фактически се получава план на приходите и план за управление на паричния поток, който в течение на финансовата година трябва да бъде сравняван в действително постъпващите приходи и ако е необходимо да се нанасят корекции при неизпълнението му.</w:t>
      </w:r>
    </w:p>
    <w:p w:rsidR="005A552B" w:rsidRPr="00B82D26" w:rsidRDefault="005A552B" w:rsidP="005A552B">
      <w:pPr>
        <w:pStyle w:val="ListParagraph"/>
        <w:numPr>
          <w:ilvl w:val="0"/>
          <w:numId w:val="2"/>
        </w:numPr>
        <w:spacing w:after="120" w:line="240" w:lineRule="auto"/>
        <w:ind w:left="0" w:firstLine="284"/>
        <w:jc w:val="both"/>
        <w:rPr>
          <w:rFonts w:ascii="Times New Roman" w:hAnsi="Times New Roman"/>
          <w:sz w:val="24"/>
          <w:szCs w:val="24"/>
        </w:rPr>
      </w:pPr>
      <w:r w:rsidRPr="00841904">
        <w:rPr>
          <w:rFonts w:ascii="Times New Roman" w:hAnsi="Times New Roman"/>
          <w:b/>
          <w:sz w:val="24"/>
          <w:szCs w:val="24"/>
        </w:rPr>
        <w:t>Експертна оценка</w:t>
      </w:r>
      <w:r w:rsidRPr="00B82D26">
        <w:rPr>
          <w:rFonts w:ascii="Times New Roman" w:hAnsi="Times New Roman"/>
          <w:sz w:val="24"/>
          <w:szCs w:val="24"/>
        </w:rPr>
        <w:t xml:space="preserve"> – ключът е самия експерт и неговите познания и опит в прогнозирането на годишните бюджетни приходи. За да дава последователно точни прогнози, експертът трябва да познава приходната система, местната икономика и източниците на допълнителна информация. В много случаи, особено в по-малки общини, този експерт е финансистът на общината, който освен с опит разполага и с информационно обезпечение и е подпомогнат от общинската данъчна администрация. Недостатъци на експертната оценка се състоят в това, че се разчита на субективния поглед на експерта, при което съществува риск, при напускане на длъжността, която заема с него да си отиде и неговия модел. Експертната оценка се прилага широко при прогнозирането на годишни </w:t>
      </w:r>
      <w:r w:rsidRPr="00B82D26">
        <w:rPr>
          <w:rFonts w:ascii="Times New Roman" w:hAnsi="Times New Roman"/>
          <w:sz w:val="24"/>
          <w:szCs w:val="24"/>
        </w:rPr>
        <w:lastRenderedPageBreak/>
        <w:t>приходи, в повечето случаи в съчетание с анализа на тенденциите, като експертът коригира прогнозата за всяка година, извършена с помощта на анализа на тенденциите.</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И при двата метода е необходимо да бъдат отчетени и  необичайни или сезонни колебания по приходоизточници;  достигнати нива на събираемост в предходни години; ефект на инфлацията/кризата върху реалния темп на нарастване на приходите.</w:t>
      </w:r>
    </w:p>
    <w:p w:rsidR="005A552B" w:rsidRPr="00841904" w:rsidRDefault="005A552B" w:rsidP="005A552B">
      <w:pPr>
        <w:spacing w:after="120" w:line="240" w:lineRule="auto"/>
        <w:jc w:val="both"/>
        <w:rPr>
          <w:rFonts w:ascii="Times New Roman" w:hAnsi="Times New Roman"/>
          <w:sz w:val="24"/>
          <w:szCs w:val="24"/>
        </w:rPr>
      </w:pPr>
      <w:r w:rsidRPr="00841904">
        <w:rPr>
          <w:rFonts w:ascii="Times New Roman" w:hAnsi="Times New Roman"/>
          <w:b/>
          <w:sz w:val="24"/>
          <w:szCs w:val="24"/>
        </w:rPr>
        <w:t>Показатели за точност.</w:t>
      </w:r>
      <w:r w:rsidRPr="00841904">
        <w:rPr>
          <w:rFonts w:ascii="Times New Roman" w:hAnsi="Times New Roman"/>
          <w:sz w:val="24"/>
          <w:szCs w:val="24"/>
        </w:rPr>
        <w:t xml:space="preserve"> Като общо правило консервативният подход при прогнозирането на приходите е препоръчително. По-добре прогнозата да се окаже занижена, отколкото неоправдано завишена. Това би спомогнало за избягване на случаите на недостиг на бюджетни средства и съответното снижаване на качеството на публичните услуги, при вече приет бюджет. Затова е полезно, предварително финансистите да си задаваме показатели за точност на прогнозите. Макар и съвършенството да е непостижимо, следва да бъде установена приемлива степен на грешка. Повечето приходни аналитици са удовлетворени, когато действително събраните приходи от основните приходоизточници възлизат най-малко на 95% от прогнозата. От друга страна, макар, че ефектът върху финансовото състояние на общината да не е неблагоприятен, грешките в посока към превишения на прогнозата не бива да надхвърлят 5%.</w:t>
      </w:r>
    </w:p>
    <w:p w:rsidR="005A552B" w:rsidRPr="00841904" w:rsidRDefault="005A552B" w:rsidP="005A552B">
      <w:pPr>
        <w:spacing w:after="120" w:line="240" w:lineRule="auto"/>
        <w:jc w:val="both"/>
        <w:rPr>
          <w:rFonts w:ascii="Times New Roman" w:hAnsi="Times New Roman"/>
          <w:b/>
          <w:sz w:val="24"/>
          <w:szCs w:val="24"/>
        </w:rPr>
      </w:pPr>
      <w:r w:rsidRPr="00841904">
        <w:rPr>
          <w:rFonts w:ascii="Times New Roman" w:hAnsi="Times New Roman"/>
          <w:b/>
          <w:sz w:val="24"/>
          <w:szCs w:val="24"/>
        </w:rPr>
        <w:t xml:space="preserve">Фискална значимост </w:t>
      </w:r>
      <w:r>
        <w:rPr>
          <w:rFonts w:ascii="Times New Roman" w:hAnsi="Times New Roman"/>
          <w:b/>
          <w:sz w:val="24"/>
          <w:szCs w:val="24"/>
        </w:rPr>
        <w:t xml:space="preserve">и планиране </w:t>
      </w:r>
      <w:r w:rsidRPr="00841904">
        <w:rPr>
          <w:rFonts w:ascii="Times New Roman" w:hAnsi="Times New Roman"/>
          <w:b/>
          <w:sz w:val="24"/>
          <w:szCs w:val="24"/>
        </w:rPr>
        <w:t>на местните данъци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М</w:t>
      </w:r>
      <w:r w:rsidRPr="00B82D26">
        <w:rPr>
          <w:rFonts w:ascii="Times New Roman" w:hAnsi="Times New Roman"/>
          <w:sz w:val="24"/>
          <w:szCs w:val="24"/>
        </w:rPr>
        <w:t>естните данъци</w:t>
      </w:r>
      <w:r>
        <w:rPr>
          <w:rFonts w:ascii="Times New Roman" w:hAnsi="Times New Roman"/>
          <w:sz w:val="24"/>
          <w:szCs w:val="24"/>
        </w:rPr>
        <w:t xml:space="preserve"> </w:t>
      </w:r>
      <w:r w:rsidRPr="00B82D26">
        <w:rPr>
          <w:rFonts w:ascii="Times New Roman" w:hAnsi="Times New Roman"/>
          <w:sz w:val="24"/>
          <w:szCs w:val="24"/>
        </w:rPr>
        <w:t>са разделени в две групи:</w:t>
      </w:r>
    </w:p>
    <w:p w:rsidR="005A552B" w:rsidRPr="00B82D26" w:rsidRDefault="005A552B" w:rsidP="005A552B">
      <w:pPr>
        <w:pStyle w:val="ListParagraph"/>
        <w:numPr>
          <w:ilvl w:val="0"/>
          <w:numId w:val="3"/>
        </w:numPr>
        <w:tabs>
          <w:tab w:val="left" w:pos="851"/>
        </w:tabs>
        <w:spacing w:after="120" w:line="240" w:lineRule="auto"/>
        <w:ind w:left="0" w:firstLine="567"/>
        <w:jc w:val="both"/>
        <w:rPr>
          <w:rFonts w:ascii="Times New Roman" w:hAnsi="Times New Roman"/>
          <w:sz w:val="24"/>
          <w:szCs w:val="24"/>
        </w:rPr>
      </w:pPr>
      <w:r w:rsidRPr="00841904">
        <w:rPr>
          <w:rFonts w:ascii="Times New Roman" w:hAnsi="Times New Roman"/>
          <w:b/>
          <w:sz w:val="24"/>
          <w:szCs w:val="24"/>
        </w:rPr>
        <w:t>Преки имуществени данъци</w:t>
      </w:r>
      <w:r w:rsidRPr="00B82D26">
        <w:rPr>
          <w:rFonts w:ascii="Times New Roman" w:hAnsi="Times New Roman"/>
          <w:sz w:val="24"/>
          <w:szCs w:val="24"/>
        </w:rPr>
        <w:t xml:space="preserve">, от които с най-голям дял в данъчните приходи през последните години е данъка върху превозните средства – 34%, следван от данъка върху недвижимите имоти – 33% и данъка при придобиване на имущества по дарение и по възмезден начин – 29%. С нулев фискален ефект е данъка върху наследствата, което го прави „мъртъв“ приходоизточник. </w:t>
      </w:r>
    </w:p>
    <w:p w:rsidR="005A552B" w:rsidRPr="00B82D26" w:rsidRDefault="005A552B" w:rsidP="005A552B">
      <w:pPr>
        <w:pStyle w:val="ListParagraph"/>
        <w:numPr>
          <w:ilvl w:val="0"/>
          <w:numId w:val="3"/>
        </w:numPr>
        <w:tabs>
          <w:tab w:val="left" w:pos="851"/>
        </w:tabs>
        <w:spacing w:after="120" w:line="240" w:lineRule="auto"/>
        <w:ind w:left="0" w:firstLine="567"/>
        <w:jc w:val="both"/>
        <w:rPr>
          <w:rFonts w:ascii="Times New Roman" w:hAnsi="Times New Roman"/>
          <w:sz w:val="24"/>
          <w:szCs w:val="24"/>
        </w:rPr>
      </w:pPr>
      <w:r w:rsidRPr="00841904">
        <w:rPr>
          <w:rFonts w:ascii="Times New Roman" w:hAnsi="Times New Roman"/>
          <w:b/>
          <w:sz w:val="24"/>
          <w:szCs w:val="24"/>
        </w:rPr>
        <w:t>Преки данъци върху дейността</w:t>
      </w:r>
      <w:r w:rsidRPr="00B82D26">
        <w:rPr>
          <w:rFonts w:ascii="Times New Roman" w:hAnsi="Times New Roman"/>
          <w:sz w:val="24"/>
          <w:szCs w:val="24"/>
        </w:rPr>
        <w:t xml:space="preserve">, от които туристическия данък е с най-голям дял (с изключение на 2020 година) от данъчните приходи, следван от патентния данък и данъка върху таксиметровия превоз на пътници (който се отчита като патентен данък). </w:t>
      </w:r>
      <w:r>
        <w:rPr>
          <w:rFonts w:ascii="Times New Roman" w:hAnsi="Times New Roman"/>
          <w:sz w:val="24"/>
          <w:szCs w:val="24"/>
        </w:rPr>
        <w:t>Т</w:t>
      </w:r>
      <w:r w:rsidRPr="00B82D26">
        <w:rPr>
          <w:rFonts w:ascii="Times New Roman" w:hAnsi="Times New Roman"/>
          <w:sz w:val="24"/>
          <w:szCs w:val="24"/>
        </w:rPr>
        <w:t xml:space="preserve">ези резултати показват „скъсаната’’ връзка между общинските усилия за подобряване на възможностите за развитие на бизнеса и фискалния ефект върху бюджета на общината от подобрените условия. </w:t>
      </w:r>
    </w:p>
    <w:tbl>
      <w:tblPr>
        <w:tblStyle w:val="TableGrid"/>
        <w:tblW w:w="0" w:type="auto"/>
        <w:tblLook w:val="04A0" w:firstRow="1" w:lastRow="0" w:firstColumn="1" w:lastColumn="0" w:noHBand="0" w:noVBand="1"/>
      </w:tblPr>
      <w:tblGrid>
        <w:gridCol w:w="4731"/>
        <w:gridCol w:w="4731"/>
      </w:tblGrid>
      <w:tr w:rsidR="005A552B" w:rsidRPr="004865AB" w:rsidTr="00385E02">
        <w:trPr>
          <w:trHeight w:val="349"/>
        </w:trPr>
        <w:tc>
          <w:tcPr>
            <w:tcW w:w="4731" w:type="dxa"/>
            <w:hideMark/>
          </w:tcPr>
          <w:p w:rsidR="005A552B" w:rsidRDefault="005A552B" w:rsidP="00385E02">
            <w:pPr>
              <w:spacing w:after="0" w:line="240" w:lineRule="auto"/>
              <w:jc w:val="center"/>
              <w:rPr>
                <w:rFonts w:ascii="Times New Roman" w:eastAsia="Times New Roman" w:hAnsi="Times New Roman"/>
                <w:b/>
                <w:bCs/>
                <w:sz w:val="24"/>
                <w:szCs w:val="24"/>
                <w:lang w:eastAsia="bg-BG"/>
              </w:rPr>
            </w:pPr>
            <w:proofErr w:type="spellStart"/>
            <w:r w:rsidRPr="004865AB">
              <w:rPr>
                <w:rFonts w:ascii="Times New Roman" w:eastAsia="Times New Roman" w:hAnsi="Times New Roman"/>
                <w:b/>
                <w:bCs/>
                <w:sz w:val="24"/>
                <w:szCs w:val="24"/>
                <w:lang w:eastAsia="bg-BG"/>
              </w:rPr>
              <w:t>Преки</w:t>
            </w:r>
            <w:proofErr w:type="spellEnd"/>
            <w:r w:rsidRPr="004865AB">
              <w:rPr>
                <w:rFonts w:ascii="Times New Roman" w:eastAsia="Times New Roman" w:hAnsi="Times New Roman"/>
                <w:b/>
                <w:bCs/>
                <w:sz w:val="24"/>
                <w:szCs w:val="24"/>
                <w:lang w:eastAsia="bg-BG"/>
              </w:rPr>
              <w:t xml:space="preserve"> </w:t>
            </w:r>
            <w:proofErr w:type="spellStart"/>
            <w:r w:rsidRPr="004865AB">
              <w:rPr>
                <w:rFonts w:ascii="Times New Roman" w:eastAsia="Times New Roman" w:hAnsi="Times New Roman"/>
                <w:b/>
                <w:bCs/>
                <w:sz w:val="24"/>
                <w:szCs w:val="24"/>
                <w:lang w:eastAsia="bg-BG"/>
              </w:rPr>
              <w:t>имуществени</w:t>
            </w:r>
            <w:proofErr w:type="spellEnd"/>
            <w:r w:rsidRPr="004865AB">
              <w:rPr>
                <w:rFonts w:ascii="Times New Roman" w:eastAsia="Times New Roman" w:hAnsi="Times New Roman"/>
                <w:b/>
                <w:bCs/>
                <w:sz w:val="24"/>
                <w:szCs w:val="24"/>
                <w:lang w:eastAsia="bg-BG"/>
              </w:rPr>
              <w:t xml:space="preserve"> </w:t>
            </w:r>
            <w:proofErr w:type="spellStart"/>
            <w:r w:rsidRPr="004865AB">
              <w:rPr>
                <w:rFonts w:ascii="Times New Roman" w:eastAsia="Times New Roman" w:hAnsi="Times New Roman"/>
                <w:b/>
                <w:bCs/>
                <w:sz w:val="24"/>
                <w:szCs w:val="24"/>
                <w:lang w:eastAsia="bg-BG"/>
              </w:rPr>
              <w:t>данъци</w:t>
            </w:r>
            <w:proofErr w:type="spellEnd"/>
            <w:r>
              <w:rPr>
                <w:rFonts w:ascii="Times New Roman" w:eastAsia="Times New Roman" w:hAnsi="Times New Roman"/>
                <w:b/>
                <w:bCs/>
                <w:sz w:val="24"/>
                <w:szCs w:val="24"/>
                <w:lang w:eastAsia="bg-BG"/>
              </w:rPr>
              <w:t xml:space="preserve"> </w:t>
            </w:r>
          </w:p>
          <w:p w:rsidR="005A552B" w:rsidRPr="004865AB" w:rsidRDefault="005A552B" w:rsidP="00385E02">
            <w:pPr>
              <w:spacing w:after="0" w:line="240" w:lineRule="auto"/>
              <w:jc w:val="center"/>
              <w:rPr>
                <w:rFonts w:ascii="Times New Roman" w:eastAsia="Times New Roman" w:hAnsi="Times New Roman"/>
                <w:bCs/>
                <w:sz w:val="24"/>
                <w:szCs w:val="24"/>
                <w:lang w:eastAsia="bg-BG"/>
              </w:rPr>
            </w:pPr>
            <w:r w:rsidRPr="00C84D2F">
              <w:rPr>
                <w:rFonts w:ascii="Times New Roman" w:eastAsia="Times New Roman" w:hAnsi="Times New Roman"/>
                <w:bCs/>
                <w:sz w:val="24"/>
                <w:szCs w:val="24"/>
                <w:lang w:eastAsia="bg-BG"/>
              </w:rPr>
              <w:t>(</w:t>
            </w:r>
            <w:proofErr w:type="spellStart"/>
            <w:r w:rsidRPr="00C84D2F">
              <w:rPr>
                <w:rFonts w:ascii="Times New Roman" w:eastAsia="Times New Roman" w:hAnsi="Times New Roman"/>
                <w:bCs/>
                <w:sz w:val="24"/>
                <w:szCs w:val="24"/>
                <w:lang w:eastAsia="bg-BG"/>
              </w:rPr>
              <w:t>по</w:t>
            </w:r>
            <w:proofErr w:type="spellEnd"/>
            <w:r w:rsidRPr="00C84D2F">
              <w:rPr>
                <w:rFonts w:ascii="Times New Roman" w:eastAsia="Times New Roman" w:hAnsi="Times New Roman"/>
                <w:bCs/>
                <w:sz w:val="24"/>
                <w:szCs w:val="24"/>
                <w:lang w:eastAsia="bg-BG"/>
              </w:rPr>
              <w:t xml:space="preserve"> </w:t>
            </w:r>
            <w:proofErr w:type="spellStart"/>
            <w:r w:rsidRPr="00C84D2F">
              <w:rPr>
                <w:rFonts w:ascii="Times New Roman" w:eastAsia="Times New Roman" w:hAnsi="Times New Roman"/>
                <w:bCs/>
                <w:sz w:val="24"/>
                <w:szCs w:val="24"/>
                <w:lang w:eastAsia="bg-BG"/>
              </w:rPr>
              <w:t>отчет</w:t>
            </w:r>
            <w:proofErr w:type="spellEnd"/>
            <w:r w:rsidRPr="00C84D2F">
              <w:rPr>
                <w:rFonts w:ascii="Times New Roman" w:eastAsia="Times New Roman" w:hAnsi="Times New Roman"/>
                <w:bCs/>
                <w:sz w:val="24"/>
                <w:szCs w:val="24"/>
                <w:lang w:eastAsia="bg-BG"/>
              </w:rPr>
              <w:t xml:space="preserve"> </w:t>
            </w:r>
            <w:proofErr w:type="spellStart"/>
            <w:r w:rsidRPr="00C84D2F">
              <w:rPr>
                <w:rFonts w:ascii="Times New Roman" w:eastAsia="Times New Roman" w:hAnsi="Times New Roman"/>
                <w:bCs/>
                <w:sz w:val="24"/>
                <w:szCs w:val="24"/>
                <w:lang w:eastAsia="bg-BG"/>
              </w:rPr>
              <w:t>за</w:t>
            </w:r>
            <w:proofErr w:type="spellEnd"/>
            <w:r w:rsidRPr="00C84D2F">
              <w:rPr>
                <w:rFonts w:ascii="Times New Roman" w:eastAsia="Times New Roman" w:hAnsi="Times New Roman"/>
                <w:bCs/>
                <w:sz w:val="24"/>
                <w:szCs w:val="24"/>
                <w:lang w:eastAsia="bg-BG"/>
              </w:rPr>
              <w:t xml:space="preserve"> 2019 г.)</w:t>
            </w:r>
          </w:p>
        </w:tc>
        <w:tc>
          <w:tcPr>
            <w:tcW w:w="4731" w:type="dxa"/>
            <w:hideMark/>
          </w:tcPr>
          <w:p w:rsidR="005A552B" w:rsidRDefault="005A552B" w:rsidP="00385E02">
            <w:pPr>
              <w:spacing w:after="0" w:line="240" w:lineRule="auto"/>
              <w:jc w:val="center"/>
              <w:rPr>
                <w:rFonts w:ascii="Times New Roman" w:eastAsia="Times New Roman" w:hAnsi="Times New Roman"/>
                <w:b/>
                <w:bCs/>
                <w:sz w:val="24"/>
                <w:szCs w:val="24"/>
                <w:lang w:eastAsia="bg-BG"/>
              </w:rPr>
            </w:pPr>
            <w:proofErr w:type="spellStart"/>
            <w:r w:rsidRPr="004865AB">
              <w:rPr>
                <w:rFonts w:ascii="Times New Roman" w:eastAsia="Times New Roman" w:hAnsi="Times New Roman"/>
                <w:b/>
                <w:bCs/>
                <w:sz w:val="24"/>
                <w:szCs w:val="24"/>
                <w:lang w:eastAsia="bg-BG"/>
              </w:rPr>
              <w:t>Преки</w:t>
            </w:r>
            <w:proofErr w:type="spellEnd"/>
            <w:r w:rsidRPr="004865AB">
              <w:rPr>
                <w:rFonts w:ascii="Times New Roman" w:eastAsia="Times New Roman" w:hAnsi="Times New Roman"/>
                <w:b/>
                <w:bCs/>
                <w:sz w:val="24"/>
                <w:szCs w:val="24"/>
                <w:lang w:eastAsia="bg-BG"/>
              </w:rPr>
              <w:t xml:space="preserve"> </w:t>
            </w:r>
            <w:proofErr w:type="spellStart"/>
            <w:r w:rsidRPr="004865AB">
              <w:rPr>
                <w:rFonts w:ascii="Times New Roman" w:eastAsia="Times New Roman" w:hAnsi="Times New Roman"/>
                <w:b/>
                <w:bCs/>
                <w:sz w:val="24"/>
                <w:szCs w:val="24"/>
                <w:lang w:eastAsia="bg-BG"/>
              </w:rPr>
              <w:t>данъци</w:t>
            </w:r>
            <w:proofErr w:type="spellEnd"/>
            <w:r w:rsidRPr="004865AB">
              <w:rPr>
                <w:rFonts w:ascii="Times New Roman" w:eastAsia="Times New Roman" w:hAnsi="Times New Roman"/>
                <w:b/>
                <w:bCs/>
                <w:sz w:val="24"/>
                <w:szCs w:val="24"/>
                <w:lang w:eastAsia="bg-BG"/>
              </w:rPr>
              <w:t xml:space="preserve"> </w:t>
            </w:r>
            <w:proofErr w:type="spellStart"/>
            <w:r w:rsidRPr="004865AB">
              <w:rPr>
                <w:rFonts w:ascii="Times New Roman" w:eastAsia="Times New Roman" w:hAnsi="Times New Roman"/>
                <w:b/>
                <w:bCs/>
                <w:sz w:val="24"/>
                <w:szCs w:val="24"/>
                <w:lang w:eastAsia="bg-BG"/>
              </w:rPr>
              <w:t>върху</w:t>
            </w:r>
            <w:proofErr w:type="spellEnd"/>
            <w:r w:rsidRPr="004865AB">
              <w:rPr>
                <w:rFonts w:ascii="Times New Roman" w:eastAsia="Times New Roman" w:hAnsi="Times New Roman"/>
                <w:b/>
                <w:bCs/>
                <w:sz w:val="24"/>
                <w:szCs w:val="24"/>
                <w:lang w:eastAsia="bg-BG"/>
              </w:rPr>
              <w:t xml:space="preserve"> </w:t>
            </w:r>
            <w:proofErr w:type="spellStart"/>
            <w:r w:rsidRPr="004865AB">
              <w:rPr>
                <w:rFonts w:ascii="Times New Roman" w:eastAsia="Times New Roman" w:hAnsi="Times New Roman"/>
                <w:b/>
                <w:bCs/>
                <w:sz w:val="24"/>
                <w:szCs w:val="24"/>
                <w:lang w:eastAsia="bg-BG"/>
              </w:rPr>
              <w:t>дейността</w:t>
            </w:r>
            <w:proofErr w:type="spellEnd"/>
          </w:p>
          <w:p w:rsidR="005A552B" w:rsidRPr="004865AB" w:rsidRDefault="005A552B" w:rsidP="00385E02">
            <w:pPr>
              <w:spacing w:after="0" w:line="240" w:lineRule="auto"/>
              <w:jc w:val="center"/>
              <w:rPr>
                <w:rFonts w:ascii="Times New Roman" w:eastAsia="Times New Roman" w:hAnsi="Times New Roman"/>
                <w:bCs/>
                <w:sz w:val="24"/>
                <w:szCs w:val="24"/>
                <w:lang w:eastAsia="bg-BG"/>
              </w:rPr>
            </w:pPr>
            <w:r w:rsidRPr="00C84D2F">
              <w:rPr>
                <w:rFonts w:ascii="Times New Roman" w:eastAsia="Times New Roman" w:hAnsi="Times New Roman"/>
                <w:bCs/>
                <w:sz w:val="24"/>
                <w:szCs w:val="24"/>
                <w:lang w:eastAsia="bg-BG"/>
              </w:rPr>
              <w:t>(</w:t>
            </w:r>
            <w:proofErr w:type="spellStart"/>
            <w:r w:rsidRPr="00C84D2F">
              <w:rPr>
                <w:rFonts w:ascii="Times New Roman" w:eastAsia="Times New Roman" w:hAnsi="Times New Roman"/>
                <w:bCs/>
                <w:sz w:val="24"/>
                <w:szCs w:val="24"/>
                <w:lang w:eastAsia="bg-BG"/>
              </w:rPr>
              <w:t>по</w:t>
            </w:r>
            <w:proofErr w:type="spellEnd"/>
            <w:r w:rsidRPr="00C84D2F">
              <w:rPr>
                <w:rFonts w:ascii="Times New Roman" w:eastAsia="Times New Roman" w:hAnsi="Times New Roman"/>
                <w:bCs/>
                <w:sz w:val="24"/>
                <w:szCs w:val="24"/>
                <w:lang w:eastAsia="bg-BG"/>
              </w:rPr>
              <w:t xml:space="preserve"> </w:t>
            </w:r>
            <w:proofErr w:type="spellStart"/>
            <w:r w:rsidRPr="00C84D2F">
              <w:rPr>
                <w:rFonts w:ascii="Times New Roman" w:eastAsia="Times New Roman" w:hAnsi="Times New Roman"/>
                <w:bCs/>
                <w:sz w:val="24"/>
                <w:szCs w:val="24"/>
                <w:lang w:eastAsia="bg-BG"/>
              </w:rPr>
              <w:t>отчет</w:t>
            </w:r>
            <w:proofErr w:type="spellEnd"/>
            <w:r w:rsidRPr="00C84D2F">
              <w:rPr>
                <w:rFonts w:ascii="Times New Roman" w:eastAsia="Times New Roman" w:hAnsi="Times New Roman"/>
                <w:bCs/>
                <w:sz w:val="24"/>
                <w:szCs w:val="24"/>
                <w:lang w:eastAsia="bg-BG"/>
              </w:rPr>
              <w:t xml:space="preserve"> </w:t>
            </w:r>
            <w:proofErr w:type="spellStart"/>
            <w:r w:rsidRPr="00C84D2F">
              <w:rPr>
                <w:rFonts w:ascii="Times New Roman" w:eastAsia="Times New Roman" w:hAnsi="Times New Roman"/>
                <w:bCs/>
                <w:sz w:val="24"/>
                <w:szCs w:val="24"/>
                <w:lang w:eastAsia="bg-BG"/>
              </w:rPr>
              <w:t>за</w:t>
            </w:r>
            <w:proofErr w:type="spellEnd"/>
            <w:r w:rsidRPr="00C84D2F">
              <w:rPr>
                <w:rFonts w:ascii="Times New Roman" w:eastAsia="Times New Roman" w:hAnsi="Times New Roman"/>
                <w:bCs/>
                <w:sz w:val="24"/>
                <w:szCs w:val="24"/>
                <w:lang w:eastAsia="bg-BG"/>
              </w:rPr>
              <w:t xml:space="preserve"> 2019 г.)</w:t>
            </w:r>
          </w:p>
        </w:tc>
      </w:tr>
      <w:tr w:rsidR="005A552B" w:rsidTr="00385E02">
        <w:tc>
          <w:tcPr>
            <w:tcW w:w="4731" w:type="dxa"/>
          </w:tcPr>
          <w:p w:rsidR="005A552B" w:rsidRDefault="005A552B" w:rsidP="00385E02">
            <w:pPr>
              <w:spacing w:after="120" w:line="240" w:lineRule="auto"/>
              <w:ind w:firstLine="29"/>
              <w:jc w:val="both"/>
              <w:rPr>
                <w:rFonts w:ascii="Times New Roman" w:hAnsi="Times New Roman"/>
                <w:sz w:val="24"/>
                <w:szCs w:val="24"/>
              </w:rPr>
            </w:pPr>
            <w:proofErr w:type="spellStart"/>
            <w:r w:rsidRPr="004865AB">
              <w:rPr>
                <w:rFonts w:ascii="Times New Roman" w:hAnsi="Times New Roman"/>
                <w:sz w:val="24"/>
                <w:szCs w:val="24"/>
              </w:rPr>
              <w:t>Данък</w:t>
            </w:r>
            <w:proofErr w:type="spellEnd"/>
            <w:r w:rsidRPr="004865AB">
              <w:rPr>
                <w:rFonts w:ascii="Times New Roman" w:hAnsi="Times New Roman"/>
                <w:sz w:val="24"/>
                <w:szCs w:val="24"/>
              </w:rPr>
              <w:t xml:space="preserve"> </w:t>
            </w:r>
            <w:proofErr w:type="spellStart"/>
            <w:r w:rsidRPr="004865AB">
              <w:rPr>
                <w:rFonts w:ascii="Times New Roman" w:hAnsi="Times New Roman"/>
                <w:sz w:val="24"/>
                <w:szCs w:val="24"/>
              </w:rPr>
              <w:t>върху</w:t>
            </w:r>
            <w:proofErr w:type="spellEnd"/>
            <w:r w:rsidRPr="004865AB">
              <w:rPr>
                <w:rFonts w:ascii="Times New Roman" w:hAnsi="Times New Roman"/>
                <w:sz w:val="24"/>
                <w:szCs w:val="24"/>
              </w:rPr>
              <w:t xml:space="preserve"> </w:t>
            </w:r>
            <w:proofErr w:type="spellStart"/>
            <w:r w:rsidRPr="004865AB">
              <w:rPr>
                <w:rFonts w:ascii="Times New Roman" w:hAnsi="Times New Roman"/>
                <w:sz w:val="24"/>
                <w:szCs w:val="24"/>
              </w:rPr>
              <w:t>недвижимите</w:t>
            </w:r>
            <w:proofErr w:type="spellEnd"/>
            <w:r w:rsidRPr="004865AB">
              <w:rPr>
                <w:rFonts w:ascii="Times New Roman" w:hAnsi="Times New Roman"/>
                <w:sz w:val="24"/>
                <w:szCs w:val="24"/>
              </w:rPr>
              <w:t xml:space="preserve"> </w:t>
            </w:r>
            <w:proofErr w:type="spellStart"/>
            <w:r w:rsidRPr="004865AB">
              <w:rPr>
                <w:rFonts w:ascii="Times New Roman" w:hAnsi="Times New Roman"/>
                <w:sz w:val="24"/>
                <w:szCs w:val="24"/>
              </w:rPr>
              <w:t>имоти</w:t>
            </w:r>
            <w:proofErr w:type="spellEnd"/>
            <w:r w:rsidRPr="004865AB">
              <w:rPr>
                <w:rFonts w:ascii="Times New Roman" w:hAnsi="Times New Roman"/>
                <w:sz w:val="24"/>
                <w:szCs w:val="24"/>
              </w:rPr>
              <w:t xml:space="preserve"> (33% </w:t>
            </w:r>
            <w:proofErr w:type="spellStart"/>
            <w:r w:rsidRPr="004865AB">
              <w:rPr>
                <w:rFonts w:ascii="Times New Roman" w:hAnsi="Times New Roman"/>
                <w:sz w:val="24"/>
                <w:szCs w:val="24"/>
              </w:rPr>
              <w:t>от</w:t>
            </w:r>
            <w:proofErr w:type="spellEnd"/>
            <w:r w:rsidRPr="004865AB">
              <w:rPr>
                <w:rFonts w:ascii="Times New Roman" w:hAnsi="Times New Roman"/>
                <w:sz w:val="24"/>
                <w:szCs w:val="24"/>
              </w:rPr>
              <w:t xml:space="preserve"> </w:t>
            </w:r>
            <w:proofErr w:type="spellStart"/>
            <w:r w:rsidRPr="004865AB">
              <w:rPr>
                <w:rFonts w:ascii="Times New Roman" w:hAnsi="Times New Roman"/>
                <w:sz w:val="24"/>
                <w:szCs w:val="24"/>
              </w:rPr>
              <w:t>данъчните</w:t>
            </w:r>
            <w:proofErr w:type="spellEnd"/>
            <w:r w:rsidRPr="004865AB">
              <w:rPr>
                <w:rFonts w:ascii="Times New Roman" w:hAnsi="Times New Roman"/>
                <w:sz w:val="24"/>
                <w:szCs w:val="24"/>
              </w:rPr>
              <w:t xml:space="preserve"> </w:t>
            </w:r>
            <w:proofErr w:type="spellStart"/>
            <w:r w:rsidRPr="004865AB">
              <w:rPr>
                <w:rFonts w:ascii="Times New Roman" w:hAnsi="Times New Roman"/>
                <w:sz w:val="24"/>
                <w:szCs w:val="24"/>
              </w:rPr>
              <w:t>приходи</w:t>
            </w:r>
            <w:proofErr w:type="spellEnd"/>
            <w:r w:rsidRPr="004865AB">
              <w:rPr>
                <w:rFonts w:ascii="Times New Roman" w:hAnsi="Times New Roman"/>
                <w:sz w:val="24"/>
                <w:szCs w:val="24"/>
              </w:rPr>
              <w:t>)</w:t>
            </w:r>
          </w:p>
        </w:tc>
        <w:tc>
          <w:tcPr>
            <w:tcW w:w="4731" w:type="dxa"/>
          </w:tcPr>
          <w:p w:rsidR="005A552B" w:rsidRDefault="005A552B" w:rsidP="00385E02">
            <w:pPr>
              <w:spacing w:after="120" w:line="240" w:lineRule="auto"/>
              <w:jc w:val="both"/>
              <w:rPr>
                <w:rFonts w:ascii="Times New Roman" w:hAnsi="Times New Roman"/>
                <w:sz w:val="24"/>
                <w:szCs w:val="24"/>
              </w:rPr>
            </w:pPr>
            <w:proofErr w:type="spellStart"/>
            <w:r w:rsidRPr="00C84D2F">
              <w:rPr>
                <w:rFonts w:ascii="Times New Roman" w:hAnsi="Times New Roman"/>
                <w:sz w:val="24"/>
                <w:szCs w:val="24"/>
              </w:rPr>
              <w:t>Окончате</w:t>
            </w:r>
            <w:r>
              <w:rPr>
                <w:rFonts w:ascii="Times New Roman" w:hAnsi="Times New Roman"/>
                <w:sz w:val="24"/>
                <w:szCs w:val="24"/>
              </w:rPr>
              <w:t>лен</w:t>
            </w:r>
            <w:proofErr w:type="spellEnd"/>
            <w:r>
              <w:rPr>
                <w:rFonts w:ascii="Times New Roman" w:hAnsi="Times New Roman"/>
                <w:sz w:val="24"/>
                <w:szCs w:val="24"/>
              </w:rPr>
              <w:t xml:space="preserve"> </w:t>
            </w:r>
            <w:proofErr w:type="spellStart"/>
            <w:r>
              <w:rPr>
                <w:rFonts w:ascii="Times New Roman" w:hAnsi="Times New Roman"/>
                <w:sz w:val="24"/>
                <w:szCs w:val="24"/>
              </w:rPr>
              <w:t>годишен</w:t>
            </w:r>
            <w:proofErr w:type="spellEnd"/>
            <w:r>
              <w:rPr>
                <w:rFonts w:ascii="Times New Roman" w:hAnsi="Times New Roman"/>
                <w:sz w:val="24"/>
                <w:szCs w:val="24"/>
              </w:rPr>
              <w:t xml:space="preserve"> </w:t>
            </w:r>
            <w:proofErr w:type="spellStart"/>
            <w:r>
              <w:rPr>
                <w:rFonts w:ascii="Times New Roman" w:hAnsi="Times New Roman"/>
                <w:sz w:val="24"/>
                <w:szCs w:val="24"/>
              </w:rPr>
              <w:t>данък</w:t>
            </w:r>
            <w:proofErr w:type="spellEnd"/>
            <w:r>
              <w:rPr>
                <w:rFonts w:ascii="Times New Roman" w:hAnsi="Times New Roman"/>
                <w:sz w:val="24"/>
                <w:szCs w:val="24"/>
              </w:rPr>
              <w:t xml:space="preserve"> (</w:t>
            </w:r>
            <w:proofErr w:type="spellStart"/>
            <w:r>
              <w:rPr>
                <w:rFonts w:ascii="Times New Roman" w:hAnsi="Times New Roman"/>
                <w:sz w:val="24"/>
                <w:szCs w:val="24"/>
              </w:rPr>
              <w:t>патент</w:t>
            </w:r>
            <w:proofErr w:type="spellEnd"/>
            <w:r>
              <w:rPr>
                <w:rFonts w:ascii="Times New Roman" w:hAnsi="Times New Roman"/>
                <w:sz w:val="24"/>
                <w:szCs w:val="24"/>
              </w:rPr>
              <w:t>) (1%)</w:t>
            </w:r>
          </w:p>
        </w:tc>
      </w:tr>
      <w:tr w:rsidR="005A552B" w:rsidTr="00385E02">
        <w:tc>
          <w:tcPr>
            <w:tcW w:w="4731" w:type="dxa"/>
          </w:tcPr>
          <w:p w:rsidR="005A552B" w:rsidRDefault="005A552B" w:rsidP="00385E02">
            <w:pPr>
              <w:spacing w:after="120" w:line="240" w:lineRule="auto"/>
              <w:jc w:val="both"/>
              <w:rPr>
                <w:rFonts w:ascii="Times New Roman" w:hAnsi="Times New Roman"/>
                <w:sz w:val="24"/>
                <w:szCs w:val="24"/>
              </w:rPr>
            </w:pPr>
            <w:proofErr w:type="spellStart"/>
            <w:r w:rsidRPr="004865AB">
              <w:rPr>
                <w:rFonts w:ascii="Times New Roman" w:hAnsi="Times New Roman"/>
                <w:sz w:val="24"/>
                <w:szCs w:val="24"/>
              </w:rPr>
              <w:t>Данък</w:t>
            </w:r>
            <w:proofErr w:type="spellEnd"/>
            <w:r w:rsidRPr="004865AB">
              <w:rPr>
                <w:rFonts w:ascii="Times New Roman" w:hAnsi="Times New Roman"/>
                <w:sz w:val="24"/>
                <w:szCs w:val="24"/>
              </w:rPr>
              <w:t xml:space="preserve"> </w:t>
            </w:r>
            <w:proofErr w:type="spellStart"/>
            <w:r w:rsidRPr="004865AB">
              <w:rPr>
                <w:rFonts w:ascii="Times New Roman" w:hAnsi="Times New Roman"/>
                <w:sz w:val="24"/>
                <w:szCs w:val="24"/>
              </w:rPr>
              <w:t>върху</w:t>
            </w:r>
            <w:proofErr w:type="spellEnd"/>
            <w:r w:rsidRPr="004865AB">
              <w:rPr>
                <w:rFonts w:ascii="Times New Roman" w:hAnsi="Times New Roman"/>
                <w:sz w:val="24"/>
                <w:szCs w:val="24"/>
              </w:rPr>
              <w:t xml:space="preserve"> </w:t>
            </w:r>
            <w:proofErr w:type="spellStart"/>
            <w:r w:rsidRPr="004865AB">
              <w:rPr>
                <w:rFonts w:ascii="Times New Roman" w:hAnsi="Times New Roman"/>
                <w:sz w:val="24"/>
                <w:szCs w:val="24"/>
              </w:rPr>
              <w:t>превозните</w:t>
            </w:r>
            <w:proofErr w:type="spellEnd"/>
            <w:r w:rsidRPr="004865AB">
              <w:rPr>
                <w:rFonts w:ascii="Times New Roman" w:hAnsi="Times New Roman"/>
                <w:sz w:val="24"/>
                <w:szCs w:val="24"/>
              </w:rPr>
              <w:t xml:space="preserve"> </w:t>
            </w:r>
            <w:proofErr w:type="spellStart"/>
            <w:r w:rsidRPr="004865AB">
              <w:rPr>
                <w:rFonts w:ascii="Times New Roman" w:hAnsi="Times New Roman"/>
                <w:sz w:val="24"/>
                <w:szCs w:val="24"/>
              </w:rPr>
              <w:t>средства</w:t>
            </w:r>
            <w:proofErr w:type="spellEnd"/>
            <w:r w:rsidRPr="004865AB">
              <w:rPr>
                <w:rFonts w:ascii="Times New Roman" w:hAnsi="Times New Roman"/>
                <w:sz w:val="24"/>
                <w:szCs w:val="24"/>
              </w:rPr>
              <w:t xml:space="preserve"> (34%)</w:t>
            </w:r>
          </w:p>
        </w:tc>
        <w:tc>
          <w:tcPr>
            <w:tcW w:w="4731" w:type="dxa"/>
          </w:tcPr>
          <w:p w:rsidR="005A552B" w:rsidRDefault="005A552B" w:rsidP="00385E02">
            <w:pPr>
              <w:spacing w:after="120" w:line="240" w:lineRule="auto"/>
              <w:jc w:val="both"/>
              <w:rPr>
                <w:rFonts w:ascii="Times New Roman" w:hAnsi="Times New Roman"/>
                <w:sz w:val="24"/>
                <w:szCs w:val="24"/>
              </w:rPr>
            </w:pPr>
            <w:proofErr w:type="spellStart"/>
            <w:r w:rsidRPr="00C84D2F">
              <w:rPr>
                <w:rFonts w:ascii="Times New Roman" w:hAnsi="Times New Roman"/>
                <w:sz w:val="24"/>
                <w:szCs w:val="24"/>
              </w:rPr>
              <w:t>Данък</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върху</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таксиметров</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превоз</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на</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пътници</w:t>
            </w:r>
            <w:proofErr w:type="spellEnd"/>
            <w:r w:rsidRPr="00C84D2F">
              <w:rPr>
                <w:rFonts w:ascii="Times New Roman" w:hAnsi="Times New Roman"/>
                <w:sz w:val="24"/>
                <w:szCs w:val="24"/>
              </w:rPr>
              <w:t xml:space="preserve"> (1%)</w:t>
            </w:r>
          </w:p>
        </w:tc>
      </w:tr>
      <w:tr w:rsidR="005A552B" w:rsidTr="00385E02">
        <w:tc>
          <w:tcPr>
            <w:tcW w:w="4731" w:type="dxa"/>
          </w:tcPr>
          <w:p w:rsidR="005A552B" w:rsidRDefault="005A552B" w:rsidP="00385E02">
            <w:pPr>
              <w:spacing w:after="120" w:line="240" w:lineRule="auto"/>
              <w:jc w:val="both"/>
              <w:rPr>
                <w:rFonts w:ascii="Times New Roman" w:hAnsi="Times New Roman"/>
                <w:sz w:val="24"/>
                <w:szCs w:val="24"/>
              </w:rPr>
            </w:pPr>
            <w:proofErr w:type="spellStart"/>
            <w:r w:rsidRPr="00C84D2F">
              <w:rPr>
                <w:rFonts w:ascii="Times New Roman" w:hAnsi="Times New Roman"/>
                <w:sz w:val="24"/>
                <w:szCs w:val="24"/>
              </w:rPr>
              <w:t>Данък</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при</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придобиване</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на</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имущества</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по</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дарение</w:t>
            </w:r>
            <w:proofErr w:type="spellEnd"/>
            <w:r w:rsidRPr="00C84D2F">
              <w:rPr>
                <w:rFonts w:ascii="Times New Roman" w:hAnsi="Times New Roman"/>
                <w:sz w:val="24"/>
                <w:szCs w:val="24"/>
              </w:rPr>
              <w:t xml:space="preserve"> и </w:t>
            </w:r>
            <w:proofErr w:type="spellStart"/>
            <w:r w:rsidRPr="00C84D2F">
              <w:rPr>
                <w:rFonts w:ascii="Times New Roman" w:hAnsi="Times New Roman"/>
                <w:sz w:val="24"/>
                <w:szCs w:val="24"/>
              </w:rPr>
              <w:t>по</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възмезден</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начин</w:t>
            </w:r>
            <w:proofErr w:type="spellEnd"/>
            <w:r w:rsidRPr="00C84D2F">
              <w:rPr>
                <w:rFonts w:ascii="Times New Roman" w:hAnsi="Times New Roman"/>
                <w:sz w:val="24"/>
                <w:szCs w:val="24"/>
              </w:rPr>
              <w:t xml:space="preserve"> (29%)</w:t>
            </w:r>
          </w:p>
        </w:tc>
        <w:tc>
          <w:tcPr>
            <w:tcW w:w="4731" w:type="dxa"/>
          </w:tcPr>
          <w:p w:rsidR="005A552B" w:rsidRDefault="005A552B" w:rsidP="00385E02">
            <w:pPr>
              <w:spacing w:after="120" w:line="240" w:lineRule="auto"/>
              <w:jc w:val="both"/>
              <w:rPr>
                <w:rFonts w:ascii="Times New Roman" w:hAnsi="Times New Roman"/>
                <w:sz w:val="24"/>
                <w:szCs w:val="24"/>
              </w:rPr>
            </w:pPr>
            <w:proofErr w:type="spellStart"/>
            <w:r w:rsidRPr="00C84D2F">
              <w:rPr>
                <w:rFonts w:ascii="Times New Roman" w:hAnsi="Times New Roman"/>
                <w:sz w:val="24"/>
                <w:szCs w:val="24"/>
              </w:rPr>
              <w:t>Туристически</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данък</w:t>
            </w:r>
            <w:proofErr w:type="spellEnd"/>
            <w:r w:rsidRPr="00C84D2F">
              <w:rPr>
                <w:rFonts w:ascii="Times New Roman" w:hAnsi="Times New Roman"/>
                <w:sz w:val="24"/>
                <w:szCs w:val="24"/>
              </w:rPr>
              <w:t xml:space="preserve"> (2%)</w:t>
            </w:r>
          </w:p>
        </w:tc>
      </w:tr>
      <w:tr w:rsidR="005A552B" w:rsidTr="00385E02">
        <w:tc>
          <w:tcPr>
            <w:tcW w:w="4731" w:type="dxa"/>
          </w:tcPr>
          <w:p w:rsidR="005A552B" w:rsidRPr="00C84D2F" w:rsidRDefault="005A552B" w:rsidP="00385E02">
            <w:pPr>
              <w:spacing w:after="120" w:line="240" w:lineRule="auto"/>
              <w:jc w:val="both"/>
              <w:rPr>
                <w:rFonts w:ascii="Times New Roman" w:hAnsi="Times New Roman"/>
                <w:sz w:val="24"/>
                <w:szCs w:val="24"/>
              </w:rPr>
            </w:pPr>
            <w:proofErr w:type="spellStart"/>
            <w:r w:rsidRPr="00C84D2F">
              <w:rPr>
                <w:rFonts w:ascii="Times New Roman" w:hAnsi="Times New Roman"/>
                <w:sz w:val="24"/>
                <w:szCs w:val="24"/>
              </w:rPr>
              <w:t>Данък</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върху</w:t>
            </w:r>
            <w:proofErr w:type="spellEnd"/>
            <w:r w:rsidRPr="00C84D2F">
              <w:rPr>
                <w:rFonts w:ascii="Times New Roman" w:hAnsi="Times New Roman"/>
                <w:sz w:val="24"/>
                <w:szCs w:val="24"/>
              </w:rPr>
              <w:t xml:space="preserve"> </w:t>
            </w:r>
            <w:proofErr w:type="spellStart"/>
            <w:r w:rsidRPr="00C84D2F">
              <w:rPr>
                <w:rFonts w:ascii="Times New Roman" w:hAnsi="Times New Roman"/>
                <w:sz w:val="24"/>
                <w:szCs w:val="24"/>
              </w:rPr>
              <w:t>наследствата</w:t>
            </w:r>
            <w:proofErr w:type="spellEnd"/>
            <w:r w:rsidRPr="00C84D2F">
              <w:rPr>
                <w:rFonts w:ascii="Times New Roman" w:hAnsi="Times New Roman"/>
                <w:sz w:val="24"/>
                <w:szCs w:val="24"/>
              </w:rPr>
              <w:t xml:space="preserve"> (0%)</w:t>
            </w:r>
          </w:p>
        </w:tc>
        <w:tc>
          <w:tcPr>
            <w:tcW w:w="4731" w:type="dxa"/>
          </w:tcPr>
          <w:p w:rsidR="005A552B" w:rsidRDefault="005A552B" w:rsidP="00385E02">
            <w:pPr>
              <w:spacing w:after="120" w:line="240" w:lineRule="auto"/>
              <w:jc w:val="both"/>
              <w:rPr>
                <w:rFonts w:ascii="Times New Roman" w:hAnsi="Times New Roman"/>
                <w:sz w:val="24"/>
                <w:szCs w:val="24"/>
              </w:rPr>
            </w:pPr>
          </w:p>
        </w:tc>
      </w:tr>
    </w:tbl>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П</w:t>
      </w:r>
      <w:r w:rsidRPr="00B82D26">
        <w:rPr>
          <w:rFonts w:ascii="Times New Roman" w:hAnsi="Times New Roman"/>
          <w:sz w:val="24"/>
          <w:szCs w:val="24"/>
        </w:rPr>
        <w:t>ри планиране на приходите от местни данъци в общинския бюджет, е необходимо да се отчете влиянието на останалите за събиране недобори от минали години, като се вземе предвид резултата от приложените мерки за тяхното събиране в предходната година.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 xml:space="preserve">Също така е необходимо да бъдат изключени от прогнозата несъбираемите или трудно събираеми данъци на предприятия поради несъстоятелност, липса на ликвидни активи и други обективни причини или на граждани, които не са на територията на страната. </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Необходимо е д</w:t>
      </w:r>
      <w:r w:rsidRPr="00B82D26">
        <w:rPr>
          <w:rFonts w:ascii="Times New Roman" w:hAnsi="Times New Roman"/>
          <w:sz w:val="24"/>
          <w:szCs w:val="24"/>
        </w:rPr>
        <w:t>а се подчертае, че проверката на актуалността на информацията в подадените декларации трябва да е постоянна и през цялата година, за да има резултати.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 xml:space="preserve">Да </w:t>
      </w:r>
      <w:r w:rsidRPr="00B82D26">
        <w:rPr>
          <w:rFonts w:ascii="Times New Roman" w:hAnsi="Times New Roman"/>
          <w:sz w:val="24"/>
          <w:szCs w:val="24"/>
        </w:rPr>
        <w:t xml:space="preserve"> напомни</w:t>
      </w:r>
      <w:r>
        <w:rPr>
          <w:rFonts w:ascii="Times New Roman" w:hAnsi="Times New Roman"/>
          <w:sz w:val="24"/>
          <w:szCs w:val="24"/>
        </w:rPr>
        <w:t>м</w:t>
      </w:r>
      <w:r w:rsidRPr="00B82D26">
        <w:rPr>
          <w:rFonts w:ascii="Times New Roman" w:hAnsi="Times New Roman"/>
          <w:sz w:val="24"/>
          <w:szCs w:val="24"/>
        </w:rPr>
        <w:t>, че наказателните лихви за просрочия на дължимите публични вземания (местни данъци и такса за битови отпадъци) се внасят по съответните кодове за видове плащания на съответното публично вземане, но се отчитат в друг параграф от Единната бюджетна класификация – 28-02 глоби, санкции, неустойки, наказателни лихви, обезщетения и начети.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Необходимо е да продължи</w:t>
      </w:r>
      <w:r w:rsidRPr="00B82D26">
        <w:rPr>
          <w:rFonts w:ascii="Times New Roman" w:hAnsi="Times New Roman"/>
          <w:sz w:val="24"/>
          <w:szCs w:val="24"/>
        </w:rPr>
        <w:t xml:space="preserve"> съвместяването на програмните продукти, обслужващи местните данъци и такса битови отпадъци, за да се развива електронно приемане на декларации съгласно изискването на чл.3 от ЗМДТ и изпълнението на ангажимента на общинските приходни звена за предоставяне на ежедневна информация по електронен път на МФ. Това ще способства за повишаване на събираемостта и ще осигури по-високо качество на </w:t>
      </w:r>
    </w:p>
    <w:p w:rsidR="005A552B" w:rsidRPr="008006A8" w:rsidRDefault="005A552B" w:rsidP="005A552B">
      <w:pPr>
        <w:spacing w:after="120" w:line="240" w:lineRule="auto"/>
        <w:jc w:val="both"/>
        <w:rPr>
          <w:rFonts w:ascii="Times New Roman" w:hAnsi="Times New Roman"/>
          <w:b/>
          <w:sz w:val="24"/>
          <w:szCs w:val="24"/>
        </w:rPr>
      </w:pPr>
      <w:r w:rsidRPr="008006A8">
        <w:rPr>
          <w:rFonts w:ascii="Times New Roman" w:hAnsi="Times New Roman"/>
          <w:b/>
          <w:sz w:val="24"/>
          <w:szCs w:val="24"/>
        </w:rPr>
        <w:t>Практически насоки за анализ на събираемостта.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До тук на няколко пъти говорим за повишаване на събираемостта, но как практически можем да правим анализ и да следим как постъпленията от местни данъци се отразяват на събираемостта и увеличават ли се просрочените вземания. За целта можем да използваме данни от ежедневния обмен с МФ и да създадем своя база с данни, които да ни служат за периодично наблюдение на следните показатели: </w:t>
      </w:r>
    </w:p>
    <w:p w:rsidR="005A552B" w:rsidRPr="008D10C5" w:rsidRDefault="005A552B" w:rsidP="005A552B">
      <w:pPr>
        <w:pStyle w:val="ListParagraph"/>
        <w:numPr>
          <w:ilvl w:val="0"/>
          <w:numId w:val="7"/>
        </w:numPr>
        <w:tabs>
          <w:tab w:val="left" w:pos="851"/>
        </w:tabs>
        <w:spacing w:after="120" w:line="240" w:lineRule="auto"/>
        <w:ind w:left="0" w:firstLine="567"/>
        <w:jc w:val="both"/>
        <w:rPr>
          <w:rFonts w:ascii="Times New Roman" w:hAnsi="Times New Roman"/>
          <w:sz w:val="24"/>
          <w:szCs w:val="24"/>
        </w:rPr>
      </w:pPr>
      <w:r w:rsidRPr="008D10C5">
        <w:rPr>
          <w:rFonts w:ascii="Times New Roman" w:hAnsi="Times New Roman"/>
          <w:sz w:val="24"/>
          <w:szCs w:val="24"/>
        </w:rPr>
        <w:t>Облог (за данък върху недвижимите имоти и върху превозните средства) е сбора на годишното данъчно задължение на всички данъчно задължени лица за всички имоти/превозни средства на територията на съответната община. Размера на облога е динамична величина, т.е. променя се с ново декларирани имоти/превозни средства или с отписването им. За целите на анализа може да се фиксира размера на облога към определена дата, например 31.12. за предходната година, когато правим анализ и да сравняваме размера на облога текущо през годината с тази величина.</w:t>
      </w:r>
    </w:p>
    <w:p w:rsidR="005A552B" w:rsidRPr="008D10C5" w:rsidRDefault="005A552B" w:rsidP="005A552B">
      <w:pPr>
        <w:pStyle w:val="ListParagraph"/>
        <w:numPr>
          <w:ilvl w:val="0"/>
          <w:numId w:val="7"/>
        </w:numPr>
        <w:tabs>
          <w:tab w:val="left" w:pos="851"/>
        </w:tabs>
        <w:spacing w:after="120" w:line="240" w:lineRule="auto"/>
        <w:ind w:left="0" w:firstLine="567"/>
        <w:jc w:val="both"/>
        <w:rPr>
          <w:rFonts w:ascii="Times New Roman" w:hAnsi="Times New Roman"/>
          <w:sz w:val="24"/>
          <w:szCs w:val="24"/>
        </w:rPr>
      </w:pPr>
      <w:r w:rsidRPr="008D10C5">
        <w:rPr>
          <w:rFonts w:ascii="Times New Roman" w:hAnsi="Times New Roman"/>
          <w:sz w:val="24"/>
          <w:szCs w:val="24"/>
        </w:rPr>
        <w:t>Събираемостта на годишния облог (%), изчислява се като отношение на събраните средства към годишния облог. За проследяване на тенденциите може да се направи и сравнителен анализ на събираемостта в сравнение с предходни периоди – 3,4 години;</w:t>
      </w:r>
    </w:p>
    <w:p w:rsidR="005A552B" w:rsidRPr="008D10C5" w:rsidRDefault="005A552B" w:rsidP="005A552B">
      <w:pPr>
        <w:pStyle w:val="ListParagraph"/>
        <w:numPr>
          <w:ilvl w:val="0"/>
          <w:numId w:val="7"/>
        </w:numPr>
        <w:tabs>
          <w:tab w:val="left" w:pos="851"/>
        </w:tabs>
        <w:spacing w:after="120" w:line="240" w:lineRule="auto"/>
        <w:ind w:left="0" w:firstLine="567"/>
        <w:jc w:val="both"/>
        <w:rPr>
          <w:rFonts w:ascii="Times New Roman" w:hAnsi="Times New Roman"/>
          <w:sz w:val="24"/>
          <w:szCs w:val="24"/>
        </w:rPr>
      </w:pPr>
      <w:r w:rsidRPr="008D10C5">
        <w:rPr>
          <w:rFonts w:ascii="Times New Roman" w:hAnsi="Times New Roman"/>
          <w:sz w:val="24"/>
          <w:szCs w:val="24"/>
        </w:rPr>
        <w:t>Събираемостта на недоборите. Недоборите са неплатените годишни данъци за предходни години. Събираемостта им се изчислява като отношение на събраните средства от недобори към общия размер на недоборите, фиксиран към определена дата;</w:t>
      </w:r>
    </w:p>
    <w:p w:rsidR="005A552B" w:rsidRPr="008D10C5" w:rsidRDefault="005A552B" w:rsidP="005A552B">
      <w:pPr>
        <w:pStyle w:val="ListParagraph"/>
        <w:numPr>
          <w:ilvl w:val="0"/>
          <w:numId w:val="7"/>
        </w:numPr>
        <w:tabs>
          <w:tab w:val="left" w:pos="851"/>
        </w:tabs>
        <w:spacing w:after="120" w:line="240" w:lineRule="auto"/>
        <w:ind w:left="0" w:firstLine="567"/>
        <w:jc w:val="both"/>
        <w:rPr>
          <w:rFonts w:ascii="Times New Roman" w:hAnsi="Times New Roman"/>
          <w:sz w:val="24"/>
          <w:szCs w:val="24"/>
        </w:rPr>
      </w:pPr>
      <w:r w:rsidRPr="008D10C5">
        <w:rPr>
          <w:rFonts w:ascii="Times New Roman" w:hAnsi="Times New Roman"/>
          <w:sz w:val="24"/>
          <w:szCs w:val="24"/>
        </w:rPr>
        <w:t xml:space="preserve">Ръст на годишния облог за периода. Ръст на годишния облог се получава от </w:t>
      </w:r>
      <w:proofErr w:type="spellStart"/>
      <w:r w:rsidRPr="008D10C5">
        <w:rPr>
          <w:rFonts w:ascii="Times New Roman" w:hAnsi="Times New Roman"/>
          <w:sz w:val="24"/>
          <w:szCs w:val="24"/>
        </w:rPr>
        <w:t>новодекларирани</w:t>
      </w:r>
      <w:proofErr w:type="spellEnd"/>
      <w:r w:rsidRPr="008D10C5">
        <w:rPr>
          <w:rFonts w:ascii="Times New Roman" w:hAnsi="Times New Roman"/>
          <w:sz w:val="24"/>
          <w:szCs w:val="24"/>
        </w:rPr>
        <w:t xml:space="preserve"> имущества или от увеличение на данъчната ставка;</w:t>
      </w:r>
    </w:p>
    <w:p w:rsidR="005A552B" w:rsidRPr="008D10C5" w:rsidRDefault="005A552B" w:rsidP="005A552B">
      <w:pPr>
        <w:pStyle w:val="ListParagraph"/>
        <w:numPr>
          <w:ilvl w:val="0"/>
          <w:numId w:val="7"/>
        </w:numPr>
        <w:tabs>
          <w:tab w:val="left" w:pos="851"/>
        </w:tabs>
        <w:spacing w:after="120" w:line="240" w:lineRule="auto"/>
        <w:ind w:left="0" w:firstLine="567"/>
        <w:jc w:val="both"/>
        <w:rPr>
          <w:rFonts w:ascii="Times New Roman" w:hAnsi="Times New Roman"/>
          <w:sz w:val="24"/>
          <w:szCs w:val="24"/>
        </w:rPr>
      </w:pPr>
      <w:r w:rsidRPr="008D10C5">
        <w:rPr>
          <w:rFonts w:ascii="Times New Roman" w:hAnsi="Times New Roman"/>
          <w:sz w:val="24"/>
          <w:szCs w:val="24"/>
        </w:rPr>
        <w:t>Погасителна давност.</w:t>
      </w:r>
    </w:p>
    <w:p w:rsidR="005A552B" w:rsidRPr="008D10C5" w:rsidRDefault="005A552B" w:rsidP="005A552B">
      <w:pPr>
        <w:pStyle w:val="ListParagraph"/>
        <w:numPr>
          <w:ilvl w:val="0"/>
          <w:numId w:val="7"/>
        </w:numPr>
        <w:tabs>
          <w:tab w:val="left" w:pos="851"/>
        </w:tabs>
        <w:spacing w:after="120" w:line="240" w:lineRule="auto"/>
        <w:ind w:left="0" w:firstLine="567"/>
        <w:jc w:val="both"/>
        <w:rPr>
          <w:rFonts w:ascii="Times New Roman" w:hAnsi="Times New Roman"/>
          <w:sz w:val="24"/>
          <w:szCs w:val="24"/>
        </w:rPr>
      </w:pPr>
      <w:r w:rsidRPr="008D10C5">
        <w:rPr>
          <w:rFonts w:ascii="Times New Roman" w:hAnsi="Times New Roman"/>
          <w:sz w:val="24"/>
          <w:szCs w:val="24"/>
        </w:rPr>
        <w:t>Така създадената база с данни ще ни послужи и за сравнителен анализ за раста/намалението на показателите, които сме избрали да следим.</w:t>
      </w:r>
    </w:p>
    <w:p w:rsidR="005A552B" w:rsidRPr="008D10C5" w:rsidRDefault="005A552B" w:rsidP="005A552B">
      <w:pPr>
        <w:spacing w:after="120" w:line="240" w:lineRule="auto"/>
        <w:jc w:val="both"/>
        <w:rPr>
          <w:rFonts w:ascii="Times New Roman" w:hAnsi="Times New Roman"/>
          <w:b/>
          <w:sz w:val="24"/>
          <w:szCs w:val="24"/>
        </w:rPr>
      </w:pPr>
      <w:r w:rsidRPr="008D10C5">
        <w:rPr>
          <w:rFonts w:ascii="Times New Roman" w:hAnsi="Times New Roman"/>
          <w:b/>
          <w:sz w:val="24"/>
          <w:szCs w:val="24"/>
        </w:rPr>
        <w:t>Мерки за повишаване на събираемостта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Една от най-често прилаганите мерки е своевременната обработка на предоставената по електронен път информация от други регистри – КАТ, Агенция по вписванията. Тя е основополагаща за недопускането на пропуснати данъци.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Необходимо е всяка община да се стреми към подобряване хоризонталния контрол чрез електронен обмен на информация за издадените разрешения за строеж и въвеждане в експлоатация на новопостроени и преустроени сгради и/или части от тях и др.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Създаване на различни възможности за уведомяване на данъчнозадължените лица за годишния размер на задълженията му и сроковете за плащане – писма, е-фактура, др.</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Създаване на различни възможности за заплащане на местните приходи – електронни разплащания, пощи, касите на електронни оператори и др.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Популяризиране на новите възможности за плащане</w:t>
      </w:r>
      <w:r>
        <w:rPr>
          <w:rFonts w:ascii="Times New Roman" w:hAnsi="Times New Roman"/>
          <w:sz w:val="24"/>
          <w:szCs w:val="24"/>
        </w:rPr>
        <w:t>.</w:t>
      </w:r>
      <w:r w:rsidRPr="00B82D26">
        <w:rPr>
          <w:rFonts w:ascii="Times New Roman" w:hAnsi="Times New Roman"/>
          <w:sz w:val="24"/>
          <w:szCs w:val="24"/>
        </w:rPr>
        <w:t xml:space="preserve"> </w:t>
      </w:r>
      <w:r>
        <w:rPr>
          <w:rFonts w:ascii="Times New Roman" w:hAnsi="Times New Roman"/>
          <w:sz w:val="24"/>
          <w:szCs w:val="24"/>
        </w:rPr>
        <w:t>В</w:t>
      </w:r>
      <w:r w:rsidRPr="00B82D26">
        <w:rPr>
          <w:rFonts w:ascii="Times New Roman" w:hAnsi="Times New Roman"/>
          <w:sz w:val="24"/>
          <w:szCs w:val="24"/>
        </w:rPr>
        <w:t>ажно</w:t>
      </w:r>
      <w:r>
        <w:rPr>
          <w:rFonts w:ascii="Times New Roman" w:hAnsi="Times New Roman"/>
          <w:sz w:val="24"/>
          <w:szCs w:val="24"/>
        </w:rPr>
        <w:t xml:space="preserve"> е</w:t>
      </w:r>
      <w:r w:rsidRPr="00B82D26">
        <w:rPr>
          <w:rFonts w:ascii="Times New Roman" w:hAnsi="Times New Roman"/>
          <w:sz w:val="24"/>
          <w:szCs w:val="24"/>
        </w:rPr>
        <w:t xml:space="preserve"> гражданите да бъдат уведомени, т.е. да знаят различните канали за плащане, а не да се редят на касите на общинска администрация.</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Редовни проверки и установяване на декларираното по декларации;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Изнесени данъчни каси в малките населени места – постоянни или в кампания;</w:t>
      </w:r>
    </w:p>
    <w:p w:rsidR="005A552B"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Съдебни изпълнители –трябва да </w:t>
      </w:r>
      <w:r>
        <w:rPr>
          <w:rFonts w:ascii="Times New Roman" w:hAnsi="Times New Roman"/>
          <w:sz w:val="24"/>
          <w:szCs w:val="24"/>
        </w:rPr>
        <w:t xml:space="preserve">се </w:t>
      </w:r>
      <w:r w:rsidRPr="00B82D26">
        <w:rPr>
          <w:rFonts w:ascii="Times New Roman" w:hAnsi="Times New Roman"/>
          <w:sz w:val="24"/>
          <w:szCs w:val="24"/>
        </w:rPr>
        <w:t>подчертае, че това е твърде крайна мярка, но е много популярна и се прилага за длъжници с много големи задължения, за които общината е изчерпала всички други възможности.</w:t>
      </w:r>
    </w:p>
    <w:p w:rsidR="005A552B" w:rsidRPr="00FB12E3" w:rsidRDefault="005A552B" w:rsidP="005A552B">
      <w:pPr>
        <w:spacing w:after="120" w:line="240" w:lineRule="auto"/>
        <w:jc w:val="both"/>
        <w:rPr>
          <w:rFonts w:ascii="Times New Roman" w:hAnsi="Times New Roman"/>
          <w:sz w:val="24"/>
          <w:szCs w:val="24"/>
        </w:rPr>
      </w:pPr>
      <w:r w:rsidRPr="00FB12E3">
        <w:rPr>
          <w:rFonts w:ascii="Times New Roman" w:hAnsi="Times New Roman"/>
          <w:sz w:val="24"/>
          <w:szCs w:val="24"/>
        </w:rPr>
        <w:t>Този списък с мерки не е изчерпателен и всяка община, съобразно своята специфика и традиции може да прилага и други мерки.</w:t>
      </w:r>
    </w:p>
    <w:p w:rsidR="005A552B" w:rsidRPr="004865AB" w:rsidRDefault="005A552B" w:rsidP="005A552B">
      <w:pPr>
        <w:spacing w:after="120" w:line="240" w:lineRule="auto"/>
        <w:jc w:val="both"/>
        <w:rPr>
          <w:rFonts w:ascii="Times New Roman" w:hAnsi="Times New Roman"/>
          <w:b/>
          <w:sz w:val="24"/>
        </w:rPr>
      </w:pPr>
      <w:r w:rsidRPr="004865AB">
        <w:rPr>
          <w:rFonts w:ascii="Times New Roman" w:hAnsi="Times New Roman"/>
          <w:b/>
          <w:sz w:val="24"/>
        </w:rPr>
        <w:t>Приходи от местни такси и цени на услуги</w:t>
      </w:r>
    </w:p>
    <w:p w:rsidR="005A552B"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Видовете местни такси са определени в ЗМДТ и са:</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ползване на детски градини</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ползване на детски ясли и други по здравеопазването</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ползване на лагери и други по социалния отдих</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ползване на домашен социален патронаж и други общински социални услуги</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ползване на пазари, тържища, панаири, тротоари, улични платна и др.</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ползване на полудневни детски</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битови отпадъци – план сметка</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ползване на общежития и други по образованието</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технически услуги</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административни услуги</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откупуване на гробни места</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за притежаване на куче</w:t>
      </w:r>
    </w:p>
    <w:p w:rsidR="005A552B" w:rsidRPr="009B1E4B" w:rsidRDefault="005A552B" w:rsidP="005A552B">
      <w:pPr>
        <w:pStyle w:val="ListParagraph"/>
        <w:numPr>
          <w:ilvl w:val="0"/>
          <w:numId w:val="8"/>
        </w:numPr>
        <w:spacing w:after="120" w:line="240" w:lineRule="auto"/>
        <w:jc w:val="both"/>
        <w:rPr>
          <w:rFonts w:ascii="Times New Roman" w:hAnsi="Times New Roman"/>
          <w:sz w:val="24"/>
          <w:szCs w:val="24"/>
        </w:rPr>
      </w:pPr>
      <w:r w:rsidRPr="009B1E4B">
        <w:rPr>
          <w:rFonts w:ascii="Times New Roman" w:hAnsi="Times New Roman"/>
          <w:sz w:val="24"/>
          <w:szCs w:val="24"/>
        </w:rPr>
        <w:t>други общински такси</w:t>
      </w:r>
    </w:p>
    <w:p w:rsidR="005A552B" w:rsidRDefault="005A552B" w:rsidP="005A552B">
      <w:pPr>
        <w:spacing w:after="120" w:line="240" w:lineRule="auto"/>
        <w:jc w:val="both"/>
        <w:rPr>
          <w:rFonts w:ascii="Times New Roman" w:hAnsi="Times New Roman"/>
          <w:sz w:val="24"/>
          <w:szCs w:val="24"/>
        </w:rPr>
      </w:pPr>
    </w:p>
    <w:p w:rsidR="005A552B" w:rsidRDefault="005A552B" w:rsidP="005A552B">
      <w:pPr>
        <w:spacing w:after="120" w:line="240" w:lineRule="auto"/>
        <w:jc w:val="both"/>
        <w:rPr>
          <w:rFonts w:ascii="Times New Roman" w:hAnsi="Times New Roman"/>
          <w:sz w:val="24"/>
          <w:szCs w:val="24"/>
        </w:rPr>
      </w:pPr>
    </w:p>
    <w:p w:rsidR="005A552B" w:rsidRDefault="005A552B" w:rsidP="005A552B">
      <w:pPr>
        <w:spacing w:after="120" w:line="240" w:lineRule="auto"/>
        <w:jc w:val="both"/>
        <w:rPr>
          <w:rFonts w:ascii="Times New Roman" w:hAnsi="Times New Roman"/>
          <w:sz w:val="24"/>
          <w:szCs w:val="24"/>
        </w:rPr>
      </w:pPr>
    </w:p>
    <w:p w:rsidR="005A552B" w:rsidRDefault="005A552B" w:rsidP="005A552B">
      <w:pPr>
        <w:spacing w:after="120" w:line="240" w:lineRule="auto"/>
        <w:jc w:val="both"/>
        <w:rPr>
          <w:rFonts w:ascii="Times New Roman" w:hAnsi="Times New Roman"/>
          <w:b/>
          <w:sz w:val="24"/>
          <w:szCs w:val="24"/>
        </w:rPr>
      </w:pPr>
      <w:r w:rsidRPr="009B1E4B">
        <w:rPr>
          <w:rFonts w:ascii="Times New Roman" w:hAnsi="Times New Roman"/>
          <w:b/>
          <w:sz w:val="24"/>
          <w:szCs w:val="24"/>
        </w:rPr>
        <w:lastRenderedPageBreak/>
        <w:t>Фискална значимост на някои местни такси</w:t>
      </w:r>
    </w:p>
    <w:p w:rsidR="005A552B" w:rsidRPr="009B1E4B" w:rsidRDefault="005A552B" w:rsidP="005A552B">
      <w:pPr>
        <w:spacing w:after="120" w:line="240" w:lineRule="auto"/>
        <w:jc w:val="both"/>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7083"/>
      </w:tblGrid>
      <w:tr w:rsidR="005A552B" w:rsidTr="00385E02">
        <w:trPr>
          <w:jc w:val="center"/>
        </w:trPr>
        <w:tc>
          <w:tcPr>
            <w:tcW w:w="7083" w:type="dxa"/>
          </w:tcPr>
          <w:p w:rsidR="005A552B" w:rsidRDefault="005A552B" w:rsidP="00385E02">
            <w:pPr>
              <w:spacing w:after="120" w:line="240" w:lineRule="auto"/>
              <w:jc w:val="both"/>
              <w:rPr>
                <w:rFonts w:ascii="Times New Roman" w:hAnsi="Times New Roman"/>
                <w:sz w:val="24"/>
                <w:szCs w:val="24"/>
              </w:rPr>
            </w:pPr>
            <w:proofErr w:type="spellStart"/>
            <w:r w:rsidRPr="009B1E4B">
              <w:rPr>
                <w:rFonts w:ascii="Times New Roman" w:hAnsi="Times New Roman"/>
                <w:b/>
                <w:bCs/>
                <w:sz w:val="24"/>
                <w:szCs w:val="24"/>
              </w:rPr>
              <w:t>Видове</w:t>
            </w:r>
            <w:proofErr w:type="spellEnd"/>
            <w:r w:rsidRPr="009B1E4B">
              <w:rPr>
                <w:rFonts w:ascii="Times New Roman" w:hAnsi="Times New Roman"/>
                <w:b/>
                <w:bCs/>
                <w:sz w:val="24"/>
                <w:szCs w:val="24"/>
              </w:rPr>
              <w:t xml:space="preserve"> </w:t>
            </w:r>
            <w:proofErr w:type="spellStart"/>
            <w:r w:rsidRPr="009B1E4B">
              <w:rPr>
                <w:rFonts w:ascii="Times New Roman" w:hAnsi="Times New Roman"/>
                <w:b/>
                <w:bCs/>
                <w:sz w:val="24"/>
                <w:szCs w:val="24"/>
              </w:rPr>
              <w:t>такси</w:t>
            </w:r>
            <w:proofErr w:type="spellEnd"/>
            <w:r>
              <w:rPr>
                <w:rFonts w:ascii="Times New Roman" w:hAnsi="Times New Roman"/>
                <w:b/>
                <w:bCs/>
                <w:sz w:val="24"/>
                <w:szCs w:val="24"/>
              </w:rPr>
              <w:t xml:space="preserve"> </w:t>
            </w:r>
            <w:r w:rsidRPr="009B1E4B">
              <w:rPr>
                <w:rFonts w:ascii="Times New Roman" w:hAnsi="Times New Roman"/>
                <w:bCs/>
                <w:sz w:val="24"/>
                <w:szCs w:val="24"/>
              </w:rPr>
              <w:t>(</w:t>
            </w:r>
            <w:proofErr w:type="spellStart"/>
            <w:r w:rsidRPr="009B1E4B">
              <w:rPr>
                <w:rFonts w:ascii="Times New Roman" w:hAnsi="Times New Roman"/>
                <w:bCs/>
                <w:sz w:val="24"/>
                <w:szCs w:val="24"/>
              </w:rPr>
              <w:t>по</w:t>
            </w:r>
            <w:proofErr w:type="spellEnd"/>
            <w:r>
              <w:rPr>
                <w:rFonts w:ascii="Times New Roman" w:hAnsi="Times New Roman"/>
                <w:bCs/>
                <w:sz w:val="24"/>
                <w:szCs w:val="24"/>
              </w:rPr>
              <w:t xml:space="preserve"> </w:t>
            </w:r>
            <w:proofErr w:type="spellStart"/>
            <w:r>
              <w:rPr>
                <w:rFonts w:ascii="Times New Roman" w:hAnsi="Times New Roman"/>
                <w:bCs/>
                <w:sz w:val="24"/>
                <w:szCs w:val="24"/>
              </w:rPr>
              <w:t>отчет</w:t>
            </w:r>
            <w:proofErr w:type="spellEnd"/>
            <w:r>
              <w:rPr>
                <w:rFonts w:ascii="Times New Roman" w:hAnsi="Times New Roman"/>
                <w:bCs/>
                <w:sz w:val="24"/>
                <w:szCs w:val="24"/>
              </w:rPr>
              <w:t xml:space="preserve"> </w:t>
            </w:r>
            <w:proofErr w:type="spellStart"/>
            <w:r>
              <w:rPr>
                <w:rFonts w:ascii="Times New Roman" w:hAnsi="Times New Roman"/>
                <w:bCs/>
                <w:sz w:val="24"/>
                <w:szCs w:val="24"/>
              </w:rPr>
              <w:t>за</w:t>
            </w:r>
            <w:proofErr w:type="spellEnd"/>
            <w:r>
              <w:rPr>
                <w:rFonts w:ascii="Times New Roman" w:hAnsi="Times New Roman"/>
                <w:bCs/>
                <w:sz w:val="24"/>
                <w:szCs w:val="24"/>
              </w:rPr>
              <w:t xml:space="preserve"> 2019 г.)</w:t>
            </w:r>
          </w:p>
        </w:tc>
      </w:tr>
      <w:tr w:rsidR="005A552B" w:rsidTr="00385E02">
        <w:trPr>
          <w:jc w:val="center"/>
        </w:trPr>
        <w:tc>
          <w:tcPr>
            <w:tcW w:w="7083" w:type="dxa"/>
          </w:tcPr>
          <w:p w:rsidR="005A552B" w:rsidRDefault="005A552B" w:rsidP="005A552B">
            <w:pPr>
              <w:numPr>
                <w:ilvl w:val="0"/>
                <w:numId w:val="9"/>
              </w:numPr>
              <w:spacing w:after="120" w:line="240" w:lineRule="auto"/>
              <w:jc w:val="both"/>
              <w:rPr>
                <w:rFonts w:ascii="Times New Roman" w:hAnsi="Times New Roman"/>
                <w:sz w:val="24"/>
                <w:szCs w:val="24"/>
              </w:rPr>
            </w:pPr>
            <w:proofErr w:type="spellStart"/>
            <w:r w:rsidRPr="009B1E4B">
              <w:rPr>
                <w:rFonts w:ascii="Times New Roman" w:hAnsi="Times New Roman"/>
                <w:sz w:val="24"/>
                <w:szCs w:val="24"/>
              </w:rPr>
              <w:t>Такса</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Битови</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отпадъци</w:t>
            </w:r>
            <w:proofErr w:type="spellEnd"/>
            <w:r w:rsidRPr="009B1E4B">
              <w:rPr>
                <w:rFonts w:ascii="Times New Roman" w:hAnsi="Times New Roman"/>
                <w:sz w:val="24"/>
                <w:szCs w:val="24"/>
              </w:rPr>
              <w:t xml:space="preserve">“ (72% </w:t>
            </w:r>
            <w:proofErr w:type="spellStart"/>
            <w:r w:rsidRPr="009B1E4B">
              <w:rPr>
                <w:rFonts w:ascii="Times New Roman" w:hAnsi="Times New Roman"/>
                <w:sz w:val="24"/>
                <w:szCs w:val="24"/>
              </w:rPr>
              <w:t>от</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приходите</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от</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такси</w:t>
            </w:r>
            <w:proofErr w:type="spellEnd"/>
            <w:r w:rsidRPr="009B1E4B">
              <w:rPr>
                <w:rFonts w:ascii="Times New Roman" w:hAnsi="Times New Roman"/>
                <w:sz w:val="24"/>
                <w:szCs w:val="24"/>
              </w:rPr>
              <w:t>);</w:t>
            </w:r>
          </w:p>
        </w:tc>
      </w:tr>
      <w:tr w:rsidR="005A552B" w:rsidTr="00385E02">
        <w:trPr>
          <w:jc w:val="center"/>
        </w:trPr>
        <w:tc>
          <w:tcPr>
            <w:tcW w:w="7083" w:type="dxa"/>
          </w:tcPr>
          <w:p w:rsidR="005A552B" w:rsidRDefault="005A552B" w:rsidP="005A552B">
            <w:pPr>
              <w:numPr>
                <w:ilvl w:val="0"/>
                <w:numId w:val="9"/>
              </w:numPr>
              <w:spacing w:after="120" w:line="240" w:lineRule="auto"/>
              <w:jc w:val="both"/>
              <w:rPr>
                <w:rFonts w:ascii="Times New Roman" w:hAnsi="Times New Roman"/>
                <w:sz w:val="24"/>
                <w:szCs w:val="24"/>
              </w:rPr>
            </w:pPr>
            <w:proofErr w:type="spellStart"/>
            <w:r w:rsidRPr="009B1E4B">
              <w:rPr>
                <w:rFonts w:ascii="Times New Roman" w:hAnsi="Times New Roman"/>
                <w:sz w:val="24"/>
                <w:szCs w:val="24"/>
              </w:rPr>
              <w:t>За</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технически</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услуги</w:t>
            </w:r>
            <w:proofErr w:type="spellEnd"/>
            <w:r w:rsidRPr="009B1E4B">
              <w:rPr>
                <w:rFonts w:ascii="Times New Roman" w:hAnsi="Times New Roman"/>
                <w:sz w:val="24"/>
                <w:szCs w:val="24"/>
              </w:rPr>
              <w:t xml:space="preserve"> (7%);</w:t>
            </w:r>
          </w:p>
        </w:tc>
      </w:tr>
      <w:tr w:rsidR="005A552B" w:rsidTr="00385E02">
        <w:trPr>
          <w:jc w:val="center"/>
        </w:trPr>
        <w:tc>
          <w:tcPr>
            <w:tcW w:w="7083" w:type="dxa"/>
          </w:tcPr>
          <w:p w:rsidR="005A552B" w:rsidRDefault="005A552B" w:rsidP="005A552B">
            <w:pPr>
              <w:numPr>
                <w:ilvl w:val="0"/>
                <w:numId w:val="9"/>
              </w:numPr>
              <w:spacing w:after="120" w:line="240" w:lineRule="auto"/>
              <w:jc w:val="both"/>
              <w:rPr>
                <w:rFonts w:ascii="Times New Roman" w:hAnsi="Times New Roman"/>
                <w:sz w:val="24"/>
                <w:szCs w:val="24"/>
              </w:rPr>
            </w:pPr>
            <w:proofErr w:type="spellStart"/>
            <w:r w:rsidRPr="009B1E4B">
              <w:rPr>
                <w:rFonts w:ascii="Times New Roman" w:hAnsi="Times New Roman"/>
                <w:sz w:val="24"/>
                <w:szCs w:val="24"/>
              </w:rPr>
              <w:t>За</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административни</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услуги</w:t>
            </w:r>
            <w:proofErr w:type="spellEnd"/>
            <w:r w:rsidRPr="009B1E4B">
              <w:rPr>
                <w:rFonts w:ascii="Times New Roman" w:hAnsi="Times New Roman"/>
                <w:sz w:val="24"/>
                <w:szCs w:val="24"/>
              </w:rPr>
              <w:t xml:space="preserve"> (3%);</w:t>
            </w:r>
          </w:p>
        </w:tc>
      </w:tr>
      <w:tr w:rsidR="005A552B" w:rsidTr="00385E02">
        <w:trPr>
          <w:jc w:val="center"/>
        </w:trPr>
        <w:tc>
          <w:tcPr>
            <w:tcW w:w="7083" w:type="dxa"/>
          </w:tcPr>
          <w:p w:rsidR="005A552B" w:rsidRPr="009B1E4B" w:rsidRDefault="005A552B" w:rsidP="005A552B">
            <w:pPr>
              <w:numPr>
                <w:ilvl w:val="0"/>
                <w:numId w:val="9"/>
              </w:numPr>
              <w:spacing w:after="120" w:line="240" w:lineRule="auto"/>
              <w:jc w:val="both"/>
              <w:rPr>
                <w:rFonts w:ascii="Times New Roman" w:hAnsi="Times New Roman"/>
                <w:sz w:val="24"/>
                <w:szCs w:val="24"/>
              </w:rPr>
            </w:pPr>
            <w:proofErr w:type="spellStart"/>
            <w:r w:rsidRPr="009B1E4B">
              <w:rPr>
                <w:rFonts w:ascii="Times New Roman" w:hAnsi="Times New Roman"/>
                <w:sz w:val="24"/>
                <w:szCs w:val="24"/>
              </w:rPr>
              <w:t>За</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детски</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градини</w:t>
            </w:r>
            <w:proofErr w:type="spellEnd"/>
            <w:r w:rsidRPr="009B1E4B">
              <w:rPr>
                <w:rFonts w:ascii="Times New Roman" w:hAnsi="Times New Roman"/>
                <w:sz w:val="24"/>
                <w:szCs w:val="24"/>
              </w:rPr>
              <w:t xml:space="preserve"> (7%);</w:t>
            </w:r>
          </w:p>
        </w:tc>
      </w:tr>
      <w:tr w:rsidR="005A552B" w:rsidTr="00385E02">
        <w:trPr>
          <w:jc w:val="center"/>
        </w:trPr>
        <w:tc>
          <w:tcPr>
            <w:tcW w:w="7083" w:type="dxa"/>
          </w:tcPr>
          <w:p w:rsidR="005A552B" w:rsidRPr="009B1E4B" w:rsidRDefault="005A552B" w:rsidP="005A552B">
            <w:pPr>
              <w:numPr>
                <w:ilvl w:val="0"/>
                <w:numId w:val="9"/>
              </w:numPr>
              <w:spacing w:after="120" w:line="240" w:lineRule="auto"/>
              <w:jc w:val="both"/>
              <w:rPr>
                <w:rFonts w:ascii="Times New Roman" w:hAnsi="Times New Roman"/>
                <w:sz w:val="24"/>
                <w:szCs w:val="24"/>
              </w:rPr>
            </w:pPr>
            <w:proofErr w:type="spellStart"/>
            <w:r w:rsidRPr="009B1E4B">
              <w:rPr>
                <w:rFonts w:ascii="Times New Roman" w:hAnsi="Times New Roman"/>
                <w:sz w:val="24"/>
                <w:szCs w:val="24"/>
              </w:rPr>
              <w:t>За</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детски</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ясли</w:t>
            </w:r>
            <w:proofErr w:type="spellEnd"/>
            <w:r w:rsidRPr="009B1E4B">
              <w:rPr>
                <w:rFonts w:ascii="Times New Roman" w:hAnsi="Times New Roman"/>
                <w:sz w:val="24"/>
                <w:szCs w:val="24"/>
              </w:rPr>
              <w:t xml:space="preserve"> (1%);</w:t>
            </w:r>
          </w:p>
        </w:tc>
      </w:tr>
      <w:tr w:rsidR="005A552B" w:rsidTr="00385E02">
        <w:trPr>
          <w:jc w:val="center"/>
        </w:trPr>
        <w:tc>
          <w:tcPr>
            <w:tcW w:w="7083" w:type="dxa"/>
          </w:tcPr>
          <w:p w:rsidR="005A552B" w:rsidRPr="009B1E4B" w:rsidRDefault="005A552B" w:rsidP="005A552B">
            <w:pPr>
              <w:numPr>
                <w:ilvl w:val="0"/>
                <w:numId w:val="9"/>
              </w:numPr>
              <w:spacing w:after="120" w:line="240" w:lineRule="auto"/>
              <w:jc w:val="both"/>
              <w:rPr>
                <w:rFonts w:ascii="Times New Roman" w:hAnsi="Times New Roman"/>
                <w:sz w:val="24"/>
                <w:szCs w:val="24"/>
              </w:rPr>
            </w:pPr>
            <w:proofErr w:type="spellStart"/>
            <w:r w:rsidRPr="009B1E4B">
              <w:rPr>
                <w:rFonts w:ascii="Times New Roman" w:hAnsi="Times New Roman"/>
                <w:sz w:val="24"/>
                <w:szCs w:val="24"/>
              </w:rPr>
              <w:t>За</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домашен</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социален</w:t>
            </w:r>
            <w:proofErr w:type="spellEnd"/>
            <w:r w:rsidRPr="009B1E4B">
              <w:rPr>
                <w:rFonts w:ascii="Times New Roman" w:hAnsi="Times New Roman"/>
                <w:sz w:val="24"/>
                <w:szCs w:val="24"/>
              </w:rPr>
              <w:t xml:space="preserve"> </w:t>
            </w:r>
            <w:proofErr w:type="spellStart"/>
            <w:r w:rsidRPr="009B1E4B">
              <w:rPr>
                <w:rFonts w:ascii="Times New Roman" w:hAnsi="Times New Roman"/>
                <w:sz w:val="24"/>
                <w:szCs w:val="24"/>
              </w:rPr>
              <w:t>патронаж</w:t>
            </w:r>
            <w:proofErr w:type="spellEnd"/>
            <w:r w:rsidRPr="009B1E4B">
              <w:rPr>
                <w:rFonts w:ascii="Times New Roman" w:hAnsi="Times New Roman"/>
                <w:sz w:val="24"/>
                <w:szCs w:val="24"/>
              </w:rPr>
              <w:t xml:space="preserve"> (2%).</w:t>
            </w:r>
          </w:p>
        </w:tc>
      </w:tr>
    </w:tbl>
    <w:p w:rsidR="005A552B" w:rsidRDefault="005A552B" w:rsidP="005A552B">
      <w:pPr>
        <w:spacing w:after="120" w:line="240" w:lineRule="auto"/>
        <w:jc w:val="both"/>
        <w:rPr>
          <w:rFonts w:ascii="Times New Roman" w:hAnsi="Times New Roman"/>
          <w:sz w:val="24"/>
          <w:szCs w:val="24"/>
        </w:rPr>
      </w:pP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Н</w:t>
      </w:r>
      <w:r w:rsidRPr="00B82D26">
        <w:rPr>
          <w:rFonts w:ascii="Times New Roman" w:hAnsi="Times New Roman"/>
          <w:sz w:val="24"/>
          <w:szCs w:val="24"/>
        </w:rPr>
        <w:t>ай-висок и съществен е делът на постъпленията от Такса „битови отпадъци“, което е логично от гледна точка на „изкривените“ механизми за нейното определяне и отчитане, както и за събирането чрез нея на отчисленията, а впоследствие изваждането им от приходите на общината като вид финансиране. И през 2021 г. няма да има „драматични“ промени при такса битови отпадъци. Ще изчакаме Националното преброяване на населението и жилищния фонд през 2021 г., ще вземем данните за ползвателите от НСИ, както и обещаният от тях статистически регистър на адресите и ще определим такса битови отпадъци по новите основи до две години след получаване на информацията от НСИ.</w:t>
      </w:r>
    </w:p>
    <w:p w:rsidR="005A552B" w:rsidRPr="009B1E4B" w:rsidRDefault="005A552B" w:rsidP="005A552B">
      <w:pPr>
        <w:spacing w:after="120" w:line="240" w:lineRule="auto"/>
        <w:jc w:val="both"/>
        <w:rPr>
          <w:rFonts w:ascii="Times New Roman" w:hAnsi="Times New Roman"/>
          <w:b/>
          <w:sz w:val="24"/>
          <w:szCs w:val="24"/>
        </w:rPr>
      </w:pPr>
      <w:r w:rsidRPr="009B1E4B">
        <w:rPr>
          <w:rFonts w:ascii="Times New Roman" w:hAnsi="Times New Roman"/>
          <w:b/>
          <w:sz w:val="24"/>
          <w:szCs w:val="24"/>
        </w:rPr>
        <w:t>Планиране на приходите от местни такси и цени на услуги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М</w:t>
      </w:r>
      <w:r w:rsidRPr="00B82D26">
        <w:rPr>
          <w:rFonts w:ascii="Times New Roman" w:hAnsi="Times New Roman"/>
          <w:sz w:val="24"/>
          <w:szCs w:val="24"/>
        </w:rPr>
        <w:t>естните такси се определят въз основа на всички необходими материално-технически и административни разходи по предоставяне на услугата. Затова е необходимо текущо през годината да се прави преглед на състоянието на всички такси и цени на общински услуги и съответствието им с реалните разходи за предоставяне. Към намаляване на достигнатото ниво на приходи от общински такси и цени на услуги е целесъобразно да се пристъпва само ако са налице фактори, намаляващи разходите за тяхното реално извършване или има взето решение за ограничаване на обхвата и снижаване на качеството на предоставяните услуги. При констатиране на големи отклонения в цените на услугите е необходим детайлен анализ за причините за тези отклонения.</w:t>
      </w:r>
    </w:p>
    <w:p w:rsidR="005A552B" w:rsidRPr="00B82D26" w:rsidRDefault="005A552B" w:rsidP="005A552B">
      <w:pPr>
        <w:spacing w:after="120" w:line="240" w:lineRule="auto"/>
        <w:jc w:val="both"/>
        <w:rPr>
          <w:rFonts w:ascii="Times New Roman" w:hAnsi="Times New Roman"/>
          <w:i/>
          <w:sz w:val="24"/>
          <w:szCs w:val="24"/>
        </w:rPr>
      </w:pPr>
      <w:r>
        <w:rPr>
          <w:rFonts w:ascii="Times New Roman" w:hAnsi="Times New Roman"/>
          <w:sz w:val="24"/>
          <w:szCs w:val="24"/>
        </w:rPr>
        <w:t>П</w:t>
      </w:r>
      <w:r w:rsidRPr="00B82D26">
        <w:rPr>
          <w:rFonts w:ascii="Times New Roman" w:hAnsi="Times New Roman"/>
          <w:sz w:val="24"/>
          <w:szCs w:val="24"/>
        </w:rPr>
        <w:t xml:space="preserve">риходите от общински такси </w:t>
      </w:r>
      <w:r>
        <w:rPr>
          <w:rFonts w:ascii="Times New Roman" w:hAnsi="Times New Roman"/>
          <w:sz w:val="24"/>
          <w:szCs w:val="24"/>
        </w:rPr>
        <w:t>са</w:t>
      </w:r>
      <w:r w:rsidRPr="00B82D26">
        <w:rPr>
          <w:rFonts w:ascii="Times New Roman" w:hAnsi="Times New Roman"/>
          <w:sz w:val="24"/>
          <w:szCs w:val="24"/>
        </w:rPr>
        <w:t xml:space="preserve"> в пряка зависимост от определените размери на таксите и цените на услуги приети с Наредбата за определяне и администриране на местните такси и цени на услуги и от промените на мрежата от детски заведения и домашен социален патронаж и тенденциите за увеличаване/намаляване на ползвателите на тези услуги.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 xml:space="preserve">бщинският съвет приема Наредба по чл. 9а от ЗМДТ, с която определя размера на таксите на база </w:t>
      </w:r>
      <w:proofErr w:type="spellStart"/>
      <w:r w:rsidRPr="00B82D26">
        <w:rPr>
          <w:rFonts w:ascii="Times New Roman" w:hAnsi="Times New Roman"/>
          <w:sz w:val="24"/>
          <w:szCs w:val="24"/>
        </w:rPr>
        <w:t>разходоориентиран</w:t>
      </w:r>
      <w:proofErr w:type="spellEnd"/>
      <w:r w:rsidRPr="00B82D26">
        <w:rPr>
          <w:rFonts w:ascii="Times New Roman" w:hAnsi="Times New Roman"/>
          <w:sz w:val="24"/>
          <w:szCs w:val="24"/>
        </w:rPr>
        <w:t xml:space="preserve"> подход, вкл. отделни такси за всяка от дейностите - когато могат да се разграничат една от друга (</w:t>
      </w:r>
      <w:proofErr w:type="spellStart"/>
      <w:r w:rsidRPr="00B82D26">
        <w:rPr>
          <w:rFonts w:ascii="Times New Roman" w:hAnsi="Times New Roman"/>
          <w:sz w:val="24"/>
          <w:szCs w:val="24"/>
        </w:rPr>
        <w:t>напр.при</w:t>
      </w:r>
      <w:proofErr w:type="spellEnd"/>
      <w:r w:rsidRPr="00B82D26">
        <w:rPr>
          <w:rFonts w:ascii="Times New Roman" w:hAnsi="Times New Roman"/>
          <w:sz w:val="24"/>
          <w:szCs w:val="24"/>
        </w:rPr>
        <w:t xml:space="preserve"> такса „Битови отпадъци“). Също така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определя и реда за  освобождаване при </w:t>
      </w:r>
      <w:proofErr w:type="spellStart"/>
      <w:r w:rsidRPr="00B82D26">
        <w:rPr>
          <w:rFonts w:ascii="Times New Roman" w:hAnsi="Times New Roman"/>
          <w:sz w:val="24"/>
          <w:szCs w:val="24"/>
        </w:rPr>
        <w:t>неползване</w:t>
      </w:r>
      <w:proofErr w:type="spellEnd"/>
      <w:r w:rsidRPr="00B82D26">
        <w:rPr>
          <w:rFonts w:ascii="Times New Roman" w:hAnsi="Times New Roman"/>
          <w:sz w:val="24"/>
          <w:szCs w:val="24"/>
        </w:rPr>
        <w:t xml:space="preserve"> на услугата през годината или през определен период - при ясен ред и условия за доказване на това обстоятелство.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 xml:space="preserve">По изключение таксата може и да не възстановява пълните разходи по предоставянето на услуга, когато се налага за защита на обществения интерес, но при ясен източник за покриване на разликата между разходите по предоставяне на услугата и определения от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размер на таксата.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Отделни категории лица могат да бъдат освободени по решение на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от заплащане на такси – изцяло или частично, но при ясен източник за покриване на разликата от други общински приходи.</w:t>
      </w:r>
    </w:p>
    <w:p w:rsidR="005A552B"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С решение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да може да определи кои местни такси се събират от концесионер, на когото е възложено предоставянето на услугите (напр. при отдаване на концесия на общински автогари). Общинският съвет определя правото на концесионера да задържи целия или част от размера на събраните такси.</w:t>
      </w:r>
    </w:p>
    <w:p w:rsidR="005A552B" w:rsidRPr="00B82D26" w:rsidRDefault="005A552B" w:rsidP="005A552B">
      <w:pPr>
        <w:spacing w:after="120" w:line="240" w:lineRule="auto"/>
        <w:jc w:val="both"/>
        <w:rPr>
          <w:rFonts w:ascii="Times New Roman" w:hAnsi="Times New Roman"/>
          <w:sz w:val="24"/>
          <w:szCs w:val="24"/>
        </w:rPr>
      </w:pPr>
      <w:r w:rsidRPr="00622C93">
        <w:rPr>
          <w:rFonts w:ascii="Times New Roman" w:hAnsi="Times New Roman"/>
          <w:sz w:val="24"/>
          <w:szCs w:val="24"/>
        </w:rPr>
        <w:t>От 2017 г. е в сила разпоредбата на чл. 115а. на ЗМДТ, съгласно която р</w:t>
      </w:r>
      <w:r w:rsidRPr="00DF4C82">
        <w:rPr>
          <w:rFonts w:ascii="Times New Roman" w:hAnsi="Times New Roman"/>
          <w:sz w:val="24"/>
          <w:szCs w:val="24"/>
        </w:rPr>
        <w:t>азмерът на таксата за всяка административна услуга трябва да съответства на разходите на общината за предоставяне на съответната услуга, включително необходимите материално-технически разходи и всички административни разходи за изпълнение на задълженията на длъжностните лица с оглед на тяхната квалификация и разходвано работно време.</w:t>
      </w:r>
      <w:r w:rsidRPr="00622C93">
        <w:rPr>
          <w:rFonts w:ascii="Times New Roman" w:hAnsi="Times New Roman"/>
          <w:sz w:val="24"/>
          <w:szCs w:val="24"/>
        </w:rPr>
        <w:t xml:space="preserve"> Въведе се и </w:t>
      </w:r>
      <w:r w:rsidRPr="00DF4C82">
        <w:rPr>
          <w:rFonts w:ascii="Times New Roman" w:hAnsi="Times New Roman"/>
          <w:sz w:val="24"/>
          <w:szCs w:val="24"/>
        </w:rPr>
        <w:t>ограничение</w:t>
      </w:r>
      <w:r w:rsidRPr="00622C93">
        <w:rPr>
          <w:rFonts w:ascii="Times New Roman" w:hAnsi="Times New Roman"/>
          <w:sz w:val="24"/>
          <w:szCs w:val="24"/>
        </w:rPr>
        <w:t>, а</w:t>
      </w:r>
      <w:r w:rsidRPr="00DF4C82">
        <w:rPr>
          <w:rFonts w:ascii="Times New Roman" w:hAnsi="Times New Roman"/>
          <w:sz w:val="24"/>
          <w:szCs w:val="24"/>
        </w:rPr>
        <w:t xml:space="preserve">дминистративните разходи </w:t>
      </w:r>
      <w:r w:rsidRPr="00622C93">
        <w:rPr>
          <w:rFonts w:ascii="Times New Roman" w:hAnsi="Times New Roman"/>
          <w:sz w:val="24"/>
          <w:szCs w:val="24"/>
        </w:rPr>
        <w:t>да</w:t>
      </w:r>
      <w:r w:rsidRPr="00DF4C82">
        <w:rPr>
          <w:rFonts w:ascii="Times New Roman" w:hAnsi="Times New Roman"/>
          <w:sz w:val="24"/>
          <w:szCs w:val="24"/>
        </w:rPr>
        <w:t xml:space="preserve"> не могат да надвишават 20 на сто от размера на такса</w:t>
      </w:r>
      <w:r>
        <w:rPr>
          <w:rFonts w:ascii="Times New Roman" w:hAnsi="Times New Roman"/>
          <w:sz w:val="24"/>
          <w:szCs w:val="24"/>
        </w:rPr>
        <w:t>.</w:t>
      </w:r>
    </w:p>
    <w:p w:rsidR="005A552B" w:rsidRPr="008E5226" w:rsidRDefault="005A552B" w:rsidP="005A552B">
      <w:pPr>
        <w:spacing w:after="120" w:line="240" w:lineRule="auto"/>
        <w:jc w:val="both"/>
        <w:rPr>
          <w:rFonts w:ascii="Times New Roman" w:hAnsi="Times New Roman"/>
          <w:b/>
          <w:sz w:val="24"/>
          <w:szCs w:val="24"/>
        </w:rPr>
      </w:pPr>
      <w:r w:rsidRPr="008E5226">
        <w:rPr>
          <w:rFonts w:ascii="Times New Roman" w:hAnsi="Times New Roman"/>
          <w:b/>
          <w:sz w:val="24"/>
          <w:szCs w:val="24"/>
        </w:rPr>
        <w:t xml:space="preserve">Методика за определяне на </w:t>
      </w:r>
      <w:proofErr w:type="spellStart"/>
      <w:r w:rsidRPr="008E5226">
        <w:rPr>
          <w:rFonts w:ascii="Times New Roman" w:hAnsi="Times New Roman"/>
          <w:b/>
          <w:sz w:val="24"/>
          <w:szCs w:val="24"/>
        </w:rPr>
        <w:t>разходоориентиран</w:t>
      </w:r>
      <w:proofErr w:type="spellEnd"/>
      <w:r w:rsidRPr="008E5226">
        <w:rPr>
          <w:rFonts w:ascii="Times New Roman" w:hAnsi="Times New Roman"/>
          <w:b/>
          <w:sz w:val="24"/>
          <w:szCs w:val="24"/>
        </w:rPr>
        <w:t xml:space="preserve"> размер на таксите</w:t>
      </w:r>
    </w:p>
    <w:p w:rsidR="005A552B" w:rsidRPr="0011494A" w:rsidRDefault="005A552B" w:rsidP="005A552B">
      <w:pPr>
        <w:spacing w:after="120" w:line="240" w:lineRule="auto"/>
        <w:jc w:val="both"/>
        <w:rPr>
          <w:rFonts w:ascii="Times New Roman" w:hAnsi="Times New Roman"/>
          <w:sz w:val="24"/>
          <w:szCs w:val="24"/>
        </w:rPr>
      </w:pPr>
      <w:r w:rsidRPr="0011494A">
        <w:rPr>
          <w:rFonts w:ascii="Times New Roman" w:hAnsi="Times New Roman"/>
          <w:sz w:val="24"/>
          <w:szCs w:val="24"/>
        </w:rPr>
        <w:t>Таксите, събирани от административните органи във връзка с регулирането и контрола върху стопанската дейност по Закона за ограничаване на административното регулиране и административен контрол върху стопанската дейност</w:t>
      </w:r>
      <w:r>
        <w:rPr>
          <w:rFonts w:ascii="Times New Roman" w:hAnsi="Times New Roman"/>
          <w:sz w:val="24"/>
          <w:szCs w:val="24"/>
        </w:rPr>
        <w:t xml:space="preserve">, се определят по Методика, приета от Министерския съвет, но </w:t>
      </w:r>
      <w:r w:rsidRPr="00622C93">
        <w:rPr>
          <w:rFonts w:ascii="Times New Roman" w:hAnsi="Times New Roman"/>
          <w:sz w:val="24"/>
          <w:szCs w:val="24"/>
        </w:rPr>
        <w:t xml:space="preserve">не се прилага за т.нар. социални такси, които общинските </w:t>
      </w:r>
      <w:r w:rsidRPr="0011494A">
        <w:rPr>
          <w:rFonts w:ascii="Times New Roman" w:hAnsi="Times New Roman"/>
          <w:sz w:val="24"/>
          <w:szCs w:val="24"/>
        </w:rPr>
        <w:t>съвети</w:t>
      </w:r>
      <w:r w:rsidRPr="00622C93">
        <w:rPr>
          <w:rFonts w:ascii="Times New Roman" w:hAnsi="Times New Roman"/>
          <w:sz w:val="24"/>
          <w:szCs w:val="24"/>
        </w:rPr>
        <w:t xml:space="preserve"> приемат, както и за ТБО, но е добра отправна точка за разработване на собствени модели за определяне размерите на тези местни такси.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Основание за прилагане на Методиката е чл. 7а от Закона за ограничаване на административното регулиране и административен контрол върху стопанската дейност и разходването им.</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Съгласно методиката разходите са разделени на </w:t>
      </w:r>
      <w:r w:rsidRPr="00B82D26">
        <w:rPr>
          <w:rFonts w:ascii="Times New Roman" w:hAnsi="Times New Roman"/>
          <w:b/>
          <w:sz w:val="24"/>
          <w:szCs w:val="24"/>
        </w:rPr>
        <w:t>преки разходи</w:t>
      </w:r>
      <w:r w:rsidRPr="00B82D26">
        <w:rPr>
          <w:rFonts w:ascii="Times New Roman" w:hAnsi="Times New Roman"/>
          <w:sz w:val="24"/>
          <w:szCs w:val="24"/>
        </w:rPr>
        <w:t>, които включват:</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Разходи за възнаграждения и осигурителни плащания на служителите, които по длъжностна характеристика извършват остойностяваната услуга. За изчисляване на този показател е необходимо да се изчисли времето, което всеки служител влага за предоставяне на определената услуга, а ако услугата предполага повече от един служител се, необходимото време е сбор от времената на всички служители; броя на служителите, които са пряко ангажирани за предоставянето ѝ и размера на техните възнаграждения – изчислява се средна часова ставка, както и необходимите средства за осигурителни плащания.</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Разходи за възнаграждения и осигурителни плащания на ръководния персонал и на персонала от общата администрация на община. Тук трябва да се измери времето, което се влага от ръководния персонал – секретар на общината, заместник-кмет и кмет при предоставяне на услугата – поставяне на резолюция върху заявлението, контрол при предоставяне на услугата, подпис на документа и др. Също така трябва да се изчисли и времето, което се влага и от служители от общата администрация – от деловодството, касиер, счетоводител и др. Времето на тези служители за предоставяне на услугата е свързано с </w:t>
      </w:r>
      <w:r w:rsidRPr="00B82D26">
        <w:rPr>
          <w:rFonts w:ascii="Times New Roman" w:hAnsi="Times New Roman"/>
          <w:sz w:val="24"/>
          <w:szCs w:val="24"/>
        </w:rPr>
        <w:lastRenderedPageBreak/>
        <w:t>приемане на заявлението от деловодството, касиера – приема таксата, вписва я в касовата книга и я внася в банката по съответния код, счетоводителя осчетоводява плащането. Също така се изчислява и средна часова ставка на всички служители и ръководен персонал, както и необходимите средства за осигурителни плащания.</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Разходи за материали необходими за предоставяне на услугата – хартия за отпечатване когато се издава документ трябва да се предвидят съответстващия на услугата брой листа, тонер, холограмен стикер, обвивка/ламинат и други материални разходи присъщи на предоставяната услуга.</w:t>
      </w:r>
      <w:r w:rsidRPr="00B82D26">
        <w:rPr>
          <w:rFonts w:ascii="Times New Roman" w:hAnsi="Times New Roman"/>
        </w:rPr>
        <w:t xml:space="preserve"> </w:t>
      </w:r>
      <w:r w:rsidRPr="00B82D26">
        <w:rPr>
          <w:rFonts w:ascii="Times New Roman" w:hAnsi="Times New Roman"/>
          <w:sz w:val="24"/>
          <w:szCs w:val="24"/>
        </w:rPr>
        <w:t>Преките материални разходи се пренасят директно в стойността на услугата въз основа на количеството изразходени материали, умножено по цената на придобиването им.</w:t>
      </w:r>
      <w:r w:rsidRPr="00B82D26">
        <w:rPr>
          <w:rFonts w:ascii="Times New Roman" w:hAnsi="Times New Roman"/>
        </w:rPr>
        <w:t xml:space="preserve"> </w:t>
      </w:r>
      <w:r w:rsidRPr="00B82D26">
        <w:rPr>
          <w:rFonts w:ascii="Times New Roman" w:hAnsi="Times New Roman"/>
          <w:sz w:val="24"/>
          <w:szCs w:val="24"/>
        </w:rPr>
        <w:t>При невъзможност да се определи точното количество на изразходените материали, преките материални разходи за конкретен вид услуга с такса се изчисляват като съотношение между разходите за материали, присъщи на остойностяваната услуга с таксата на годишна база към броя на предоставените  за една година услуги с такси от съответния вид.</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Капиталови разходи, присъщи за остойностяваната услуга са разходите за дълготрайни активи, изчислени на база пазарна стойност на активите, необходими за предоставяне на услугата и съобразно броя на служителите, които я извършват. Такива са принтери, скенери, компютърни конфигурации, копирна техника, машини за подвързване и ламиниране и др. Когато услугата е свързана с предоставяне на площи, капиталовите разходи се изчисляват на база квадратура. Капиталовите разходи се пренасят в стойността на услугата по метода на амортизационните отчисления като съотношение между разходите за  дълготрайни активи, присъщи единствено и само на остойностяваната услуга с такса и броя на предоставените за последната година услуги с такси от съответния вид, разделено на срока на годност, заложен в амортизационната политика на общината. Когато броят на извършваните услуги от съответният вид е минимален, капиталовите разходи, които следва да се отнесат за тях е много висок, поради което размерът на инвестиционните разходи в тези случаи, не участва при формирането на цената на съответната услуга с такса.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Стойността на разходите за външни услуги, пряко свързани с предоставяната услуга с такса, се пренася на 100% в стойността на услугата като размерът им на годишна база се раздели на броя на предоставените за една година услуги от съответния вид.</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b/>
          <w:sz w:val="24"/>
          <w:szCs w:val="24"/>
        </w:rPr>
        <w:t>Непреките разходи</w:t>
      </w:r>
      <w:r w:rsidRPr="00B82D26">
        <w:rPr>
          <w:rFonts w:ascii="Times New Roman" w:hAnsi="Times New Roman"/>
          <w:sz w:val="24"/>
          <w:szCs w:val="24"/>
        </w:rPr>
        <w:t xml:space="preserve"> са: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Разходи за обучение и повишаване на квалификацията на служителите</w:t>
      </w:r>
      <w:r w:rsidRPr="00B82D26">
        <w:rPr>
          <w:rFonts w:ascii="Times New Roman" w:hAnsi="Times New Roman"/>
        </w:rPr>
        <w:t xml:space="preserve"> </w:t>
      </w:r>
      <w:r w:rsidRPr="00B82D26">
        <w:rPr>
          <w:rFonts w:ascii="Times New Roman" w:hAnsi="Times New Roman"/>
          <w:sz w:val="24"/>
          <w:szCs w:val="24"/>
        </w:rPr>
        <w:t>се включват в стойността на услугата, като размерът на годишните разходи за обучение на служителите, които предоставят услугата или съответното звено, извършващо услугите с такси, се раздели на  общия брой на предоставените от общината услуги през последната година.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Непроменливите (фиксирани) разходи за външни услуги са разходите за СОТ, интернет, охрана, пожароизвестяване, когато могат точно да се отнесат  към съответното структурно звено. Във всички останали случаи тези разходи се включват в стойността на разходите за стопански нужди.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Режийни разходи (разходи за стопански нужди) – разходи за отопление, </w:t>
      </w:r>
      <w:proofErr w:type="spellStart"/>
      <w:r w:rsidRPr="00B82D26">
        <w:rPr>
          <w:rFonts w:ascii="Times New Roman" w:hAnsi="Times New Roman"/>
          <w:sz w:val="24"/>
          <w:szCs w:val="24"/>
        </w:rPr>
        <w:t>ел.енергия</w:t>
      </w:r>
      <w:proofErr w:type="spellEnd"/>
      <w:r w:rsidRPr="00B82D26">
        <w:rPr>
          <w:rFonts w:ascii="Times New Roman" w:hAnsi="Times New Roman"/>
          <w:sz w:val="24"/>
          <w:szCs w:val="24"/>
        </w:rPr>
        <w:t xml:space="preserve">,  вода, отопление, телефонни разходи,  охрана,  пощенски услуги и др.  Когато за предоставянето на услугата с такса е необходимо ползването на служебен транспорт към режийните разходи </w:t>
      </w:r>
      <w:r w:rsidRPr="00B82D26">
        <w:rPr>
          <w:rFonts w:ascii="Times New Roman" w:hAnsi="Times New Roman"/>
          <w:sz w:val="24"/>
          <w:szCs w:val="24"/>
        </w:rPr>
        <w:lastRenderedPageBreak/>
        <w:t>се калкулират и разходите за гориво на съответният автомобил на годишна база. Тези разходи се изчисляват с коефициент, определен  като съотношение между броя на служителите, извършващи остойностяваната услуга, и общия брой на всички служители, разделено на предоставените от административния орган услуги през предходната година.</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В д</w:t>
      </w:r>
      <w:r w:rsidRPr="00523D21">
        <w:rPr>
          <w:rFonts w:ascii="Times New Roman" w:hAnsi="Times New Roman"/>
          <w:sz w:val="24"/>
          <w:szCs w:val="24"/>
        </w:rPr>
        <w:t>руги непреки разходи</w:t>
      </w:r>
      <w:r w:rsidRPr="00B82D26">
        <w:rPr>
          <w:rFonts w:ascii="Times New Roman" w:hAnsi="Times New Roman"/>
          <w:sz w:val="24"/>
          <w:szCs w:val="24"/>
        </w:rPr>
        <w:t xml:space="preserve"> се включват разходите за закупуване на стопански инвентар, като за нормално изпълнение на услугата с такса се приема, че едно работно място е оборудвано с офис-стол, стол </w:t>
      </w:r>
      <w:proofErr w:type="spellStart"/>
      <w:r w:rsidRPr="00B82D26">
        <w:rPr>
          <w:rFonts w:ascii="Times New Roman" w:hAnsi="Times New Roman"/>
          <w:sz w:val="24"/>
          <w:szCs w:val="24"/>
        </w:rPr>
        <w:t>посетителски</w:t>
      </w:r>
      <w:proofErr w:type="spellEnd"/>
      <w:r w:rsidRPr="00B82D26">
        <w:rPr>
          <w:rFonts w:ascii="Times New Roman" w:hAnsi="Times New Roman"/>
          <w:sz w:val="24"/>
          <w:szCs w:val="24"/>
        </w:rPr>
        <w:t xml:space="preserve">, работно бюро, отворена модулна секция и метален офис-шкаф за документи. Тези разходи се пренасят в стойността на услугата по метода на амортизационните отчисления, пропорционално на броят на служителите, свързани с предоставянето на конкретната услуга с такса и </w:t>
      </w:r>
      <w:proofErr w:type="spellStart"/>
      <w:r w:rsidRPr="00B82D26">
        <w:rPr>
          <w:rFonts w:ascii="Times New Roman" w:hAnsi="Times New Roman"/>
          <w:sz w:val="24"/>
          <w:szCs w:val="24"/>
        </w:rPr>
        <w:t>остойностеният</w:t>
      </w:r>
      <w:proofErr w:type="spellEnd"/>
      <w:r w:rsidRPr="00B82D26">
        <w:rPr>
          <w:rFonts w:ascii="Times New Roman" w:hAnsi="Times New Roman"/>
          <w:sz w:val="24"/>
          <w:szCs w:val="24"/>
        </w:rPr>
        <w:t xml:space="preserve"> размер на стопанския инвентар, приет за базов за едно работно място,  и получената сума се раздели на срока на годност на стопанския инвентар съгласно амортизационната политика на общината.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Административни услуги се предоставят със съкратени срокове </w:t>
      </w:r>
      <w:r w:rsidRPr="008E5226">
        <w:rPr>
          <w:rFonts w:ascii="Times New Roman" w:hAnsi="Times New Roman"/>
          <w:sz w:val="24"/>
          <w:szCs w:val="24"/>
          <w:u w:val="single"/>
        </w:rPr>
        <w:t>само</w:t>
      </w:r>
      <w:r w:rsidRPr="00B82D26">
        <w:rPr>
          <w:rFonts w:ascii="Times New Roman" w:hAnsi="Times New Roman"/>
          <w:sz w:val="24"/>
          <w:szCs w:val="24"/>
        </w:rPr>
        <w:t xml:space="preserve"> ако общината за този вид услуга може да ги предоставя и съответната такса е с увеличение с коефициент 2,5.</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Важно е да подчертаем, че с</w:t>
      </w:r>
      <w:r w:rsidRPr="00B82D26">
        <w:rPr>
          <w:rFonts w:ascii="Times New Roman" w:hAnsi="Times New Roman"/>
          <w:sz w:val="24"/>
          <w:szCs w:val="24"/>
        </w:rPr>
        <w:t xml:space="preserve">ъбраните средства от </w:t>
      </w:r>
      <w:r w:rsidRPr="005E0DA9">
        <w:rPr>
          <w:rFonts w:ascii="Times New Roman" w:hAnsi="Times New Roman"/>
          <w:sz w:val="24"/>
          <w:szCs w:val="24"/>
        </w:rPr>
        <w:t xml:space="preserve">административни </w:t>
      </w:r>
      <w:r w:rsidRPr="00B82D26">
        <w:rPr>
          <w:rFonts w:ascii="Times New Roman" w:hAnsi="Times New Roman"/>
          <w:sz w:val="24"/>
          <w:szCs w:val="24"/>
        </w:rPr>
        <w:t xml:space="preserve">такси може да се разходват </w:t>
      </w:r>
      <w:r w:rsidRPr="008E5226">
        <w:rPr>
          <w:rFonts w:ascii="Times New Roman" w:hAnsi="Times New Roman"/>
          <w:sz w:val="24"/>
          <w:szCs w:val="24"/>
          <w:u w:val="single"/>
        </w:rPr>
        <w:t>само</w:t>
      </w:r>
      <w:r w:rsidRPr="00B82D26">
        <w:rPr>
          <w:rFonts w:ascii="Times New Roman" w:hAnsi="Times New Roman"/>
          <w:sz w:val="24"/>
          <w:szCs w:val="24"/>
        </w:rPr>
        <w:t xml:space="preserve"> за покриване на разходите за предоставяне на услугата и за последващ контрол, както и за повишаване качеството на предоставяната услуга чрез създаване и поддържане на електронно обслужване на потребителите. Не могат да се разходват за допълнително материално стимулиране на персонала на административния орган, предоставящ услугата.</w:t>
      </w:r>
    </w:p>
    <w:p w:rsidR="005A552B" w:rsidRPr="008E5226" w:rsidRDefault="005A552B" w:rsidP="005A552B">
      <w:pPr>
        <w:spacing w:after="120" w:line="240" w:lineRule="auto"/>
        <w:jc w:val="both"/>
        <w:rPr>
          <w:rFonts w:ascii="Times New Roman" w:hAnsi="Times New Roman"/>
          <w:b/>
          <w:sz w:val="24"/>
          <w:szCs w:val="24"/>
        </w:rPr>
      </w:pPr>
      <w:r w:rsidRPr="008E5226">
        <w:rPr>
          <w:rFonts w:ascii="Times New Roman" w:hAnsi="Times New Roman"/>
          <w:b/>
          <w:sz w:val="24"/>
          <w:szCs w:val="24"/>
        </w:rPr>
        <w:t>Приходи от общинска собственост.</w:t>
      </w:r>
    </w:p>
    <w:p w:rsidR="005A552B" w:rsidRPr="008E52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 xml:space="preserve">Тези </w:t>
      </w:r>
      <w:r w:rsidRPr="00B82D26">
        <w:rPr>
          <w:rFonts w:ascii="Times New Roman" w:hAnsi="Times New Roman"/>
          <w:sz w:val="24"/>
          <w:szCs w:val="24"/>
        </w:rPr>
        <w:t xml:space="preserve">неданъчни приходи зависят изцяло от местна политика за управление на общинските активи, в съответствие със законово определени изисквания за видове, условия и начин на договаряне/предоставяне на услуги и права. </w:t>
      </w:r>
      <w:r>
        <w:rPr>
          <w:rFonts w:ascii="Times New Roman" w:hAnsi="Times New Roman"/>
          <w:sz w:val="24"/>
          <w:szCs w:val="24"/>
        </w:rPr>
        <w:t xml:space="preserve">Те са: Приходи и доходи от собственост - </w:t>
      </w:r>
      <w:r w:rsidRPr="008E5226">
        <w:rPr>
          <w:rFonts w:ascii="Times New Roman" w:hAnsi="Times New Roman"/>
          <w:sz w:val="24"/>
          <w:szCs w:val="24"/>
        </w:rPr>
        <w:t>от продажб</w:t>
      </w:r>
      <w:r>
        <w:rPr>
          <w:rFonts w:ascii="Times New Roman" w:hAnsi="Times New Roman"/>
          <w:sz w:val="24"/>
          <w:szCs w:val="24"/>
        </w:rPr>
        <w:t xml:space="preserve">и на услуги, стоки и продукция; от наеми на имущество и земя; от дивиденти; </w:t>
      </w:r>
      <w:r w:rsidRPr="008E5226">
        <w:rPr>
          <w:rFonts w:ascii="Times New Roman" w:hAnsi="Times New Roman"/>
          <w:sz w:val="24"/>
          <w:szCs w:val="24"/>
        </w:rPr>
        <w:t>от лихви по т</w:t>
      </w:r>
      <w:r>
        <w:rPr>
          <w:rFonts w:ascii="Times New Roman" w:hAnsi="Times New Roman"/>
          <w:sz w:val="24"/>
          <w:szCs w:val="24"/>
        </w:rPr>
        <w:t>екущи банкови сметки и депозити; о</w:t>
      </w:r>
      <w:r w:rsidRPr="008E5226">
        <w:rPr>
          <w:rFonts w:ascii="Times New Roman" w:hAnsi="Times New Roman"/>
          <w:sz w:val="24"/>
          <w:szCs w:val="24"/>
        </w:rPr>
        <w:t>т продажби на нефинансови активи;</w:t>
      </w:r>
      <w:r>
        <w:rPr>
          <w:rFonts w:ascii="Times New Roman" w:hAnsi="Times New Roman"/>
          <w:sz w:val="24"/>
          <w:szCs w:val="24"/>
        </w:rPr>
        <w:t xml:space="preserve"> о</w:t>
      </w:r>
      <w:r w:rsidRPr="008E5226">
        <w:rPr>
          <w:rFonts w:ascii="Times New Roman" w:hAnsi="Times New Roman"/>
          <w:sz w:val="24"/>
          <w:szCs w:val="24"/>
        </w:rPr>
        <w:t>т приватизация;</w:t>
      </w:r>
      <w:r>
        <w:rPr>
          <w:rFonts w:ascii="Times New Roman" w:hAnsi="Times New Roman"/>
          <w:sz w:val="24"/>
          <w:szCs w:val="24"/>
        </w:rPr>
        <w:t xml:space="preserve"> о</w:t>
      </w:r>
      <w:r w:rsidRPr="008E5226">
        <w:rPr>
          <w:rFonts w:ascii="Times New Roman" w:hAnsi="Times New Roman"/>
          <w:sz w:val="24"/>
          <w:szCs w:val="24"/>
        </w:rPr>
        <w:t>т концесии</w:t>
      </w:r>
      <w:r>
        <w:rPr>
          <w:rFonts w:ascii="Times New Roman" w:hAnsi="Times New Roman"/>
          <w:sz w:val="24"/>
          <w:szCs w:val="24"/>
        </w:rPr>
        <w:t>.</w:t>
      </w:r>
    </w:p>
    <w:p w:rsidR="005A552B" w:rsidRPr="008E5226" w:rsidRDefault="005A552B" w:rsidP="005A552B">
      <w:pPr>
        <w:spacing w:after="120" w:line="240" w:lineRule="auto"/>
        <w:jc w:val="both"/>
        <w:rPr>
          <w:rFonts w:ascii="Times New Roman" w:hAnsi="Times New Roman"/>
          <w:b/>
          <w:sz w:val="24"/>
          <w:szCs w:val="24"/>
        </w:rPr>
      </w:pPr>
      <w:r w:rsidRPr="008E5226">
        <w:rPr>
          <w:rFonts w:ascii="Times New Roman" w:hAnsi="Times New Roman"/>
          <w:b/>
          <w:sz w:val="24"/>
          <w:szCs w:val="24"/>
        </w:rPr>
        <w:t>Планиране и управление на приходите и доходи от собственост</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Традиционно нестабилната финансова обстановка, особено в настоящия момент, налага да се прилага реалистичен подход и да се разработват песимистични прогнози при определяне на приходите и доходите от собственост (наеми и цени на услуги) и приходите от разпоредителните сделки с общинско имущество. Не е желателно да се залага на „кухи” обеми в приходите, с цел балансиране на общинските бюджети и утвърждаване на бюджетни приходи, които не могат да бъдат реализирани.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Съгласно Закона за общинската собственост,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съвет приема Стратегия за управление на общинската собственост за всеки мандат и всяка година се утвърждава Годишна програма за нейното изпълнение. Със Стратегията се предопределят и доходите, които ще получим от управлението на общинската собственост. Годишния план за приходите от управление на общинската собственост е обвързан пряко с Годишната програма за управление на общинската собственост, която трябва да бъде приета от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преди приемане на общинския бюджет за съответната година. Ако в течение на годината се появи интерес към актив/обект, който не е включен в Програмата, тя може да се актуализира, което предполага и промяна в </w:t>
      </w:r>
      <w:r w:rsidRPr="00B82D26">
        <w:rPr>
          <w:rFonts w:ascii="Times New Roman" w:hAnsi="Times New Roman"/>
          <w:sz w:val="24"/>
          <w:szCs w:val="24"/>
        </w:rPr>
        <w:lastRenderedPageBreak/>
        <w:t>бюджета за разпределение на очакваните приходи. За да предложим коректен план на приходите следва да отчетем и в какво състояние е пазара на недвижими имоти в съответния регион, както и да бъде отчетена спецификата на местната икономика: каква е заетостта на населението, на какво ниво е търсенето на строителни и предприемачески услуги.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Т</w:t>
      </w:r>
      <w:r w:rsidRPr="00B82D26">
        <w:rPr>
          <w:rFonts w:ascii="Times New Roman" w:hAnsi="Times New Roman"/>
          <w:sz w:val="24"/>
          <w:szCs w:val="24"/>
        </w:rPr>
        <w:t>рябва да</w:t>
      </w:r>
      <w:r>
        <w:rPr>
          <w:rFonts w:ascii="Times New Roman" w:hAnsi="Times New Roman"/>
          <w:sz w:val="24"/>
          <w:szCs w:val="24"/>
        </w:rPr>
        <w:t xml:space="preserve"> се</w:t>
      </w:r>
      <w:r w:rsidRPr="00B82D26">
        <w:rPr>
          <w:rFonts w:ascii="Times New Roman" w:hAnsi="Times New Roman"/>
          <w:sz w:val="24"/>
          <w:szCs w:val="24"/>
        </w:rPr>
        <w:t xml:space="preserve"> обърне внимание, че актуализираните регистри за общинска собственост в съответствие с изискванията на ЗОС са източници на информация, която е задължително да се ползва при определяне размера на приходите от собственост.</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Постъпленията от продажба на общински имоти, жилища и терени, отстъпено право на строеж върху общинска земя и други разпоредителни сделки по реда на ЗОС, се планират след анализ и експертна оценка на реализираните приходи в предходни години и заявения интерес.</w:t>
      </w:r>
      <w:r w:rsidRPr="00B82D26">
        <w:rPr>
          <w:rFonts w:ascii="Times New Roman" w:hAnsi="Times New Roman"/>
        </w:rPr>
        <w:t xml:space="preserve">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Постъпленията от продажби по Закона за приватизация се планират в бюджета и заедно с приходите от продажби по ЗОС, съгласно ЗПФ, следва да се обвържат с разходите за финансиране на изграждането, основния и текущ ремонт на социалната и техническата инфраструктура, както и за погасяване на ползвани заеми за финансиране на проекти на тази инфраструктура, така че общината да не се «</w:t>
      </w:r>
      <w:proofErr w:type="spellStart"/>
      <w:r w:rsidRPr="00B82D26">
        <w:rPr>
          <w:rFonts w:ascii="Times New Roman" w:hAnsi="Times New Roman"/>
          <w:sz w:val="24"/>
          <w:szCs w:val="24"/>
        </w:rPr>
        <w:t>декапитализира</w:t>
      </w:r>
      <w:proofErr w:type="spellEnd"/>
      <w:r w:rsidRPr="00B82D26">
        <w:rPr>
          <w:rFonts w:ascii="Times New Roman" w:hAnsi="Times New Roman"/>
          <w:sz w:val="24"/>
          <w:szCs w:val="24"/>
        </w:rPr>
        <w:t>».</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Приходите от концесии се планират на база информацията, която имаме за сключените концесионни договори за находища по Закона за подземните богатства. Когато това е предвидено със закон, част от паричните постъпления от концесионни плащания за държавни концесии се превеждат от съответното министерство или ведомство по бюджетите на общините по местонахождението на обекта на концесията. Общините отчитат по бюджетите си преведените суми като приходи от концесии, за които не начисляват ДДС. Тъй като на много места министерствата не превеждат своевременно общинската част от концесиите, е подходящо да се засили текущия контрол и натиска за получаване на полагащото се на общината. </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П</w:t>
      </w:r>
      <w:r w:rsidRPr="00B82D26">
        <w:rPr>
          <w:rFonts w:ascii="Times New Roman" w:hAnsi="Times New Roman"/>
          <w:sz w:val="24"/>
          <w:szCs w:val="24"/>
        </w:rPr>
        <w:t xml:space="preserve">ри определяне размера на приходи и доходи от собственост, да не се пренебрегва участието на кметовете и кметските наместници, които могат да бъдат ценни помагачи за увеличение на постъпленията от приходи и доходи от собственост. Достатъчен стимул за това е обстоятелството, че ЗОС (чл.8, ал.5) изисква при продажба или отдаване под наем на имотите, управлявани от кметовете на райони или на кметства, не по-малко от 30 на сто от средствата, придобити от продажбата или от отдаването под наем, да се предоставят на района или на кметството по местонахождението на съответния имот и да се използват за изпълнение на дейности от местно значение, определени от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По отношение на приходите от наеми, е добре текущо през годината (а не само в периода на подготовка на бюджета, когато традиционно нямаме време за това) да се прави ревизия на вече сключените договори и събираемостта на задълженията по тях, като се използват и всички възможности за актуализация на цените.</w:t>
      </w:r>
    </w:p>
    <w:p w:rsidR="005A552B"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Общинските предприятия и едноличните търговски дружества с общинско участие, отдали под наем предоставените им застроени или незастроени недвижими имоти, дължат вноска в размер 50 на сто от получения наем в общинския бюджет съгласно чл.93, ал.1 от ЗДБРБ за 2016 г. Тези приходи се планират в общинския бюджет като приходи от стопанска дейност. Това предполага да си осигурим необходимата информация за действащи договори и имоти </w:t>
      </w:r>
      <w:r w:rsidRPr="00B82D26">
        <w:rPr>
          <w:rFonts w:ascii="Times New Roman" w:hAnsi="Times New Roman"/>
          <w:sz w:val="24"/>
          <w:szCs w:val="24"/>
        </w:rPr>
        <w:lastRenderedPageBreak/>
        <w:t>на общинските предприятия и едноличните търговски дружества с общинско участие, предназначени за отдаване под наем. Дължимите, но не внесени вноски се установяват и събир</w:t>
      </w:r>
      <w:r>
        <w:rPr>
          <w:rFonts w:ascii="Times New Roman" w:hAnsi="Times New Roman"/>
          <w:sz w:val="24"/>
          <w:szCs w:val="24"/>
        </w:rPr>
        <w:t>ат по реда на ДОПК.</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Т</w:t>
      </w:r>
      <w:r w:rsidRPr="00B82D26">
        <w:rPr>
          <w:rFonts w:ascii="Times New Roman" w:hAnsi="Times New Roman"/>
          <w:sz w:val="24"/>
          <w:szCs w:val="24"/>
        </w:rPr>
        <w:t>рябва да</w:t>
      </w:r>
      <w:r>
        <w:rPr>
          <w:rFonts w:ascii="Times New Roman" w:hAnsi="Times New Roman"/>
          <w:sz w:val="24"/>
          <w:szCs w:val="24"/>
        </w:rPr>
        <w:t xml:space="preserve"> си</w:t>
      </w:r>
      <w:r w:rsidRPr="00B82D26">
        <w:rPr>
          <w:rFonts w:ascii="Times New Roman" w:hAnsi="Times New Roman"/>
          <w:sz w:val="24"/>
          <w:szCs w:val="24"/>
        </w:rPr>
        <w:t xml:space="preserve"> обърне внимание на съществуващите целеви </w:t>
      </w:r>
      <w:proofErr w:type="spellStart"/>
      <w:r w:rsidRPr="00B82D26">
        <w:rPr>
          <w:rFonts w:ascii="Times New Roman" w:hAnsi="Times New Roman"/>
          <w:sz w:val="24"/>
          <w:szCs w:val="24"/>
        </w:rPr>
        <w:t>обвръзки</w:t>
      </w:r>
      <w:proofErr w:type="spellEnd"/>
      <w:r w:rsidRPr="00B82D26">
        <w:rPr>
          <w:rFonts w:ascii="Times New Roman" w:hAnsi="Times New Roman"/>
          <w:sz w:val="24"/>
          <w:szCs w:val="24"/>
        </w:rPr>
        <w:t xml:space="preserve"> и предназначение на приходите от продажба на общинска собственост и приватизация, както и на еднократния характер на част приходите от общинска собственост (продажби и приватизация), както и рискове за изпълнение на заложените в бюджета прогнози.</w:t>
      </w:r>
    </w:p>
    <w:p w:rsidR="005A552B" w:rsidRPr="008E5226" w:rsidRDefault="005A552B" w:rsidP="005A552B">
      <w:pPr>
        <w:spacing w:after="120" w:line="240" w:lineRule="auto"/>
        <w:jc w:val="both"/>
        <w:rPr>
          <w:rFonts w:ascii="Times New Roman" w:hAnsi="Times New Roman"/>
          <w:b/>
          <w:sz w:val="24"/>
          <w:szCs w:val="24"/>
        </w:rPr>
      </w:pPr>
      <w:r w:rsidRPr="008E5226">
        <w:rPr>
          <w:rFonts w:ascii="Times New Roman" w:hAnsi="Times New Roman"/>
          <w:b/>
          <w:sz w:val="24"/>
          <w:szCs w:val="24"/>
        </w:rPr>
        <w:t>Целево разходване на постъпленията за райони, кметства и кметски наместничества</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В</w:t>
      </w:r>
      <w:r w:rsidRPr="00B82D26">
        <w:rPr>
          <w:rFonts w:ascii="Times New Roman" w:hAnsi="Times New Roman"/>
          <w:sz w:val="24"/>
          <w:szCs w:val="24"/>
        </w:rPr>
        <w:t xml:space="preserve"> допълне</w:t>
      </w:r>
      <w:r>
        <w:rPr>
          <w:rFonts w:ascii="Times New Roman" w:hAnsi="Times New Roman"/>
          <w:sz w:val="24"/>
          <w:szCs w:val="24"/>
        </w:rPr>
        <w:t xml:space="preserve">ние на чл.8, ал.5 от ЗОС,  са </w:t>
      </w:r>
      <w:r w:rsidRPr="00B82D26">
        <w:rPr>
          <w:rFonts w:ascii="Times New Roman" w:hAnsi="Times New Roman"/>
          <w:sz w:val="24"/>
          <w:szCs w:val="24"/>
        </w:rPr>
        <w:t>новите разпоредби на чл. 52, ал. 2, 3, 5 и 6 от ЗМСМА (</w:t>
      </w:r>
      <w:proofErr w:type="spellStart"/>
      <w:r w:rsidRPr="00B82D26">
        <w:rPr>
          <w:rFonts w:ascii="Times New Roman" w:hAnsi="Times New Roman"/>
          <w:sz w:val="24"/>
          <w:szCs w:val="24"/>
        </w:rPr>
        <w:t>обн</w:t>
      </w:r>
      <w:proofErr w:type="spellEnd"/>
      <w:r w:rsidRPr="00B82D26">
        <w:rPr>
          <w:rFonts w:ascii="Times New Roman" w:hAnsi="Times New Roman"/>
          <w:sz w:val="24"/>
          <w:szCs w:val="24"/>
        </w:rPr>
        <w:t xml:space="preserve">. ДВ, бр. 107/2020 г.), </w:t>
      </w:r>
      <w:r w:rsidRPr="00B82D26">
        <w:rPr>
          <w:rFonts w:ascii="Times New Roman" w:hAnsi="Times New Roman"/>
          <w:sz w:val="24"/>
          <w:szCs w:val="24"/>
          <w:u w:val="single"/>
        </w:rPr>
        <w:t>които ще действат занапред</w:t>
      </w:r>
      <w:r w:rsidRPr="00B82D26">
        <w:rPr>
          <w:rFonts w:ascii="Times New Roman" w:hAnsi="Times New Roman"/>
          <w:sz w:val="24"/>
          <w:szCs w:val="24"/>
        </w:rPr>
        <w:t xml:space="preserve">. Това означава, че във всяко решение на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за разпореждане или управление на общинска собственост на територията на съответните населени места или кметства следва да се предвижда конкретен текст за определените за тази цел средства, които впоследствие при реализиране на сделката и актуализация на бюджета, да се добавят към съответните разчети по показателите по чл. 45, ал. 1, т. 2 от ЗПФ (разходите) за съответния район, кметство или кметско наместничество. Това са приходи от отдаване под наем, под аренда, при ползването на дървесина и недървесни горски продукти и при разпореждане с имоти и вещи - общинска собственост, които се намират на територията на съответното населено място извън територията на общинския център, извън случаите на приватизация, за които общинският съвет определя:</w:t>
      </w:r>
    </w:p>
    <w:p w:rsidR="005A552B" w:rsidRPr="00B82D26" w:rsidRDefault="005A552B" w:rsidP="005A552B">
      <w:pPr>
        <w:pStyle w:val="ListParagraph"/>
        <w:numPr>
          <w:ilvl w:val="0"/>
          <w:numId w:val="4"/>
        </w:numPr>
        <w:spacing w:after="120" w:line="240" w:lineRule="auto"/>
        <w:jc w:val="both"/>
        <w:rPr>
          <w:rFonts w:ascii="Times New Roman" w:hAnsi="Times New Roman"/>
          <w:sz w:val="24"/>
          <w:szCs w:val="24"/>
        </w:rPr>
      </w:pPr>
      <w:r w:rsidRPr="00B82D26">
        <w:rPr>
          <w:rFonts w:ascii="Times New Roman" w:hAnsi="Times New Roman"/>
          <w:sz w:val="24"/>
          <w:szCs w:val="24"/>
        </w:rPr>
        <w:t xml:space="preserve">не по-малко от 30 на сто от постъпленията от продажбата на общински нефинансови активи да се използват за финансиране на изграждането, за основен и текущ ремонт на социалната и техническата инфраструктура на територията на съответното населено място; </w:t>
      </w:r>
    </w:p>
    <w:p w:rsidR="005A552B" w:rsidRPr="00B82D26" w:rsidRDefault="005A552B" w:rsidP="005A552B">
      <w:pPr>
        <w:pStyle w:val="ListParagraph"/>
        <w:numPr>
          <w:ilvl w:val="0"/>
          <w:numId w:val="4"/>
        </w:numPr>
        <w:spacing w:after="120" w:line="240" w:lineRule="auto"/>
        <w:jc w:val="both"/>
        <w:rPr>
          <w:rFonts w:ascii="Times New Roman" w:hAnsi="Times New Roman"/>
          <w:sz w:val="24"/>
          <w:szCs w:val="24"/>
        </w:rPr>
      </w:pPr>
      <w:r w:rsidRPr="00B82D26">
        <w:rPr>
          <w:rFonts w:ascii="Times New Roman" w:hAnsi="Times New Roman"/>
          <w:sz w:val="24"/>
          <w:szCs w:val="24"/>
        </w:rPr>
        <w:t>не по-малко от 30 на сто от постъпленията от разпореждането с друго общинско имущество, от наем, от аренда на земеделски земи и горски територии и от ползването на дървесина и недървесни горски продукти от горите, общинска собственост, да се използват за изпълнение на дейности от местно значение в съответното населено място.</w:t>
      </w:r>
    </w:p>
    <w:p w:rsidR="005A552B" w:rsidRPr="008E5226" w:rsidRDefault="005A552B" w:rsidP="005A552B">
      <w:pPr>
        <w:spacing w:after="120" w:line="240" w:lineRule="auto"/>
        <w:jc w:val="both"/>
        <w:rPr>
          <w:rFonts w:ascii="Times New Roman" w:hAnsi="Times New Roman"/>
          <w:b/>
          <w:sz w:val="24"/>
          <w:szCs w:val="24"/>
        </w:rPr>
      </w:pPr>
      <w:r w:rsidRPr="008E5226">
        <w:rPr>
          <w:rFonts w:ascii="Times New Roman" w:hAnsi="Times New Roman"/>
          <w:b/>
          <w:sz w:val="24"/>
          <w:szCs w:val="24"/>
        </w:rPr>
        <w:t>Държавни трансфери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В бюджета за 2021 година едва за 11% от определените субсидии общините имат пълни правомощия.</w:t>
      </w:r>
    </w:p>
    <w:p w:rsidR="005A552B"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Основните трансфери, които постъпват по общинските б</w:t>
      </w:r>
      <w:r>
        <w:rPr>
          <w:rFonts w:ascii="Times New Roman" w:hAnsi="Times New Roman"/>
          <w:sz w:val="24"/>
          <w:szCs w:val="24"/>
        </w:rPr>
        <w:t xml:space="preserve">юджети са представени на фигурата по-долу. </w:t>
      </w:r>
      <w:r w:rsidRPr="0004701A">
        <w:rPr>
          <w:rFonts w:ascii="Times New Roman" w:hAnsi="Times New Roman"/>
          <w:sz w:val="24"/>
          <w:szCs w:val="24"/>
        </w:rPr>
        <w:t>Това, на което трябва да се обърне внимание и е важно да бъде отчитано са показателите, по които се разпределят тези трансфери по общини. Години наред НСОРБ отстоява тези показатели да са обективни, т.е. да измерват потребностите от държавни субсидии, да бъдат прозрачни, измерими и да не могат да бъдат „манипулирани“. Има много какво да се променя в начина на определяне на общия размер и във формулите за разпределение на субсидиите, така че да постигаме по-добър баланс между изисквания за обхват и качество на услугите, предоставяни от общините и сумите, които получаваме от държавата.</w:t>
      </w:r>
    </w:p>
    <w:p w:rsidR="005A552B" w:rsidRDefault="005A552B" w:rsidP="005A552B">
      <w:pPr>
        <w:spacing w:after="120" w:line="240" w:lineRule="auto"/>
        <w:jc w:val="both"/>
        <w:rPr>
          <w:rFonts w:ascii="Times New Roman" w:hAnsi="Times New Roman"/>
          <w:sz w:val="24"/>
          <w:szCs w:val="24"/>
        </w:rPr>
      </w:pPr>
      <w:r>
        <w:rPr>
          <w:noProof/>
          <w:lang w:eastAsia="bg-BG"/>
        </w:rPr>
        <w:lastRenderedPageBreak/>
        <w:drawing>
          <wp:inline distT="0" distB="0" distL="0" distR="0" wp14:anchorId="552FDF7B" wp14:editId="289D4501">
            <wp:extent cx="6014720" cy="2878455"/>
            <wp:effectExtent l="0" t="0" r="0" b="0"/>
            <wp:docPr id="3" name="Контейнер за съдържание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Контейнер за съдържание 5"/>
                    <pic:cNvPicPr>
                      <a:picLocks noGrp="1" noChangeAspect="1"/>
                    </pic:cNvPicPr>
                  </pic:nvPicPr>
                  <pic:blipFill>
                    <a:blip r:embed="rId7"/>
                    <a:stretch>
                      <a:fillRect/>
                    </a:stretch>
                  </pic:blipFill>
                  <pic:spPr>
                    <a:xfrm>
                      <a:off x="0" y="0"/>
                      <a:ext cx="6014720" cy="2878455"/>
                    </a:xfrm>
                    <a:prstGeom prst="rect">
                      <a:avLst/>
                    </a:prstGeom>
                  </pic:spPr>
                </pic:pic>
              </a:graphicData>
            </a:graphic>
          </wp:inline>
        </w:drawing>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Естествено е нашите местни финансови политики да бъдат съобразени със средата, условия и рисковете, при които подготвяме и изпълняваме общинските бюджети, включително и по отношение на непредвидени промени в размерите на субсидиите през следващи бюджетни години, а именно: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Натиск върху органите на местно самоуправление за осигуряване на ръста на МРЗ и на цените на стоките, който остава </w:t>
      </w:r>
      <w:proofErr w:type="spellStart"/>
      <w:r w:rsidRPr="00B82D26">
        <w:rPr>
          <w:rFonts w:ascii="Times New Roman" w:hAnsi="Times New Roman"/>
          <w:sz w:val="24"/>
          <w:szCs w:val="24"/>
        </w:rPr>
        <w:t>недофинасиран</w:t>
      </w:r>
      <w:proofErr w:type="spellEnd"/>
      <w:r w:rsidRPr="00B82D26">
        <w:rPr>
          <w:rFonts w:ascii="Times New Roman" w:hAnsi="Times New Roman"/>
          <w:sz w:val="24"/>
          <w:szCs w:val="24"/>
        </w:rPr>
        <w:t xml:space="preserve"> от стандартите за делегираните от държавата дейности и от изравнителната субсидия. В секторите социални услуги</w:t>
      </w:r>
      <w:r w:rsidRPr="00831F71">
        <w:rPr>
          <w:rFonts w:ascii="Times New Roman" w:hAnsi="Times New Roman"/>
          <w:sz w:val="24"/>
          <w:szCs w:val="24"/>
        </w:rPr>
        <w:t xml:space="preserve"> и </w:t>
      </w:r>
      <w:r w:rsidRPr="00B82D26">
        <w:rPr>
          <w:rFonts w:ascii="Times New Roman" w:hAnsi="Times New Roman"/>
          <w:sz w:val="24"/>
          <w:szCs w:val="24"/>
        </w:rPr>
        <w:t xml:space="preserve">култура възнаграждения на служителите почти се изравниха с размера на минималната работна заплата, за разлика от други сектори – като образованието, където има значителни ръстове.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 „Дефектите“ на разпределителните механизми, особено за разпределение по общини на общата изравнителна субсидия. Пред последната година сме свидетели на изключване от достъп до субсидия заради превишение в размер на стотинки на жител. Става въпрос за стойността на постоянните данъчни приходи на съответната община, които се сравняват със 120% от средното за страната. За информация средните постъпления на 1 ж. от т.нар. постоянни данъчни приходи за 2019 г. (от данък върху недвижимите имоти, данък върху превозните средства, туристическия данък, патентен данък и данък върху таксиметровия превоз на пътници) са в размер на 104,68 лв./жител и при превишение над 120% общината се изключва от достъп до изравнителна субсидия. Само за размисъл – този показател през 2019 година е нараснал в сравнение с 2018 г. с 4,20 лв./жител и от достъп до изравнителна субсидия са изключени 18 общини. Какво ще се случи с разпределението на изравнителната субсидия за 2022 г. когато ще се вземе предвид показателя за 2020 г. – годината с намалелите ни приходи?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Правото да получаваме повече средства за делегираните от държавата дейности е свързано с налагането на повече “ограничители” в Закона, отколкото възможности. Това право е свързано и с лавинообразно нарастващия (свръх) контрол върху местните финанси – проверки, санкции и глоби от всевъзможни институции.</w:t>
      </w:r>
    </w:p>
    <w:p w:rsidR="005A552B" w:rsidRDefault="005A552B" w:rsidP="005A552B">
      <w:pPr>
        <w:spacing w:after="120" w:line="240" w:lineRule="auto"/>
        <w:jc w:val="both"/>
        <w:rPr>
          <w:rFonts w:ascii="Times New Roman" w:hAnsi="Times New Roman"/>
          <w:b/>
          <w:sz w:val="24"/>
          <w:szCs w:val="24"/>
        </w:rPr>
      </w:pPr>
    </w:p>
    <w:p w:rsidR="005A552B" w:rsidRPr="0004701A" w:rsidRDefault="005A552B" w:rsidP="005A552B">
      <w:pPr>
        <w:spacing w:after="120" w:line="240" w:lineRule="auto"/>
        <w:jc w:val="both"/>
        <w:rPr>
          <w:rFonts w:ascii="Times New Roman" w:hAnsi="Times New Roman"/>
          <w:b/>
          <w:sz w:val="24"/>
          <w:szCs w:val="24"/>
        </w:rPr>
      </w:pPr>
      <w:r w:rsidRPr="0004701A">
        <w:rPr>
          <w:rFonts w:ascii="Times New Roman" w:hAnsi="Times New Roman"/>
          <w:b/>
          <w:sz w:val="24"/>
          <w:szCs w:val="24"/>
        </w:rPr>
        <w:lastRenderedPageBreak/>
        <w:t>Обща субсидия за делегирани дейности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Це</w:t>
      </w:r>
      <w:r w:rsidRPr="00B82D26">
        <w:rPr>
          <w:rFonts w:ascii="Times New Roman" w:hAnsi="Times New Roman"/>
          <w:sz w:val="24"/>
          <w:szCs w:val="24"/>
        </w:rPr>
        <w:t xml:space="preserve">лта </w:t>
      </w:r>
      <w:r>
        <w:rPr>
          <w:rFonts w:ascii="Times New Roman" w:hAnsi="Times New Roman"/>
          <w:sz w:val="24"/>
          <w:szCs w:val="24"/>
        </w:rPr>
        <w:t>е д</w:t>
      </w:r>
      <w:r w:rsidRPr="00B82D26">
        <w:rPr>
          <w:rFonts w:ascii="Times New Roman" w:hAnsi="Times New Roman"/>
          <w:sz w:val="24"/>
          <w:szCs w:val="24"/>
        </w:rPr>
        <w:t>а се осигурят средства за изпълнение на държавната политика в отделните сектори. Размерът по общини се определя на база стандарти за делегираните от държавата дейности, определени с Решение на Министерски съвет и съответните натурални показатели за всяка дейност за всяка община. Стойностните показатели се определят съгласно ЗДБРБ за съответната година. Приходите от ОСДД се планират в общинския бюджет, съобразно определените размери по ЗДБРБ за съответната година. ОСДД се получава по сметките на общините за всеки месец по 1/3 от разпределението ѝ по тримесечия, както следва: първо тримесечие 30 на сто; второ тримесечие 25 на сто; трето тримесечие 20 на сто и четвърто тримесечие 25 на сто.</w:t>
      </w:r>
    </w:p>
    <w:p w:rsidR="005A552B" w:rsidRPr="0004701A" w:rsidRDefault="005A552B" w:rsidP="005A552B">
      <w:pPr>
        <w:spacing w:after="120" w:line="240" w:lineRule="auto"/>
        <w:jc w:val="both"/>
        <w:rPr>
          <w:rFonts w:ascii="Times New Roman" w:hAnsi="Times New Roman"/>
          <w:b/>
          <w:sz w:val="24"/>
          <w:szCs w:val="24"/>
        </w:rPr>
      </w:pPr>
      <w:r w:rsidRPr="0004701A">
        <w:rPr>
          <w:rFonts w:ascii="Times New Roman" w:hAnsi="Times New Roman"/>
          <w:b/>
          <w:sz w:val="24"/>
          <w:szCs w:val="24"/>
        </w:rPr>
        <w:t>Трансфери за местни дейности</w:t>
      </w:r>
      <w:r>
        <w:rPr>
          <w:rFonts w:ascii="Times New Roman" w:hAnsi="Times New Roman"/>
          <w:b/>
          <w:sz w:val="24"/>
          <w:szCs w:val="24"/>
        </w:rPr>
        <w:t>:</w:t>
      </w:r>
    </w:p>
    <w:p w:rsidR="005A552B" w:rsidRPr="00B82D26" w:rsidRDefault="005A552B" w:rsidP="005A552B">
      <w:pPr>
        <w:spacing w:after="120" w:line="240" w:lineRule="auto"/>
        <w:jc w:val="both"/>
        <w:rPr>
          <w:rFonts w:ascii="Times New Roman" w:hAnsi="Times New Roman"/>
          <w:b/>
          <w:sz w:val="24"/>
          <w:szCs w:val="24"/>
        </w:rPr>
      </w:pPr>
      <w:r w:rsidRPr="00B82D26">
        <w:rPr>
          <w:rFonts w:ascii="Times New Roman" w:hAnsi="Times New Roman"/>
          <w:b/>
          <w:sz w:val="24"/>
          <w:szCs w:val="24"/>
        </w:rPr>
        <w:t>Обща изравнителна субсидия</w:t>
      </w:r>
      <w:r>
        <w:rPr>
          <w:rFonts w:ascii="Times New Roman" w:hAnsi="Times New Roman"/>
          <w:b/>
          <w:sz w:val="24"/>
          <w:szCs w:val="24"/>
        </w:rPr>
        <w:t xml:space="preserve"> (ОИС)</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сновната цел на ОИС е да се изравнят възможностите на общините за предоставяне на  минимално равнище на приходи за предоставяне на публични услуги. Общият размер на ОИС се определя съгласно чл.54, ал.2 от ЗПФ в размер не по-малък от 10 на сто от отчета на собствените приходи на всички общини по последния годишен отчет за касовото изпълнение на бюджетите им.</w:t>
      </w:r>
      <w:r>
        <w:rPr>
          <w:rFonts w:ascii="Times New Roman" w:hAnsi="Times New Roman"/>
          <w:sz w:val="24"/>
          <w:szCs w:val="24"/>
        </w:rPr>
        <w:t xml:space="preserve"> </w:t>
      </w:r>
      <w:r w:rsidRPr="00B82D26">
        <w:rPr>
          <w:rFonts w:ascii="Times New Roman" w:hAnsi="Times New Roman"/>
          <w:sz w:val="24"/>
          <w:szCs w:val="24"/>
        </w:rPr>
        <w:t>Размерът на ОИС за конкретната община се определя с формула по Приложение към ЗДБРБ за конкретната година. Достъп до изравнителна субсидия имат общините, чиито постоянни данъчни постъпления към 31 декември на годината, за която има годишен отчет за всички общини на един жител са по-ниски от 120% от равнището им за страната на един жител. Формулата за разпределението й по общини включва следните компоненти: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b/>
          <w:sz w:val="24"/>
          <w:szCs w:val="24"/>
        </w:rPr>
        <w:t>Първият компонент</w:t>
      </w:r>
      <w:r w:rsidRPr="00B82D26">
        <w:rPr>
          <w:rFonts w:ascii="Times New Roman" w:hAnsi="Times New Roman"/>
          <w:sz w:val="24"/>
          <w:szCs w:val="24"/>
        </w:rPr>
        <w:t xml:space="preserve"> се формира на база приходния капацитет на общината да генерира данъчни приходи и има най-голям дял – 73,1% от общата сума на изравнителната субсидия. Право да получават тази част от субсидията имат общините с посочения достъп в зависимост от постоянните данъчни постъпления на един жител, като изравняването е в размер на разликата между 120 % от равнището за страната и постоянните данъчни постъпления на един жител за конкретната община, умножена по броя на жителите й. </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 xml:space="preserve">Обърнете внимание, че </w:t>
      </w:r>
      <w:r w:rsidRPr="00B82D26">
        <w:rPr>
          <w:rFonts w:ascii="Times New Roman" w:hAnsi="Times New Roman"/>
          <w:sz w:val="24"/>
          <w:szCs w:val="24"/>
        </w:rPr>
        <w:t>в Приложението към чл.50 от ЗДБРБ за 2021 г. Механизъм за определяне на основните бюджетни взаимоотношения между централния бюджет и бюджетите на общините, обикновено се предоставя конкретна числова информация за размера на постоянните данъчни постъпления на един жител за страната към 31 декември на годината, за която има годишен отчет. На база на тази информация, експертите от всяка община биха могли да направят своя анализ за мястото на общината по отношение на тази много важна за разпределението на субсидията величина, защото практиката показва, че не могат да се очакват драстични отклонения в показателя в отделните години.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b/>
          <w:sz w:val="24"/>
          <w:szCs w:val="24"/>
        </w:rPr>
        <w:t>Вторият компонент</w:t>
      </w:r>
      <w:r w:rsidRPr="00B82D26">
        <w:rPr>
          <w:rFonts w:ascii="Times New Roman" w:hAnsi="Times New Roman"/>
          <w:sz w:val="24"/>
          <w:szCs w:val="24"/>
        </w:rPr>
        <w:t xml:space="preserve"> се формира на база разходните потребности на конкретната община с достъп (20,2% от общата сума), измерени на база натурални показатели: брой деца до 5 г.; брой деца от 6-14 г., брой възрастни на и над 65 г., територия, дължина на общински пътища и население, като теглото на всеки от показателите се определя в зависимост от структурата на разходите за местни дейности на национално ниво. На всяка община се определя дял на всеки от натуралните показатели от общата сума на показателя за страната, като всеки дял </w:t>
      </w:r>
      <w:r w:rsidRPr="00B82D26">
        <w:rPr>
          <w:rFonts w:ascii="Times New Roman" w:hAnsi="Times New Roman"/>
          <w:sz w:val="24"/>
          <w:szCs w:val="24"/>
        </w:rPr>
        <w:lastRenderedPageBreak/>
        <w:t>се умножава с теглото за показателя (%). Сумата от така получените дялове формира съответния дял разходни потребности на конкретната община. Всеки финансов експерт от общините може да определи тези показатели и да изчисли размера на ОИС по този компонент за своята община.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b/>
          <w:sz w:val="24"/>
          <w:szCs w:val="24"/>
        </w:rPr>
        <w:t>Третият компонент</w:t>
      </w:r>
      <w:r w:rsidRPr="00B82D26">
        <w:rPr>
          <w:rFonts w:ascii="Times New Roman" w:hAnsi="Times New Roman"/>
          <w:sz w:val="24"/>
          <w:szCs w:val="24"/>
        </w:rPr>
        <w:t xml:space="preserve"> е за общините, които по отчетни данни от последната година, за която има годишен отчет са с много нисък приходен капацитет, т.е. по-малък от 25 на сто (3,8% от общата сума). Разпределението на тази част от субсидията е на база относителния дял на разликата между 25 % и полученото съотношение на приходи към общи постъпления за конкретната община с достъп.</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b/>
          <w:sz w:val="24"/>
          <w:szCs w:val="24"/>
        </w:rPr>
        <w:t>Четвъртият компонент</w:t>
      </w:r>
      <w:r w:rsidRPr="00B82D26">
        <w:rPr>
          <w:rFonts w:ascii="Times New Roman" w:hAnsi="Times New Roman"/>
          <w:sz w:val="24"/>
          <w:szCs w:val="24"/>
        </w:rPr>
        <w:t xml:space="preserve"> осигурява размера на общата изравнителна субсидия, определен в ЗДБРБ за предходната година за общините с достъп и формира 2,7% от общата сума;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b/>
          <w:sz w:val="24"/>
          <w:szCs w:val="24"/>
        </w:rPr>
        <w:t>Петият компонент</w:t>
      </w:r>
      <w:r w:rsidRPr="00B82D26">
        <w:rPr>
          <w:rFonts w:ascii="Times New Roman" w:hAnsi="Times New Roman"/>
          <w:sz w:val="24"/>
          <w:szCs w:val="24"/>
        </w:rPr>
        <w:t xml:space="preserve"> е за общините с достъп, които имат данъчно усилие над средното за страната и е в размер на 0,2% от общата сума. В този компонент данъчното усилие се измерва с размера на ставките за данъка върху недвижимите имоти, данъка при придобиване на имущество по възмезден начин, данъка върху превозните средства - за леки автомобили над 74 </w:t>
      </w:r>
      <w:proofErr w:type="spellStart"/>
      <w:r w:rsidRPr="00B82D26">
        <w:rPr>
          <w:rFonts w:ascii="Times New Roman" w:hAnsi="Times New Roman"/>
          <w:sz w:val="24"/>
          <w:szCs w:val="24"/>
        </w:rPr>
        <w:t>kW</w:t>
      </w:r>
      <w:proofErr w:type="spellEnd"/>
      <w:r w:rsidRPr="00B82D26">
        <w:rPr>
          <w:rFonts w:ascii="Times New Roman" w:hAnsi="Times New Roman"/>
          <w:sz w:val="24"/>
          <w:szCs w:val="24"/>
        </w:rPr>
        <w:t xml:space="preserve"> до 110 </w:t>
      </w:r>
      <w:proofErr w:type="spellStart"/>
      <w:r w:rsidRPr="00B82D26">
        <w:rPr>
          <w:rFonts w:ascii="Times New Roman" w:hAnsi="Times New Roman"/>
          <w:sz w:val="24"/>
          <w:szCs w:val="24"/>
        </w:rPr>
        <w:t>kW</w:t>
      </w:r>
      <w:proofErr w:type="spellEnd"/>
      <w:r w:rsidRPr="00B82D26">
        <w:rPr>
          <w:rFonts w:ascii="Times New Roman" w:hAnsi="Times New Roman"/>
          <w:sz w:val="24"/>
          <w:szCs w:val="24"/>
        </w:rPr>
        <w:t xml:space="preserve"> и данъка върху превозните средства – за товарни автомобили до 12 т на конкретната община за 2018 г. към съответните средни стойности за страната за всеки от изброените данъци.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Общата изравнителна субсидия се предоставя до 20 януари в размер 50 на сто, до 20 юли – 25 на сто и до 20 октомври – останалите 25 на сто.  по механизъм, който е част от ЗДБРБ за съответната година</w:t>
      </w:r>
    </w:p>
    <w:p w:rsidR="005A552B" w:rsidRPr="00B82D26" w:rsidRDefault="005A552B" w:rsidP="005A552B">
      <w:pPr>
        <w:spacing w:after="120" w:line="240" w:lineRule="auto"/>
        <w:jc w:val="both"/>
        <w:rPr>
          <w:rFonts w:ascii="Times New Roman" w:hAnsi="Times New Roman"/>
          <w:b/>
          <w:sz w:val="24"/>
          <w:szCs w:val="24"/>
        </w:rPr>
      </w:pPr>
      <w:r w:rsidRPr="00B82D26">
        <w:rPr>
          <w:rFonts w:ascii="Times New Roman" w:hAnsi="Times New Roman"/>
          <w:b/>
          <w:sz w:val="24"/>
          <w:szCs w:val="24"/>
        </w:rPr>
        <w:t xml:space="preserve">Трансфер за зимно поддържане и </w:t>
      </w:r>
      <w:proofErr w:type="spellStart"/>
      <w:r w:rsidRPr="00B82D26">
        <w:rPr>
          <w:rFonts w:ascii="Times New Roman" w:hAnsi="Times New Roman"/>
          <w:b/>
          <w:sz w:val="24"/>
          <w:szCs w:val="24"/>
        </w:rPr>
        <w:t>снегопочистване</w:t>
      </w:r>
      <w:proofErr w:type="spellEnd"/>
      <w:r w:rsidRPr="00B82D26">
        <w:rPr>
          <w:rFonts w:ascii="Times New Roman" w:hAnsi="Times New Roman"/>
          <w:b/>
          <w:sz w:val="24"/>
          <w:szCs w:val="24"/>
        </w:rPr>
        <w:t xml:space="preserve"> на общински пътища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Цели – осигуряване на средства за общините за справяне при зимни условия. По общини се разпределя съгласно Механизъм за разпределение в ЗДБРБ за съответната година. Основен компонент на трансфера за зимно поддържане и </w:t>
      </w:r>
      <w:proofErr w:type="spellStart"/>
      <w:r w:rsidRPr="00B82D26">
        <w:rPr>
          <w:rFonts w:ascii="Times New Roman" w:hAnsi="Times New Roman"/>
          <w:sz w:val="24"/>
          <w:szCs w:val="24"/>
        </w:rPr>
        <w:t>снегопочистване</w:t>
      </w:r>
      <w:proofErr w:type="spellEnd"/>
      <w:r w:rsidRPr="00B82D26">
        <w:rPr>
          <w:rFonts w:ascii="Times New Roman" w:hAnsi="Times New Roman"/>
          <w:sz w:val="24"/>
          <w:szCs w:val="24"/>
        </w:rPr>
        <w:t xml:space="preserve"> на общински пътища е географското и височинно разположение с тежест 85 % и се определя на базата на параметри за дължина на общинските пътища в планински райони, дължина на общински пътища в равнинни райони и дължина на общински пътища в райони, характерни със </w:t>
      </w:r>
      <w:proofErr w:type="spellStart"/>
      <w:r w:rsidRPr="00B82D26">
        <w:rPr>
          <w:rFonts w:ascii="Times New Roman" w:hAnsi="Times New Roman"/>
          <w:sz w:val="24"/>
          <w:szCs w:val="24"/>
        </w:rPr>
        <w:t>снегонавявания</w:t>
      </w:r>
      <w:proofErr w:type="spellEnd"/>
      <w:r w:rsidRPr="00B82D26">
        <w:rPr>
          <w:rFonts w:ascii="Times New Roman" w:hAnsi="Times New Roman"/>
          <w:sz w:val="24"/>
          <w:szCs w:val="24"/>
        </w:rPr>
        <w:t xml:space="preserve"> и заледявания, които се предоставят от МРРБ. Следващият компонент е броя на населените места, с изключение на тези без население с тежест от 10 % и броя на населението с тежест 5 %. Трансферът за зимно поддържане и </w:t>
      </w:r>
      <w:proofErr w:type="spellStart"/>
      <w:r w:rsidRPr="00B82D26">
        <w:rPr>
          <w:rFonts w:ascii="Times New Roman" w:hAnsi="Times New Roman"/>
          <w:sz w:val="24"/>
          <w:szCs w:val="24"/>
        </w:rPr>
        <w:t>снегопочистване</w:t>
      </w:r>
      <w:proofErr w:type="spellEnd"/>
      <w:r w:rsidRPr="00B82D26">
        <w:rPr>
          <w:rFonts w:ascii="Times New Roman" w:hAnsi="Times New Roman"/>
          <w:sz w:val="24"/>
          <w:szCs w:val="24"/>
        </w:rPr>
        <w:t xml:space="preserve"> се предоставя в следните срокове: до 20 януари в размер 75 на сто, до 31октомври – останалите 25 на сто</w:t>
      </w:r>
    </w:p>
    <w:p w:rsidR="005A552B" w:rsidRPr="0004701A" w:rsidRDefault="005A552B" w:rsidP="005A552B">
      <w:pPr>
        <w:spacing w:after="120" w:line="240" w:lineRule="auto"/>
        <w:jc w:val="both"/>
        <w:rPr>
          <w:rFonts w:ascii="Times New Roman" w:hAnsi="Times New Roman"/>
          <w:b/>
          <w:sz w:val="24"/>
          <w:szCs w:val="24"/>
        </w:rPr>
      </w:pPr>
      <w:r w:rsidRPr="0004701A">
        <w:rPr>
          <w:rFonts w:ascii="Times New Roman" w:hAnsi="Times New Roman"/>
          <w:b/>
          <w:sz w:val="24"/>
          <w:szCs w:val="24"/>
        </w:rPr>
        <w:t>Целева субсидия за капиталови разходи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Цели – подпомагане на общините за осъществяване на основни ремонти на общинска инфраструктура, придобиване на дълготрайни материални и нематериални активи. Няма законовоопределен начин, по който да се формира общия размер на ЦСКР, а той се определя от Министерство на финансите според възможностите на бюджета за съответната година. Разпределението по общини на определената на по механизъм, който е част от ЗДБРБ за съответната година, като основен компонент за разпределение по общини на целевата субсидия за капиталови разходи са следните показатели в съответните съотношения: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брой населени места, с изключване на местата без население и с население до 10 души – 45 %;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w:t>
      </w:r>
      <w:r w:rsidRPr="00B82D26">
        <w:rPr>
          <w:rFonts w:ascii="Times New Roman" w:hAnsi="Times New Roman"/>
          <w:sz w:val="24"/>
          <w:szCs w:val="24"/>
        </w:rPr>
        <w:tab/>
        <w:t xml:space="preserve">дължина на общинските пътища – 25 %;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брой население – 25%;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територия – 5%.</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В последните години в целевата субсидия за капиталови разходи се предвижда ресурс за подпомагане на общините от 4-та и 5-та категория за подобряване на състоянието на социалната и техническа инфраструктура на територията на общината. Достъп до тази част на субсидията имат всички общини от 4-та и 5-та категория, съгласно утвърдената от министъра на регионалното развитие и благоустройството със заповед № РД-02-14-2021/2012 г. (</w:t>
      </w:r>
      <w:proofErr w:type="spellStart"/>
      <w:r w:rsidRPr="00B82D26">
        <w:rPr>
          <w:rFonts w:ascii="Times New Roman" w:hAnsi="Times New Roman"/>
          <w:sz w:val="24"/>
          <w:szCs w:val="24"/>
        </w:rPr>
        <w:t>обн</w:t>
      </w:r>
      <w:proofErr w:type="spellEnd"/>
      <w:r w:rsidRPr="00B82D26">
        <w:rPr>
          <w:rFonts w:ascii="Times New Roman" w:hAnsi="Times New Roman"/>
          <w:sz w:val="24"/>
          <w:szCs w:val="24"/>
        </w:rPr>
        <w:t>. ДВ, бр. 66 от 28.08.2012 г., изм. и доп., бр. 73 от 02.09.2014 г., бр. 75 от 27.09.2016 г.) категоризация на общините в Република България, на основание чл.36, ал.2 на ЗАТУРБ и във връзка с т.4 от Решение № 921/2011 г. на МС за определяне на критерии и показатели за категоризиране на общините, кметствата, районите и населените места в Република България.</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Целевата субсидия за капиталови разходи се предоставя на общините до 5-о число на текущия месец, въз основа на заявки на общините, при условията и реда, определени от министъра на финансите.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Както и в предходните няколко години и през 2021 година ще бъде възможно трансформиране на част от ЦСКР в целеви трансфер за други целеви разходи (чл. 89 от ЗДБРБ 21), като във възможностите са включени и неотложни текущи ремонти на сгради, публична общинска собственост. Отчитането - ИСО - модул „Капиталови разходи и текущи ремонти“</w:t>
      </w:r>
    </w:p>
    <w:p w:rsidR="005A552B" w:rsidRPr="0004701A" w:rsidRDefault="005A552B" w:rsidP="005A552B">
      <w:pPr>
        <w:spacing w:after="120" w:line="240" w:lineRule="auto"/>
        <w:jc w:val="both"/>
        <w:rPr>
          <w:rFonts w:ascii="Times New Roman" w:hAnsi="Times New Roman"/>
          <w:b/>
          <w:sz w:val="24"/>
          <w:szCs w:val="24"/>
        </w:rPr>
      </w:pPr>
      <w:r w:rsidRPr="0004701A">
        <w:rPr>
          <w:rFonts w:ascii="Times New Roman" w:hAnsi="Times New Roman"/>
          <w:b/>
          <w:sz w:val="24"/>
          <w:szCs w:val="24"/>
        </w:rPr>
        <w:t>Подтема 4.2. Слабости и добри практики.</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 xml:space="preserve">сновните констатирани </w:t>
      </w:r>
      <w:r w:rsidRPr="0004701A">
        <w:rPr>
          <w:rFonts w:ascii="Times New Roman" w:hAnsi="Times New Roman"/>
          <w:b/>
          <w:sz w:val="24"/>
          <w:szCs w:val="24"/>
        </w:rPr>
        <w:t>слабости</w:t>
      </w:r>
      <w:r w:rsidRPr="00B82D26">
        <w:rPr>
          <w:rFonts w:ascii="Times New Roman" w:hAnsi="Times New Roman"/>
          <w:sz w:val="24"/>
          <w:szCs w:val="24"/>
        </w:rPr>
        <w:t xml:space="preserve"> при прогнозиране и управление на общинските приходи</w:t>
      </w:r>
      <w:r>
        <w:rPr>
          <w:rFonts w:ascii="Times New Roman" w:hAnsi="Times New Roman"/>
          <w:sz w:val="24"/>
          <w:szCs w:val="24"/>
        </w:rPr>
        <w:t xml:space="preserve"> са</w:t>
      </w:r>
      <w:r w:rsidRPr="00B82D26">
        <w:rPr>
          <w:rFonts w:ascii="Times New Roman" w:hAnsi="Times New Roman"/>
          <w:sz w:val="24"/>
          <w:szCs w:val="24"/>
        </w:rPr>
        <w:t>:</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Определяне на размер на цена на услуга/такса под нивото на общите разходи за нейното предоставяне;</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 xml:space="preserve">При определяне на такса липсва изчисление за </w:t>
      </w:r>
      <w:proofErr w:type="spellStart"/>
      <w:r w:rsidRPr="0004701A">
        <w:rPr>
          <w:rFonts w:ascii="Times New Roman" w:hAnsi="Times New Roman"/>
          <w:sz w:val="24"/>
          <w:szCs w:val="24"/>
        </w:rPr>
        <w:t>разходоориентиран</w:t>
      </w:r>
      <w:proofErr w:type="spellEnd"/>
      <w:r w:rsidRPr="0004701A">
        <w:rPr>
          <w:rFonts w:ascii="Times New Roman" w:hAnsi="Times New Roman"/>
          <w:sz w:val="24"/>
          <w:szCs w:val="24"/>
        </w:rPr>
        <w:t xml:space="preserve"> размер – създава се възможност за атакуване на наредбата;</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Популистки/лобистки идеи за нормативни промени и/или промени на парче;</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Освобождаване от заплащането на такса/цена на услуга на голям кръг ползватели на услугата;</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Залагане на „кухи“ обеми с цел да се осигурят разходите;</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Липсва анализ на събираемостта на местните данъци и не предприемане на съответните мерки;</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Не се актуализира базата с данни за броя на предоставените услуги;</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Слаба комуникация с останалите отдели в общината при актуализиране на Наредбите;</w:t>
      </w:r>
    </w:p>
    <w:p w:rsidR="005A552B" w:rsidRPr="0004701A" w:rsidRDefault="005A552B" w:rsidP="005A552B">
      <w:pPr>
        <w:pStyle w:val="ListParagraph"/>
        <w:numPr>
          <w:ilvl w:val="0"/>
          <w:numId w:val="10"/>
        </w:numPr>
        <w:spacing w:after="120" w:line="240" w:lineRule="auto"/>
        <w:jc w:val="both"/>
        <w:rPr>
          <w:rFonts w:ascii="Times New Roman" w:hAnsi="Times New Roman"/>
          <w:sz w:val="24"/>
          <w:szCs w:val="24"/>
        </w:rPr>
      </w:pPr>
      <w:r w:rsidRPr="0004701A">
        <w:rPr>
          <w:rFonts w:ascii="Times New Roman" w:hAnsi="Times New Roman"/>
          <w:sz w:val="24"/>
          <w:szCs w:val="24"/>
        </w:rPr>
        <w:t>Липсват редовни анализи за себестойността на услугите, за които се събират такси…</w:t>
      </w:r>
    </w:p>
    <w:p w:rsidR="005A552B" w:rsidRPr="00B82D26" w:rsidRDefault="005A552B" w:rsidP="005A552B">
      <w:pPr>
        <w:spacing w:after="120" w:line="240" w:lineRule="auto"/>
        <w:jc w:val="both"/>
        <w:rPr>
          <w:rFonts w:ascii="Times New Roman" w:hAnsi="Times New Roman"/>
          <w:sz w:val="24"/>
          <w:szCs w:val="24"/>
        </w:rPr>
      </w:pPr>
      <w:r w:rsidRPr="0004701A">
        <w:rPr>
          <w:rFonts w:ascii="Times New Roman" w:hAnsi="Times New Roman"/>
          <w:b/>
          <w:sz w:val="24"/>
          <w:szCs w:val="24"/>
        </w:rPr>
        <w:t>Добри практики</w:t>
      </w:r>
      <w:r w:rsidRPr="00B82D26">
        <w:rPr>
          <w:rFonts w:ascii="Times New Roman" w:hAnsi="Times New Roman"/>
          <w:sz w:val="24"/>
          <w:szCs w:val="24"/>
        </w:rPr>
        <w:t xml:space="preserve"> при планиране и управление на общинските приходи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Залагане на събираемост от местни данъци и такса за битови отпадъци в процент от облога, при проследяване на тенденциите от предходни години;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Обема на  приходите от местни такси и цени на услуги пряко се влияе от размерите на таксите и цените на услуги приети с Наредбата за определяне и администриране на местните такси и цени на услуги;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При определяне на приходите от такси за детски ясли и градини се залага на средната им </w:t>
      </w:r>
      <w:proofErr w:type="spellStart"/>
      <w:r w:rsidRPr="00B82D26">
        <w:rPr>
          <w:rFonts w:ascii="Times New Roman" w:hAnsi="Times New Roman"/>
          <w:sz w:val="24"/>
          <w:szCs w:val="24"/>
        </w:rPr>
        <w:t>пълняемост</w:t>
      </w:r>
      <w:proofErr w:type="spellEnd"/>
      <w:r w:rsidRPr="00B82D26">
        <w:rPr>
          <w:rFonts w:ascii="Times New Roman" w:hAnsi="Times New Roman"/>
          <w:sz w:val="24"/>
          <w:szCs w:val="24"/>
        </w:rPr>
        <w:t xml:space="preserve"> през последните три години, като се вземат предвид и промените на мрежата от детски заведения, и тенденциите в увеличаване/намаляване на ползвателите на предоставяните от общината услуги;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Ежемесечен анализ на събираемостта на местните данъци и такси с фискален ефект върху бюджета;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Ежегоден анализ на себестойността на местните услуги, за които се събира такса;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Редовно отразяване в Наредбата на колебанията в размера на таксите за общински услуги;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Използване на натрупаните средства по чл.20 от Наредба №7/19.12.2013 г. за реда и начина за изчисляване и определяне размера на </w:t>
      </w:r>
      <w:proofErr w:type="spellStart"/>
      <w:r w:rsidRPr="00B82D26">
        <w:rPr>
          <w:rFonts w:ascii="Times New Roman" w:hAnsi="Times New Roman"/>
          <w:sz w:val="24"/>
          <w:szCs w:val="24"/>
        </w:rPr>
        <w:t>обезпеченията</w:t>
      </w:r>
      <w:proofErr w:type="spellEnd"/>
      <w:r w:rsidRPr="00B82D26">
        <w:rPr>
          <w:rFonts w:ascii="Times New Roman" w:hAnsi="Times New Roman"/>
          <w:sz w:val="24"/>
          <w:szCs w:val="24"/>
        </w:rPr>
        <w:t xml:space="preserve"> и отчисленията, изисквани при депониране на отпадъци. </w:t>
      </w:r>
      <w:r>
        <w:rPr>
          <w:rFonts w:ascii="Times New Roman" w:hAnsi="Times New Roman"/>
          <w:sz w:val="24"/>
          <w:szCs w:val="24"/>
        </w:rPr>
        <w:t>Важно е да подчертаем, че а</w:t>
      </w:r>
      <w:r w:rsidRPr="00B82D26">
        <w:rPr>
          <w:rFonts w:ascii="Times New Roman" w:hAnsi="Times New Roman"/>
          <w:sz w:val="24"/>
          <w:szCs w:val="24"/>
        </w:rPr>
        <w:t>ко изпълняваме определените в Наредбата условия и дейности, можем да си осигурим добър приходоизточник например: за покриване на експлоатационните разходите за сепариране на битови отпадъци, за закриване на стари сметища</w:t>
      </w:r>
      <w:r>
        <w:rPr>
          <w:rFonts w:ascii="Times New Roman" w:hAnsi="Times New Roman"/>
          <w:sz w:val="24"/>
          <w:szCs w:val="24"/>
        </w:rPr>
        <w:t>, за закупуване на скъпоструваща техника, която да обслужва системите</w:t>
      </w:r>
      <w:r w:rsidRPr="00B82D26">
        <w:rPr>
          <w:rFonts w:ascii="Times New Roman" w:hAnsi="Times New Roman"/>
          <w:sz w:val="24"/>
          <w:szCs w:val="24"/>
        </w:rPr>
        <w:t xml:space="preserve"> и др.</w:t>
      </w:r>
    </w:p>
    <w:p w:rsidR="005A552B" w:rsidRPr="00957D77"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К</w:t>
      </w:r>
      <w:r w:rsidRPr="00B82D26">
        <w:rPr>
          <w:rFonts w:ascii="Times New Roman" w:hAnsi="Times New Roman"/>
          <w:sz w:val="24"/>
          <w:szCs w:val="24"/>
        </w:rPr>
        <w:t>акто списъка със слабостите може да бъде допълнен, така и списъка с добрите практики, който е по-дълъг</w:t>
      </w:r>
      <w:r>
        <w:rPr>
          <w:rFonts w:ascii="Times New Roman" w:hAnsi="Times New Roman"/>
          <w:sz w:val="24"/>
          <w:szCs w:val="24"/>
        </w:rPr>
        <w:t>, може също да бъде допълнен.</w:t>
      </w:r>
    </w:p>
    <w:p w:rsidR="005A552B" w:rsidRDefault="005A552B" w:rsidP="005A552B">
      <w:pPr>
        <w:spacing w:after="120" w:line="240" w:lineRule="auto"/>
        <w:jc w:val="both"/>
        <w:rPr>
          <w:rFonts w:ascii="Times New Roman" w:hAnsi="Times New Roman"/>
          <w:b/>
          <w:sz w:val="24"/>
          <w:szCs w:val="24"/>
        </w:rPr>
      </w:pPr>
    </w:p>
    <w:p w:rsidR="005A552B" w:rsidRDefault="005A552B" w:rsidP="005A552B">
      <w:pPr>
        <w:spacing w:after="120" w:line="240" w:lineRule="auto"/>
        <w:jc w:val="both"/>
        <w:rPr>
          <w:rFonts w:ascii="Times New Roman" w:hAnsi="Times New Roman"/>
          <w:b/>
          <w:sz w:val="24"/>
          <w:szCs w:val="24"/>
        </w:rPr>
      </w:pPr>
      <w:r w:rsidRPr="0004701A">
        <w:rPr>
          <w:rFonts w:ascii="Times New Roman" w:hAnsi="Times New Roman"/>
          <w:b/>
          <w:sz w:val="24"/>
          <w:szCs w:val="24"/>
        </w:rPr>
        <w:t>Подтема 4.3. Привлечени средства.</w:t>
      </w:r>
    </w:p>
    <w:p w:rsidR="005A552B" w:rsidRPr="00B82D26" w:rsidRDefault="005A552B" w:rsidP="005A552B">
      <w:pPr>
        <w:spacing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сновни</w:t>
      </w:r>
      <w:r>
        <w:rPr>
          <w:rFonts w:ascii="Times New Roman" w:hAnsi="Times New Roman"/>
          <w:sz w:val="24"/>
          <w:szCs w:val="24"/>
        </w:rPr>
        <w:t>я</w:t>
      </w:r>
      <w:r w:rsidRPr="00B82D26">
        <w:rPr>
          <w:rFonts w:ascii="Times New Roman" w:hAnsi="Times New Roman"/>
          <w:sz w:val="24"/>
          <w:szCs w:val="24"/>
        </w:rPr>
        <w:t>т източни</w:t>
      </w:r>
      <w:r>
        <w:rPr>
          <w:rFonts w:ascii="Times New Roman" w:hAnsi="Times New Roman"/>
          <w:sz w:val="24"/>
          <w:szCs w:val="24"/>
        </w:rPr>
        <w:t>к</w:t>
      </w:r>
      <w:r w:rsidRPr="00B82D26">
        <w:rPr>
          <w:rFonts w:ascii="Times New Roman" w:hAnsi="Times New Roman"/>
          <w:sz w:val="24"/>
          <w:szCs w:val="24"/>
        </w:rPr>
        <w:t xml:space="preserve"> на привлечени средства в общинския бюджет</w:t>
      </w:r>
      <w:r>
        <w:rPr>
          <w:rFonts w:ascii="Times New Roman" w:hAnsi="Times New Roman"/>
          <w:sz w:val="24"/>
          <w:szCs w:val="24"/>
        </w:rPr>
        <w:t xml:space="preserve"> е </w:t>
      </w:r>
      <w:r w:rsidRPr="00B82D26">
        <w:rPr>
          <w:rFonts w:ascii="Times New Roman" w:hAnsi="Times New Roman"/>
          <w:sz w:val="24"/>
          <w:szCs w:val="24"/>
        </w:rPr>
        <w:t>общински</w:t>
      </w:r>
      <w:r>
        <w:rPr>
          <w:rFonts w:ascii="Times New Roman" w:hAnsi="Times New Roman"/>
          <w:sz w:val="24"/>
          <w:szCs w:val="24"/>
        </w:rPr>
        <w:t>я</w:t>
      </w:r>
      <w:r w:rsidRPr="00B82D26">
        <w:rPr>
          <w:rFonts w:ascii="Times New Roman" w:hAnsi="Times New Roman"/>
          <w:sz w:val="24"/>
          <w:szCs w:val="24"/>
        </w:rPr>
        <w:t xml:space="preserve"> дълг за изпълнение на общински проекти</w:t>
      </w:r>
      <w:r>
        <w:rPr>
          <w:rFonts w:ascii="Times New Roman" w:hAnsi="Times New Roman"/>
          <w:sz w:val="24"/>
          <w:szCs w:val="24"/>
        </w:rPr>
        <w:t xml:space="preserve"> от </w:t>
      </w:r>
      <w:r w:rsidRPr="00B82D26">
        <w:rPr>
          <w:rFonts w:ascii="Times New Roman" w:hAnsi="Times New Roman"/>
          <w:sz w:val="24"/>
          <w:szCs w:val="24"/>
        </w:rPr>
        <w:t>търговските банки</w:t>
      </w:r>
      <w:r>
        <w:rPr>
          <w:rFonts w:ascii="Times New Roman" w:hAnsi="Times New Roman"/>
          <w:sz w:val="24"/>
          <w:szCs w:val="24"/>
        </w:rPr>
        <w:t xml:space="preserve"> и</w:t>
      </w:r>
      <w:r w:rsidRPr="00B82D26">
        <w:rPr>
          <w:rFonts w:ascii="Times New Roman" w:hAnsi="Times New Roman"/>
          <w:sz w:val="24"/>
          <w:szCs w:val="24"/>
        </w:rPr>
        <w:t xml:space="preserve"> се дели на:</w:t>
      </w:r>
    </w:p>
    <w:p w:rsidR="005A552B" w:rsidRPr="00B82D26" w:rsidRDefault="005A552B" w:rsidP="005A552B">
      <w:pPr>
        <w:pStyle w:val="ListParagraph"/>
        <w:numPr>
          <w:ilvl w:val="0"/>
          <w:numId w:val="5"/>
        </w:numPr>
        <w:spacing w:after="120" w:line="240" w:lineRule="auto"/>
        <w:jc w:val="both"/>
        <w:rPr>
          <w:rFonts w:ascii="Times New Roman" w:hAnsi="Times New Roman"/>
          <w:sz w:val="24"/>
          <w:szCs w:val="24"/>
        </w:rPr>
      </w:pPr>
      <w:r w:rsidRPr="00B82D26">
        <w:rPr>
          <w:rFonts w:ascii="Times New Roman" w:hAnsi="Times New Roman"/>
          <w:sz w:val="24"/>
          <w:szCs w:val="24"/>
        </w:rPr>
        <w:t>Дълг, поет с договори за общински заеми - търговски кредит; финансов лизинг</w:t>
      </w:r>
    </w:p>
    <w:p w:rsidR="005A552B" w:rsidRPr="00B82D26" w:rsidRDefault="005A552B" w:rsidP="005A552B">
      <w:pPr>
        <w:pStyle w:val="ListParagraph"/>
        <w:numPr>
          <w:ilvl w:val="0"/>
          <w:numId w:val="5"/>
        </w:numPr>
        <w:spacing w:after="120" w:line="240" w:lineRule="auto"/>
        <w:jc w:val="both"/>
        <w:rPr>
          <w:rFonts w:ascii="Times New Roman" w:hAnsi="Times New Roman"/>
          <w:sz w:val="24"/>
          <w:szCs w:val="24"/>
        </w:rPr>
      </w:pPr>
      <w:r w:rsidRPr="00B82D26">
        <w:rPr>
          <w:rFonts w:ascii="Times New Roman" w:hAnsi="Times New Roman"/>
          <w:sz w:val="24"/>
          <w:szCs w:val="24"/>
        </w:rPr>
        <w:t>Изискуеми общински гаранции</w:t>
      </w:r>
    </w:p>
    <w:p w:rsidR="005A552B" w:rsidRPr="00B82D26" w:rsidRDefault="005A552B" w:rsidP="005A552B">
      <w:pPr>
        <w:pStyle w:val="ListParagraph"/>
        <w:numPr>
          <w:ilvl w:val="0"/>
          <w:numId w:val="5"/>
        </w:numPr>
        <w:spacing w:after="120" w:line="240" w:lineRule="auto"/>
        <w:jc w:val="both"/>
        <w:rPr>
          <w:rFonts w:ascii="Times New Roman" w:hAnsi="Times New Roman"/>
          <w:sz w:val="24"/>
          <w:szCs w:val="24"/>
        </w:rPr>
      </w:pPr>
      <w:r w:rsidRPr="00B82D26">
        <w:rPr>
          <w:rFonts w:ascii="Times New Roman" w:hAnsi="Times New Roman"/>
          <w:sz w:val="24"/>
          <w:szCs w:val="24"/>
        </w:rPr>
        <w:t>Емисии общински ценни книжа;</w:t>
      </w:r>
    </w:p>
    <w:p w:rsidR="005A552B" w:rsidRPr="00B82D26" w:rsidRDefault="005A552B" w:rsidP="005A552B">
      <w:pPr>
        <w:pStyle w:val="ListParagraph"/>
        <w:numPr>
          <w:ilvl w:val="0"/>
          <w:numId w:val="5"/>
        </w:numPr>
        <w:spacing w:after="120" w:line="240" w:lineRule="auto"/>
        <w:jc w:val="both"/>
        <w:rPr>
          <w:rFonts w:ascii="Times New Roman" w:hAnsi="Times New Roman"/>
          <w:sz w:val="24"/>
          <w:szCs w:val="24"/>
        </w:rPr>
      </w:pPr>
      <w:r w:rsidRPr="00B82D26">
        <w:rPr>
          <w:rFonts w:ascii="Times New Roman" w:hAnsi="Times New Roman"/>
          <w:sz w:val="24"/>
          <w:szCs w:val="24"/>
        </w:rPr>
        <w:t>Безлихвени заеми, отпуснати по реда на ЗПФ, вкл. възмездно финансиране по чл. 103, ал. 3 от ЗПФ</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Най-често използвания източник на привлечени средства са кредитите за изпълнение на проекти по Оперативните програми от ФЛАГ и финансови инструменти. Механизма за отпускането на мостови кредити и кредити за покриване на собствено участие от ФЛАГ е познат на общините, защото се използва традиционно от 2007 г.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Финансовите инструменти са специализирани схеми за финансиране със средства от различни източници.</w:t>
      </w:r>
      <w:r w:rsidRPr="00B82D26">
        <w:rPr>
          <w:rFonts w:ascii="Times New Roman" w:hAnsi="Times New Roman"/>
        </w:rPr>
        <w:t xml:space="preserve"> </w:t>
      </w:r>
      <w:r w:rsidRPr="00B82D26">
        <w:rPr>
          <w:rFonts w:ascii="Times New Roman" w:hAnsi="Times New Roman"/>
          <w:sz w:val="24"/>
          <w:szCs w:val="24"/>
        </w:rPr>
        <w:t>Управляват се от Фонд на фондовете като структури за целево разпределяне на публични средства чрез специализирани схеми за финансиране. „Фонд мениджър на финансови инструменти в България“ ЕАД изпълнява функциите на Фонд на фондовете.</w:t>
      </w:r>
      <w:r w:rsidRPr="00B82D26">
        <w:rPr>
          <w:rFonts w:ascii="Times New Roman" w:hAnsi="Times New Roman"/>
        </w:rPr>
        <w:t xml:space="preserve"> </w:t>
      </w:r>
      <w:r w:rsidRPr="00B82D26">
        <w:rPr>
          <w:rFonts w:ascii="Times New Roman" w:hAnsi="Times New Roman"/>
          <w:sz w:val="24"/>
          <w:szCs w:val="24"/>
        </w:rPr>
        <w:t xml:space="preserve">Финансовите инструменти осигуряват достъп до нисколихвено и дългосрочно финансиране за проекти, облагородяващи градската среда и развиващи туризма. Фондовете за градско развитие са финансов инструмент по Оперативна програма  „Региони в растеж" </w:t>
      </w:r>
      <w:r w:rsidRPr="00B82D26">
        <w:rPr>
          <w:rFonts w:ascii="Times New Roman" w:hAnsi="Times New Roman"/>
          <w:sz w:val="24"/>
          <w:szCs w:val="24"/>
        </w:rPr>
        <w:lastRenderedPageBreak/>
        <w:t xml:space="preserve">2014-2020, които надграждат над фондовете, създадени по инициативата JESSICA от предходния програмен период. Основната цел на Фондовете за градско развитие е привличането на допълнителен частен ресурс към публичния, предоставен от Оперативна програма „Региони в растеж" 2014-2020 чрез Фонд мениджър на финансови инструменти за България, за финансиране на допустими градски проекти и за осъществяване на целите на Регионалната политика на Европейския съюз. Основната цел на Фондовете за градско развитие е привличането на допълнителен частен ресурс към публичния, предоставен от ОПРР 2014-2020 г. чрез Фонд мениджър на финансови инструменти за България (ФМФИБ), за финансиране на допустими градски проекти и за осъществяване на целите на Регионалната политика на ЕС. Фондовете за градско развитие предоставят заеми с вградени гаранции, насочени към широк кръг потенциални крайни получатели за проекти за градско развитие, за туризъм и културно наследство.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„Фонд за устойчиви градове“ (ФУГ) и „Регионален фонд за градско развитие“ (РФГР) са финансовите посредници, избрани да изпълняват функциите на фонд за градско развитие - ФУГ за регион София и Южна България, а РГФР – за Северна България. Допустими за финансиране с ФГР 39 града за проекти, свързани с градското развитие и територията на цяла България за проекти, свързани с туризъм и развитие на културно наследство от национално и световно значение.</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ФГР оперират вече 2 години и са добре познати с възможностите, които предоставят.</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С цел подкрепа на общините за преодоляване на последиците от пандемията, както и създаване на максимално много възможности и източници за насърчаване на инвестициите, а чрез това възстановяване на икономиката през декември 2020 беше създадена нова допълваща възможност а именно:</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1.</w:t>
      </w:r>
      <w:r w:rsidRPr="00B82D26">
        <w:rPr>
          <w:rFonts w:ascii="Times New Roman" w:hAnsi="Times New Roman"/>
          <w:sz w:val="24"/>
          <w:szCs w:val="24"/>
        </w:rPr>
        <w:tab/>
        <w:t xml:space="preserve">Предоставяне на оборотни кредити за общините, като мярка за преодоляване на последиците от кризата с COVID-19“.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Кредитите се предоставят за срок от 5 год., при преференциална лихва, съобразно условията за финансиране на ФГР. Допустими са 39-те общини, допустими за финансиране по ОС1 Градско развитие на ОПРР 2014-2020. Доказателствата за намалени приходи, е съпоставка на приходите за определен период за 2019 г. и съответния за 2020 г.</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2.</w:t>
      </w:r>
      <w:r w:rsidRPr="00B82D26">
        <w:rPr>
          <w:rFonts w:ascii="Times New Roman" w:hAnsi="Times New Roman"/>
          <w:sz w:val="24"/>
          <w:szCs w:val="24"/>
        </w:rPr>
        <w:tab/>
        <w:t>Предоставяне на инвестиционни кредити, включително и за проекти, които не генерират приходи и се изплащат със средства от бюджета на общината.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Кредитите са дългосрочни – за срок до 20 год</w:t>
      </w:r>
      <w:r>
        <w:rPr>
          <w:rFonts w:ascii="Times New Roman" w:hAnsi="Times New Roman"/>
          <w:sz w:val="24"/>
          <w:szCs w:val="24"/>
        </w:rPr>
        <w:t>.</w:t>
      </w:r>
      <w:r w:rsidRPr="00B82D26">
        <w:rPr>
          <w:rFonts w:ascii="Times New Roman" w:hAnsi="Times New Roman"/>
          <w:sz w:val="24"/>
          <w:szCs w:val="24"/>
        </w:rPr>
        <w:t>, при възможен гратисен период. Дейностите следва да отговарят на допустимите дейности по ОС1 Градско развитие на ОПРР 2014-2020 (ремонт на улици, площади, тротоари, площади, спортни и детски площадки, паркове, паркинги, улично осветление, изграждане на велоалеи и други елементи на градската инфраструктура).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3.</w:t>
      </w:r>
      <w:r w:rsidRPr="00B82D26">
        <w:rPr>
          <w:rFonts w:ascii="Times New Roman" w:hAnsi="Times New Roman"/>
          <w:sz w:val="24"/>
          <w:szCs w:val="24"/>
        </w:rPr>
        <w:tab/>
        <w:t>Необходимо е проектите да са част от инвестиционната програма на общините.</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Кредити за изпълнение на общински проекти – източник Българска инвестиционна и координационна платформа за градско развитие (ФЛАГ)</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Дейността на Фондовете за градско развитие обхваща единствено 39-те общини, допустими за финансиране по ОС1 Градско развитие на ОПРР 2014-2020.</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За всички останали, които са извън обхвата на финансовия инструмент, бе създадена „Българска инвестиционна и координационна платформа за градско развитие“, наричана по-долу Платформата. Разполагаемият ресурс е в размер на близо 100 млн. лв. Финансирането е осигурено от Европейска инвестиционна банка и Фонд ФЛАГ. Комбинацията на ресурса дава възможност на ФЛАГ да предоставя дългосрочни инвестиционни заеми с преференциална цена.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Срочност до 20 год. Възможно е договаряне на фиксиран лихвен процент за целия период на кредита. Гратисен период – до 3 год. Облекчени такси и комисионни и бързо и експертно разглеждане на документите</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Платформата има за цел да подкрепи проекти за инвестиции в градско възстановяване и рехабилитация в градовете в България по допълващ начин към Фондовете за градско развитие по Оперативна програма „Региони в растеж“ 2014-2020 г., както и да финансира дейности, които са недопустими за финансиране по смисъла на Оперативните програми, но представляват интегрирана част от инвестиционните проекти.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Допустимите крайни получатели са всички общини, общински и държавни дружества, и други, които представят публични услуги на територията на България. Допустимите сектори на инвестиция включват:</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подобряване на градските зелени площи и откритите обществени пространства,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подобряване на устойчивия градски транспорт,</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обновяване и реконструкция на обществени сгради вкл. енергийна ефективност (вкл. образователна, здравна инфраструктура, административни сгради и др.)</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подобряване на </w:t>
      </w:r>
      <w:proofErr w:type="spellStart"/>
      <w:r w:rsidRPr="00B82D26">
        <w:rPr>
          <w:rFonts w:ascii="Times New Roman" w:hAnsi="Times New Roman"/>
          <w:sz w:val="24"/>
          <w:szCs w:val="24"/>
        </w:rPr>
        <w:t>дребномащабна</w:t>
      </w:r>
      <w:proofErr w:type="spellEnd"/>
      <w:r w:rsidRPr="00B82D26">
        <w:rPr>
          <w:rFonts w:ascii="Times New Roman" w:hAnsi="Times New Roman"/>
          <w:sz w:val="24"/>
          <w:szCs w:val="24"/>
        </w:rPr>
        <w:t xml:space="preserve"> основна общинска инфраструктура (улична мрежа, ВиК инфраструктура и др.)</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мерки за приспособяване към изменението на климата,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интегрирани действия за възстановяване на градовете, базирани на конкретна област.</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Акцент на Платформата са инвестиции в посока зелени, умни и иновативни градове, с дял на проекти за енергийна ефективност, мобилност, кръгова икономика и др. Платформата финансира проекти,  извън обхвата на допустимост на Фондовете за градско развитие (ФГР).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Създаден е и механизъм за техническа помощ изпълняван от фонда на фондовете, управление „Проектна информация и финансиране“. Чрез техническата помощ могат да бъдат получени консултантски услуги за структуриране, </w:t>
      </w:r>
      <w:proofErr w:type="spellStart"/>
      <w:r w:rsidRPr="00B82D26">
        <w:rPr>
          <w:rFonts w:ascii="Times New Roman" w:hAnsi="Times New Roman"/>
          <w:sz w:val="24"/>
          <w:szCs w:val="24"/>
        </w:rPr>
        <w:t>предпроектно</w:t>
      </w:r>
      <w:proofErr w:type="spellEnd"/>
      <w:r w:rsidRPr="00B82D26">
        <w:rPr>
          <w:rFonts w:ascii="Times New Roman" w:hAnsi="Times New Roman"/>
          <w:sz w:val="24"/>
          <w:szCs w:val="24"/>
        </w:rPr>
        <w:t xml:space="preserve"> проучване, правно обследване или други необходими за проекта услуги. Заявките за техническа помощ се предоставят чрез фонд ФЛАГ, след първоначално обсъждане на проектната инициатива и отчитане на нуждите на проекта.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При подготовка на бюджета за съответната година и намеренията за поемане на дълг, всяка община, която търси допълващо финансиране за своята капиталова програма, може да се обърне към екипа на ФЛАГ за консултации и експертна помощ по отношение на правилно структуриране на финансирането на инвестиционната си  програма.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Информация за всяко от възможните финансирания можете да намерите на www.flag-bg.com</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Ниско рискови операции със срочни депозити и с държавни ценни книжа са форма за използване на временно свободните средства като източник на приходи – главно от лихви.</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Вътрешни трансфери между сметки на общината – ОТ и КЪМ сметките за средства от ЕС.</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Преходния остатък – целеви и с общо предназначение е източник на привлечени средства най-вече за придобиване на дълготрайни материални активи и може да с тях да се допълни годишната инвестиционна програма на общината.</w:t>
      </w:r>
    </w:p>
    <w:p w:rsidR="005A552B" w:rsidRPr="0095509C" w:rsidRDefault="005A552B" w:rsidP="005A552B">
      <w:pPr>
        <w:spacing w:after="120" w:line="240" w:lineRule="auto"/>
        <w:jc w:val="both"/>
        <w:rPr>
          <w:rFonts w:ascii="Times New Roman" w:hAnsi="Times New Roman"/>
          <w:b/>
          <w:sz w:val="24"/>
          <w:szCs w:val="24"/>
        </w:rPr>
      </w:pPr>
      <w:r w:rsidRPr="0095509C">
        <w:rPr>
          <w:rFonts w:ascii="Times New Roman" w:hAnsi="Times New Roman"/>
          <w:b/>
          <w:sz w:val="24"/>
          <w:szCs w:val="24"/>
        </w:rPr>
        <w:t xml:space="preserve">Какво трябва да знаем за общинския дълг?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Поема се с решение на общинския съвет, по предложение на кмета на общината;</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Годишният размер на плащанията по общинския дълг за всяка община във всяка отделна година не може да надвишава 15 на сто от средногодишния размер на собствените приходи и общата изравнителна субсидия за последните три години, изчислен на базата на данни от годишните отчети за изпълнението на бюджета на общината, като се прави изключение за кредитите от фонд „ФЛАГ“ ЕАД и „Фонд мениджър на финансови инструменти в </w:t>
      </w:r>
      <w:proofErr w:type="spellStart"/>
      <w:r w:rsidRPr="00B82D26">
        <w:rPr>
          <w:rFonts w:ascii="Times New Roman" w:hAnsi="Times New Roman"/>
          <w:sz w:val="24"/>
          <w:szCs w:val="24"/>
        </w:rPr>
        <w:t>България“ЕАД</w:t>
      </w:r>
      <w:proofErr w:type="spellEnd"/>
      <w:r w:rsidRPr="00B82D26">
        <w:rPr>
          <w:rFonts w:ascii="Times New Roman" w:hAnsi="Times New Roman"/>
          <w:sz w:val="24"/>
          <w:szCs w:val="24"/>
        </w:rPr>
        <w:t xml:space="preserve">. </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За 2021 г. със ЗДБРБ е </w:t>
      </w:r>
      <w:r w:rsidRPr="00616D16">
        <w:rPr>
          <w:rFonts w:ascii="Times New Roman" w:hAnsi="Times New Roman"/>
          <w:sz w:val="24"/>
          <w:szCs w:val="24"/>
        </w:rPr>
        <w:t xml:space="preserve">запазено </w:t>
      </w:r>
      <w:r w:rsidRPr="00B82D26">
        <w:rPr>
          <w:rFonts w:ascii="Times New Roman" w:hAnsi="Times New Roman"/>
          <w:sz w:val="24"/>
          <w:szCs w:val="24"/>
        </w:rPr>
        <w:t>въведено</w:t>
      </w:r>
      <w:r w:rsidRPr="00616D16">
        <w:rPr>
          <w:rFonts w:ascii="Times New Roman" w:hAnsi="Times New Roman"/>
          <w:sz w:val="24"/>
          <w:szCs w:val="24"/>
        </w:rPr>
        <w:t>то</w:t>
      </w:r>
      <w:r w:rsidRPr="00B82D26">
        <w:rPr>
          <w:rFonts w:ascii="Times New Roman" w:hAnsi="Times New Roman"/>
          <w:sz w:val="24"/>
          <w:szCs w:val="24"/>
        </w:rPr>
        <w:t xml:space="preserve"> ограничение от 18% за дълга от Фондовете за градско развитие.</w:t>
      </w:r>
    </w:p>
    <w:p w:rsidR="005A552B" w:rsidRPr="00B82D26" w:rsidRDefault="005A552B" w:rsidP="005A552B">
      <w:pPr>
        <w:spacing w:after="120" w:line="240" w:lineRule="auto"/>
        <w:jc w:val="both"/>
        <w:rPr>
          <w:rFonts w:ascii="Times New Roman" w:hAnsi="Times New Roman"/>
          <w:sz w:val="24"/>
          <w:szCs w:val="24"/>
        </w:rPr>
      </w:pPr>
      <w:r w:rsidRPr="00B82D26">
        <w:rPr>
          <w:rFonts w:ascii="Times New Roman" w:hAnsi="Times New Roman"/>
          <w:sz w:val="24"/>
          <w:szCs w:val="24"/>
        </w:rPr>
        <w:t xml:space="preserve">Размера на дълга се определя на база средносрочно планиране на приходи, текущи и капиталови разходи, средносрочно прогнозиране на паричните потоци при изпълнение на проекти със </w:t>
      </w:r>
      <w:r>
        <w:rPr>
          <w:rFonts w:ascii="Times New Roman" w:hAnsi="Times New Roman"/>
          <w:sz w:val="24"/>
          <w:szCs w:val="24"/>
        </w:rPr>
        <w:t>средства от европейски програми.</w:t>
      </w:r>
    </w:p>
    <w:p w:rsidR="005A552B" w:rsidRPr="00B82D26" w:rsidRDefault="005A552B" w:rsidP="005A552B">
      <w:pPr>
        <w:spacing w:after="120" w:line="240" w:lineRule="auto"/>
        <w:jc w:val="both"/>
        <w:rPr>
          <w:rFonts w:ascii="Times New Roman" w:hAnsi="Times New Roman"/>
          <w:sz w:val="24"/>
          <w:szCs w:val="24"/>
        </w:rPr>
      </w:pPr>
      <w:r w:rsidRPr="00515D44">
        <w:rPr>
          <w:rFonts w:ascii="Times New Roman" w:hAnsi="Times New Roman"/>
          <w:b/>
          <w:sz w:val="24"/>
          <w:szCs w:val="24"/>
        </w:rPr>
        <w:t>Вида и срока на кредите са определят в зависимост от това какво, как и кога ще се финансира.</w:t>
      </w:r>
    </w:p>
    <w:p w:rsidR="001D0DED" w:rsidRDefault="001D0DED"/>
    <w:sectPr w:rsidR="001D0DED" w:rsidSect="0017275B">
      <w:headerReference w:type="default" r:id="rId8"/>
      <w:footerReference w:type="default" r:id="rId9"/>
      <w:pgSz w:w="11906" w:h="16838"/>
      <w:pgMar w:top="1418" w:right="1016" w:bottom="2127"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BC" w:rsidRDefault="00B652BC">
      <w:pPr>
        <w:spacing w:after="0" w:line="240" w:lineRule="auto"/>
      </w:pPr>
      <w:r>
        <w:separator/>
      </w:r>
    </w:p>
  </w:endnote>
  <w:endnote w:type="continuationSeparator" w:id="0">
    <w:p w:rsidR="00B652BC" w:rsidRDefault="00B6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445034" w:rsidRDefault="006A126F" w:rsidP="0017275B">
    <w:pPr>
      <w:tabs>
        <w:tab w:val="left" w:pos="9090"/>
      </w:tabs>
      <w:spacing w:after="0" w:line="240" w:lineRule="auto"/>
      <w:ind w:right="22"/>
      <w:jc w:val="center"/>
      <w:rPr>
        <w:iCs/>
        <w:sz w:val="18"/>
        <w:szCs w:val="18"/>
      </w:rPr>
    </w:pPr>
    <w:r w:rsidRPr="00445034">
      <w:rPr>
        <w:i/>
        <w:iCs/>
        <w:sz w:val="18"/>
        <w:szCs w:val="18"/>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1D2372" w:rsidRPr="0062581A" w:rsidRDefault="00B652BC" w:rsidP="00CD6F18">
    <w:pPr>
      <w:tabs>
        <w:tab w:val="left" w:pos="9090"/>
      </w:tabs>
      <w:spacing w:after="0" w:line="240" w:lineRule="auto"/>
      <w:ind w:right="-144"/>
      <w:jc w:val="center"/>
      <w:rPr>
        <w:iCs/>
        <w:sz w:val="18"/>
        <w:szCs w:val="18"/>
      </w:rPr>
    </w:pPr>
    <w:hyperlink r:id="rId1" w:history="1">
      <w:r w:rsidR="006A126F" w:rsidRPr="0062581A">
        <w:rPr>
          <w:rStyle w:val="Hyperlink"/>
          <w:i/>
          <w:iCs/>
          <w:sz w:val="18"/>
          <w:szCs w:val="18"/>
          <w:lang w:val="en-US"/>
        </w:rPr>
        <w:t>www.eufunds.bg</w:t>
      </w:r>
    </w:hyperlink>
  </w:p>
  <w:p w:rsidR="001D2372" w:rsidRDefault="006A126F" w:rsidP="0046622D">
    <w:pPr>
      <w:pStyle w:val="Footer"/>
      <w:jc w:val="center"/>
    </w:pPr>
    <w:r>
      <w:fldChar w:fldCharType="begin"/>
    </w:r>
    <w:r>
      <w:instrText xml:space="preserve"> PAGE   \* MERGEFORMAT </w:instrText>
    </w:r>
    <w:r>
      <w:fldChar w:fldCharType="separate"/>
    </w:r>
    <w:r w:rsidR="00551BE5">
      <w:rPr>
        <w:noProof/>
      </w:rPr>
      <w:t>22</w:t>
    </w:r>
    <w:r>
      <w:rPr>
        <w:noProof/>
      </w:rPr>
      <w:fldChar w:fldCharType="end"/>
    </w:r>
  </w:p>
  <w:p w:rsidR="001D2372" w:rsidRDefault="00B65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BC" w:rsidRDefault="00B652BC">
      <w:pPr>
        <w:spacing w:after="0" w:line="240" w:lineRule="auto"/>
      </w:pPr>
      <w:r>
        <w:separator/>
      </w:r>
    </w:p>
  </w:footnote>
  <w:footnote w:type="continuationSeparator" w:id="0">
    <w:p w:rsidR="00B652BC" w:rsidRDefault="00B6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9B2E5E" w:rsidRDefault="006A126F" w:rsidP="009B2E5E">
    <w:pPr>
      <w:pStyle w:val="Header"/>
      <w:ind w:left="-142"/>
      <w:rPr>
        <w:lang w:val="bg-BG"/>
      </w:rPr>
    </w:pPr>
    <w:r>
      <w:rPr>
        <w:noProof/>
        <w:lang w:val="bg-BG" w:eastAsia="bg-BG"/>
      </w:rPr>
      <w:drawing>
        <wp:inline distT="0" distB="0" distL="0" distR="0" wp14:anchorId="64B43B49" wp14:editId="715347BE">
          <wp:extent cx="1523067" cy="695852"/>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22F43744" wp14:editId="0DF8ED45">
          <wp:extent cx="994350" cy="654918"/>
          <wp:effectExtent l="0" t="0" r="0" b="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21B32112" wp14:editId="7008816F">
          <wp:extent cx="1260000" cy="612000"/>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E6031"/>
    <w:multiLevelType w:val="hybridMultilevel"/>
    <w:tmpl w:val="0AEEA3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DFD7F55"/>
    <w:multiLevelType w:val="hybridMultilevel"/>
    <w:tmpl w:val="464A1154"/>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43437BB"/>
    <w:multiLevelType w:val="hybridMultilevel"/>
    <w:tmpl w:val="68A87DC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B7163D5"/>
    <w:multiLevelType w:val="hybridMultilevel"/>
    <w:tmpl w:val="738C3D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A9F4C7C"/>
    <w:multiLevelType w:val="hybridMultilevel"/>
    <w:tmpl w:val="2ABE1B20"/>
    <w:lvl w:ilvl="0" w:tplc="E598848A">
      <w:numFmt w:val="bullet"/>
      <w:lvlText w:val="-"/>
      <w:lvlJc w:val="left"/>
      <w:pPr>
        <w:ind w:left="720" w:hanging="360"/>
      </w:pPr>
      <w:rPr>
        <w:rFonts w:ascii="Arial" w:eastAsia="Calibr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AE60265"/>
    <w:multiLevelType w:val="hybridMultilevel"/>
    <w:tmpl w:val="09FC8946"/>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EE702A4"/>
    <w:multiLevelType w:val="hybridMultilevel"/>
    <w:tmpl w:val="E332A1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62941A4C"/>
    <w:multiLevelType w:val="hybridMultilevel"/>
    <w:tmpl w:val="05ACFC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9FD6B85"/>
    <w:multiLevelType w:val="hybridMultilevel"/>
    <w:tmpl w:val="3E7A3F16"/>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BF31402"/>
    <w:multiLevelType w:val="hybridMultilevel"/>
    <w:tmpl w:val="A3C8D11E"/>
    <w:lvl w:ilvl="0" w:tplc="FB1852AA">
      <w:start w:val="1"/>
      <w:numFmt w:val="bullet"/>
      <w:lvlText w:val=""/>
      <w:lvlJc w:val="left"/>
      <w:pPr>
        <w:tabs>
          <w:tab w:val="num" w:pos="720"/>
        </w:tabs>
        <w:ind w:left="720" w:hanging="360"/>
      </w:pPr>
      <w:rPr>
        <w:rFonts w:ascii="Symbol" w:hAnsi="Symbol" w:hint="default"/>
      </w:rPr>
    </w:lvl>
    <w:lvl w:ilvl="1" w:tplc="AFD624D4" w:tentative="1">
      <w:start w:val="1"/>
      <w:numFmt w:val="bullet"/>
      <w:lvlText w:val=""/>
      <w:lvlJc w:val="left"/>
      <w:pPr>
        <w:tabs>
          <w:tab w:val="num" w:pos="1440"/>
        </w:tabs>
        <w:ind w:left="1440" w:hanging="360"/>
      </w:pPr>
      <w:rPr>
        <w:rFonts w:ascii="Symbol" w:hAnsi="Symbol" w:hint="default"/>
      </w:rPr>
    </w:lvl>
    <w:lvl w:ilvl="2" w:tplc="5F6C48AA" w:tentative="1">
      <w:start w:val="1"/>
      <w:numFmt w:val="bullet"/>
      <w:lvlText w:val=""/>
      <w:lvlJc w:val="left"/>
      <w:pPr>
        <w:tabs>
          <w:tab w:val="num" w:pos="2160"/>
        </w:tabs>
        <w:ind w:left="2160" w:hanging="360"/>
      </w:pPr>
      <w:rPr>
        <w:rFonts w:ascii="Symbol" w:hAnsi="Symbol" w:hint="default"/>
      </w:rPr>
    </w:lvl>
    <w:lvl w:ilvl="3" w:tplc="0CCC394A" w:tentative="1">
      <w:start w:val="1"/>
      <w:numFmt w:val="bullet"/>
      <w:lvlText w:val=""/>
      <w:lvlJc w:val="left"/>
      <w:pPr>
        <w:tabs>
          <w:tab w:val="num" w:pos="2880"/>
        </w:tabs>
        <w:ind w:left="2880" w:hanging="360"/>
      </w:pPr>
      <w:rPr>
        <w:rFonts w:ascii="Symbol" w:hAnsi="Symbol" w:hint="default"/>
      </w:rPr>
    </w:lvl>
    <w:lvl w:ilvl="4" w:tplc="1892F510" w:tentative="1">
      <w:start w:val="1"/>
      <w:numFmt w:val="bullet"/>
      <w:lvlText w:val=""/>
      <w:lvlJc w:val="left"/>
      <w:pPr>
        <w:tabs>
          <w:tab w:val="num" w:pos="3600"/>
        </w:tabs>
        <w:ind w:left="3600" w:hanging="360"/>
      </w:pPr>
      <w:rPr>
        <w:rFonts w:ascii="Symbol" w:hAnsi="Symbol" w:hint="default"/>
      </w:rPr>
    </w:lvl>
    <w:lvl w:ilvl="5" w:tplc="F5B00AD8" w:tentative="1">
      <w:start w:val="1"/>
      <w:numFmt w:val="bullet"/>
      <w:lvlText w:val=""/>
      <w:lvlJc w:val="left"/>
      <w:pPr>
        <w:tabs>
          <w:tab w:val="num" w:pos="4320"/>
        </w:tabs>
        <w:ind w:left="4320" w:hanging="360"/>
      </w:pPr>
      <w:rPr>
        <w:rFonts w:ascii="Symbol" w:hAnsi="Symbol" w:hint="default"/>
      </w:rPr>
    </w:lvl>
    <w:lvl w:ilvl="6" w:tplc="5EB6DE2C" w:tentative="1">
      <w:start w:val="1"/>
      <w:numFmt w:val="bullet"/>
      <w:lvlText w:val=""/>
      <w:lvlJc w:val="left"/>
      <w:pPr>
        <w:tabs>
          <w:tab w:val="num" w:pos="5040"/>
        </w:tabs>
        <w:ind w:left="5040" w:hanging="360"/>
      </w:pPr>
      <w:rPr>
        <w:rFonts w:ascii="Symbol" w:hAnsi="Symbol" w:hint="default"/>
      </w:rPr>
    </w:lvl>
    <w:lvl w:ilvl="7" w:tplc="C87CC3C8" w:tentative="1">
      <w:start w:val="1"/>
      <w:numFmt w:val="bullet"/>
      <w:lvlText w:val=""/>
      <w:lvlJc w:val="left"/>
      <w:pPr>
        <w:tabs>
          <w:tab w:val="num" w:pos="5760"/>
        </w:tabs>
        <w:ind w:left="5760" w:hanging="360"/>
      </w:pPr>
      <w:rPr>
        <w:rFonts w:ascii="Symbol" w:hAnsi="Symbol" w:hint="default"/>
      </w:rPr>
    </w:lvl>
    <w:lvl w:ilvl="8" w:tplc="822C59E4"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5"/>
  </w:num>
  <w:num w:numId="3">
    <w:abstractNumId w:val="4"/>
  </w:num>
  <w:num w:numId="4">
    <w:abstractNumId w:val="6"/>
  </w:num>
  <w:num w:numId="5">
    <w:abstractNumId w:val="0"/>
  </w:num>
  <w:num w:numId="6">
    <w:abstractNumId w:val="2"/>
  </w:num>
  <w:num w:numId="7">
    <w:abstractNumId w:val="3"/>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B"/>
    <w:rsid w:val="000F19D8"/>
    <w:rsid w:val="001D0DED"/>
    <w:rsid w:val="002A625F"/>
    <w:rsid w:val="00551BE5"/>
    <w:rsid w:val="005A552B"/>
    <w:rsid w:val="006A126F"/>
    <w:rsid w:val="00B652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B0571-6DF7-4114-BF9B-EBA1C249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552B"/>
    <w:rPr>
      <w:color w:val="0000FF"/>
      <w:u w:val="single"/>
    </w:rPr>
  </w:style>
  <w:style w:type="paragraph" w:styleId="ListParagraph">
    <w:name w:val="List Paragraph"/>
    <w:basedOn w:val="Normal"/>
    <w:uiPriority w:val="34"/>
    <w:qFormat/>
    <w:rsid w:val="005A552B"/>
    <w:pPr>
      <w:ind w:left="720"/>
      <w:contextualSpacing/>
    </w:pPr>
  </w:style>
  <w:style w:type="paragraph" w:styleId="Header">
    <w:name w:val="header"/>
    <w:basedOn w:val="Normal"/>
    <w:link w:val="HeaderChar"/>
    <w:uiPriority w:val="99"/>
    <w:unhideWhenUsed/>
    <w:rsid w:val="005A552B"/>
    <w:pPr>
      <w:tabs>
        <w:tab w:val="center" w:pos="4536"/>
        <w:tab w:val="right" w:pos="9072"/>
      </w:tabs>
    </w:pPr>
    <w:rPr>
      <w:lang w:val="x-none"/>
    </w:rPr>
  </w:style>
  <w:style w:type="character" w:customStyle="1" w:styleId="HeaderChar">
    <w:name w:val="Header Char"/>
    <w:basedOn w:val="DefaultParagraphFont"/>
    <w:link w:val="Header"/>
    <w:uiPriority w:val="99"/>
    <w:rsid w:val="005A552B"/>
    <w:rPr>
      <w:rFonts w:ascii="Calibri" w:eastAsia="Calibri" w:hAnsi="Calibri" w:cs="Times New Roman"/>
      <w:lang w:val="x-none"/>
    </w:rPr>
  </w:style>
  <w:style w:type="paragraph" w:styleId="Footer">
    <w:name w:val="footer"/>
    <w:basedOn w:val="Normal"/>
    <w:link w:val="FooterChar"/>
    <w:uiPriority w:val="99"/>
    <w:unhideWhenUsed/>
    <w:rsid w:val="005A552B"/>
    <w:pPr>
      <w:tabs>
        <w:tab w:val="center" w:pos="4536"/>
        <w:tab w:val="right" w:pos="9072"/>
      </w:tabs>
    </w:pPr>
    <w:rPr>
      <w:lang w:val="x-none"/>
    </w:rPr>
  </w:style>
  <w:style w:type="character" w:customStyle="1" w:styleId="FooterChar">
    <w:name w:val="Footer Char"/>
    <w:basedOn w:val="DefaultParagraphFont"/>
    <w:link w:val="Footer"/>
    <w:uiPriority w:val="99"/>
    <w:rsid w:val="005A552B"/>
    <w:rPr>
      <w:rFonts w:ascii="Calibri" w:eastAsia="Calibri" w:hAnsi="Calibri" w:cs="Times New Roman"/>
      <w:lang w:val="x-none"/>
    </w:rPr>
  </w:style>
  <w:style w:type="table" w:styleId="TableGrid">
    <w:name w:val="Table Grid"/>
    <w:basedOn w:val="TableNormal"/>
    <w:uiPriority w:val="59"/>
    <w:rsid w:val="005A552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9010</Words>
  <Characters>51360</Characters>
  <Application>Microsoft Office Word</Application>
  <DocSecurity>0</DocSecurity>
  <Lines>428</Lines>
  <Paragraphs>120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N-Karatova</dc:creator>
  <cp:keywords/>
  <dc:description/>
  <cp:lastModifiedBy>Windows User</cp:lastModifiedBy>
  <cp:revision>3</cp:revision>
  <dcterms:created xsi:type="dcterms:W3CDTF">2021-08-05T11:13:00Z</dcterms:created>
  <dcterms:modified xsi:type="dcterms:W3CDTF">2021-08-08T10:12:00Z</dcterms:modified>
</cp:coreProperties>
</file>