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AD" w:rsidRPr="00A403C2" w:rsidRDefault="00A403C2" w:rsidP="00AF59AD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A403C2">
        <w:rPr>
          <w:b/>
          <w:sz w:val="28"/>
          <w:szCs w:val="28"/>
        </w:rPr>
        <w:t>Обособена позиция №1</w:t>
      </w:r>
      <w:r w:rsidR="00AF59AD" w:rsidRPr="00A403C2">
        <w:rPr>
          <w:b/>
          <w:sz w:val="28"/>
          <w:szCs w:val="28"/>
        </w:rPr>
        <w:t xml:space="preserve"> </w:t>
      </w:r>
      <w:r w:rsidR="00AF59AD" w:rsidRPr="00A403C2">
        <w:rPr>
          <w:b/>
          <w:bCs/>
          <w:sz w:val="28"/>
          <w:szCs w:val="28"/>
          <w:lang w:eastAsia="bg-BG"/>
        </w:rPr>
        <w:t>„</w:t>
      </w:r>
      <w:r w:rsidRPr="00A403C2">
        <w:rPr>
          <w:b/>
          <w:sz w:val="28"/>
          <w:szCs w:val="28"/>
          <w:lang w:eastAsia="ar-SA"/>
        </w:rPr>
        <w:t>Обучения за подобряване капацитета на</w:t>
      </w:r>
      <w:r w:rsidRPr="00A403C2">
        <w:rPr>
          <w:b/>
          <w:bCs/>
          <w:sz w:val="28"/>
          <w:szCs w:val="28"/>
          <w:lang w:eastAsia="ar-SA"/>
        </w:rPr>
        <w:t xml:space="preserve"> общинските служители</w:t>
      </w:r>
      <w:r w:rsidRPr="00A403C2">
        <w:rPr>
          <w:b/>
          <w:sz w:val="28"/>
          <w:szCs w:val="28"/>
          <w:lang w:eastAsia="ar-SA"/>
        </w:rPr>
        <w:t xml:space="preserve"> в сферата на у</w:t>
      </w:r>
      <w:proofErr w:type="spellStart"/>
      <w:r w:rsidRPr="00A403C2">
        <w:rPr>
          <w:b/>
          <w:sz w:val="28"/>
          <w:szCs w:val="28"/>
          <w:lang w:val="en-US" w:eastAsia="ar-SA"/>
        </w:rPr>
        <w:t>правление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общинските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финанси</w:t>
      </w:r>
      <w:proofErr w:type="spellEnd"/>
      <w:r w:rsidRPr="00A403C2">
        <w:rPr>
          <w:b/>
          <w:sz w:val="28"/>
          <w:szCs w:val="28"/>
          <w:lang w:eastAsia="ar-SA"/>
        </w:rPr>
        <w:t xml:space="preserve">, </w:t>
      </w:r>
      <w:proofErr w:type="spellStart"/>
      <w:r w:rsidRPr="00A403C2">
        <w:rPr>
          <w:b/>
          <w:sz w:val="28"/>
          <w:szCs w:val="28"/>
          <w:lang w:val="en-US" w:eastAsia="ar-SA"/>
        </w:rPr>
        <w:t>компетентности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и </w:t>
      </w:r>
      <w:proofErr w:type="spellStart"/>
      <w:r w:rsidRPr="00A403C2">
        <w:rPr>
          <w:b/>
          <w:sz w:val="28"/>
          <w:szCs w:val="28"/>
          <w:lang w:val="en-US" w:eastAsia="ar-SA"/>
        </w:rPr>
        <w:t>правомощия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общинската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данъчна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администрация</w:t>
      </w:r>
      <w:proofErr w:type="spellEnd"/>
      <w:r w:rsidRPr="00A403C2">
        <w:rPr>
          <w:b/>
          <w:sz w:val="28"/>
          <w:szCs w:val="28"/>
          <w:lang w:eastAsia="ar-SA"/>
        </w:rPr>
        <w:t xml:space="preserve"> и </w:t>
      </w:r>
      <w:proofErr w:type="spellStart"/>
      <w:r w:rsidRPr="00A403C2">
        <w:rPr>
          <w:b/>
          <w:sz w:val="28"/>
          <w:szCs w:val="28"/>
          <w:lang w:val="en-US" w:eastAsia="ar-SA"/>
        </w:rPr>
        <w:t>контролни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функции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общините</w:t>
      </w:r>
      <w:proofErr w:type="spellEnd"/>
      <w:r w:rsidR="00AF59AD" w:rsidRPr="00A403C2">
        <w:rPr>
          <w:b/>
          <w:sz w:val="28"/>
          <w:szCs w:val="28"/>
        </w:rPr>
        <w:t xml:space="preserve">”. </w:t>
      </w:r>
    </w:p>
    <w:p w:rsidR="00AF59AD" w:rsidRPr="00F43844" w:rsidRDefault="00F43844" w:rsidP="00AF59AD">
      <w:pPr>
        <w:shd w:val="clear" w:color="auto" w:fill="FFFFFF"/>
        <w:spacing w:after="120"/>
        <w:jc w:val="center"/>
        <w:rPr>
          <w:b/>
          <w:sz w:val="28"/>
          <w:szCs w:val="28"/>
          <w:lang w:eastAsia="bg-BG"/>
        </w:rPr>
      </w:pPr>
      <w:r w:rsidRPr="00F43844">
        <w:rPr>
          <w:b/>
          <w:bCs/>
          <w:sz w:val="28"/>
          <w:szCs w:val="28"/>
        </w:rPr>
        <w:t>Обучителен модул №3</w:t>
      </w:r>
      <w:r w:rsidR="00AF59AD" w:rsidRPr="00F43844">
        <w:rPr>
          <w:b/>
          <w:sz w:val="28"/>
          <w:szCs w:val="28"/>
          <w:lang w:eastAsia="bg-BG"/>
        </w:rPr>
        <w:t> „</w:t>
      </w:r>
      <w:r w:rsidRPr="00F43844">
        <w:rPr>
          <w:b/>
          <w:bCs/>
          <w:sz w:val="28"/>
          <w:szCs w:val="28"/>
          <w:lang w:val="en-US" w:eastAsia="ar-SA"/>
        </w:rPr>
        <w:t xml:space="preserve">Контролни </w:t>
      </w:r>
      <w:proofErr w:type="spellStart"/>
      <w:r w:rsidRPr="00F43844">
        <w:rPr>
          <w:b/>
          <w:bCs/>
          <w:sz w:val="28"/>
          <w:szCs w:val="28"/>
          <w:lang w:val="en-US" w:eastAsia="ar-SA"/>
        </w:rPr>
        <w:t>функции</w:t>
      </w:r>
      <w:proofErr w:type="spellEnd"/>
      <w:r w:rsidRPr="00F43844">
        <w:rPr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F43844">
        <w:rPr>
          <w:b/>
          <w:bCs/>
          <w:sz w:val="28"/>
          <w:szCs w:val="28"/>
          <w:lang w:val="en-US" w:eastAsia="ar-SA"/>
        </w:rPr>
        <w:t>на</w:t>
      </w:r>
      <w:proofErr w:type="spellEnd"/>
      <w:r w:rsidRPr="00F43844">
        <w:rPr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F43844">
        <w:rPr>
          <w:b/>
          <w:bCs/>
          <w:sz w:val="28"/>
          <w:szCs w:val="28"/>
          <w:lang w:val="en-US" w:eastAsia="ar-SA"/>
        </w:rPr>
        <w:t>общините</w:t>
      </w:r>
      <w:proofErr w:type="spellEnd"/>
      <w:r w:rsidRPr="00F43844">
        <w:rPr>
          <w:b/>
          <w:sz w:val="28"/>
          <w:szCs w:val="28"/>
          <w:lang w:eastAsia="bg-BG"/>
        </w:rPr>
        <w:t xml:space="preserve"> </w:t>
      </w:r>
      <w:r w:rsidR="00AF59AD" w:rsidRPr="00F43844">
        <w:rPr>
          <w:b/>
          <w:sz w:val="28"/>
          <w:szCs w:val="28"/>
          <w:lang w:eastAsia="bg-BG"/>
        </w:rPr>
        <w:t>”</w:t>
      </w:r>
    </w:p>
    <w:p w:rsidR="00AF59AD" w:rsidRDefault="00AF59AD" w:rsidP="00AF59AD">
      <w:pPr>
        <w:spacing w:after="120"/>
      </w:pPr>
    </w:p>
    <w:p w:rsidR="00242B8E" w:rsidRDefault="00242B8E" w:rsidP="00242B8E">
      <w:pPr>
        <w:spacing w:after="120" w:line="276" w:lineRule="auto"/>
        <w:ind w:left="-12" w:firstLine="732"/>
        <w:jc w:val="center"/>
        <w:rPr>
          <w:b/>
          <w:bCs/>
          <w:iCs/>
          <w:szCs w:val="28"/>
        </w:rPr>
      </w:pPr>
      <w:r w:rsidRPr="00AF59AD">
        <w:rPr>
          <w:b/>
          <w:bCs/>
          <w:iCs/>
          <w:szCs w:val="28"/>
        </w:rPr>
        <w:t>Списък с интернет и/или други ресурси (сайтове, книги, статии, доклади, методики и др.)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Административно-процесуален кодекс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Граждански – процесуален кодекс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Закон за местното самоуправление и местната администрация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Закон за финансовото управление и контрол в публичния сектор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Закон за вътрешния одит в публичния сектор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Закон за Сметната палата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Закон за държавната финансова инспекция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 xml:space="preserve">Закон за задълженията и договорите 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авторското право и сродните му права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 xml:space="preserve">Закон за административните нарушения и наказания 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ветеринарномедицинската дейност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водите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горите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движението по пътищата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 xml:space="preserve">Закон за занаятите 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защита на животните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защита на потребителите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защита от шума в околната среда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защитените територии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лечебните растения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>
        <w:t>Закон за МВР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опазване на околната среда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опазване на селскостопанското имущество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подземните богатства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подпомагане на земеделските производители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почвите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приватизация и следприватизационен контрол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собствеността и ползването на земеделските земи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техническите изисквания към продуктите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туризма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управление на етажната собственост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управление на отпадъците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устройство на територията</w:t>
      </w:r>
    </w:p>
    <w:p w:rsidR="006E7E4A" w:rsidRPr="004E01F9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устройството на Черноморското крайбрежие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 w:rsidRPr="004E01F9">
        <w:t>Закон за чистотата на атмосферния въздух</w:t>
      </w:r>
    </w:p>
    <w:p w:rsid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>
        <w:lastRenderedPageBreak/>
        <w:t>Практически наръчници, обучителни материали, публикации, изследвания, методологии  на ИПА</w:t>
      </w:r>
      <w:r w:rsidRPr="001C3DA9">
        <w:t xml:space="preserve"> </w:t>
      </w:r>
      <w:hyperlink r:id="rId7" w:history="1">
        <w:r w:rsidRPr="00FB4772">
          <w:rPr>
            <w:rStyle w:val="Hyperlink"/>
          </w:rPr>
          <w:t>https://www.ipa.government.bg/bg/publications</w:t>
        </w:r>
      </w:hyperlink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Практически наръчници и обучителни материали на НСОРБ</w:t>
      </w:r>
    </w:p>
    <w:p w:rsidR="006E7E4A" w:rsidRDefault="006E7E4A" w:rsidP="006E7E4A">
      <w:pPr>
        <w:pStyle w:val="ListParagraph"/>
        <w:numPr>
          <w:ilvl w:val="0"/>
          <w:numId w:val="1"/>
        </w:numPr>
      </w:pPr>
      <w:r>
        <w:t>Съдебни решения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Публикации от портала за обществени консултации </w:t>
      </w:r>
      <w:hyperlink r:id="rId8" w:history="1">
        <w:r w:rsidRPr="00FB4772">
          <w:rPr>
            <w:rStyle w:val="Hyperlink"/>
          </w:rPr>
          <w:t>www.strategy.bg</w:t>
        </w:r>
      </w:hyperlink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Стратегия на Съвета на Европа за иновации и добро управление на местно ниво, приета на Конференция на европейските министри, отговорни за местното и регионално управление, „Доброто местно и регионално управление - европейското предизвикателство”, 15-та сесия, Валенсия, 15-16 октомври 2007 г.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4.</w:t>
      </w:r>
      <w:r w:rsidRPr="006E7E4A">
        <w:rPr>
          <w:color w:val="333333"/>
          <w:lang w:eastAsia="bg-BG"/>
        </w:rPr>
        <w:tab/>
        <w:t>Ролята на вътрешния одит за по-висока ефективност и прозрачност в общината, НСОРБ, 2009 г.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5.</w:t>
      </w:r>
      <w:r w:rsidRPr="006E7E4A">
        <w:rPr>
          <w:color w:val="333333"/>
          <w:lang w:eastAsia="bg-BG"/>
        </w:rPr>
        <w:tab/>
        <w:t>Портфолио от мерки за добро управление, НСОРБ, 2009 г.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6.</w:t>
      </w:r>
      <w:r w:rsidRPr="006E7E4A">
        <w:rPr>
          <w:color w:val="333333"/>
          <w:lang w:eastAsia="bg-BG"/>
        </w:rPr>
        <w:tab/>
        <w:t>Съставяне и приемане на общинските бюджети за 2017 г., консултативна разработка, НСОРБ, 2021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7.</w:t>
      </w:r>
      <w:r w:rsidRPr="006E7E4A">
        <w:rPr>
          <w:color w:val="333333"/>
          <w:lang w:eastAsia="bg-BG"/>
        </w:rPr>
        <w:tab/>
        <w:t xml:space="preserve">: OECD (2017), </w:t>
      </w:r>
      <w:proofErr w:type="spellStart"/>
      <w:r w:rsidRPr="006E7E4A">
        <w:rPr>
          <w:color w:val="333333"/>
          <w:lang w:eastAsia="bg-BG"/>
        </w:rPr>
        <w:t>Multi-level</w:t>
      </w:r>
      <w:proofErr w:type="spellEnd"/>
      <w:r w:rsidRPr="006E7E4A">
        <w:rPr>
          <w:color w:val="333333"/>
          <w:lang w:eastAsia="bg-BG"/>
        </w:rPr>
        <w:t xml:space="preserve"> </w:t>
      </w:r>
      <w:proofErr w:type="spellStart"/>
      <w:r w:rsidRPr="006E7E4A">
        <w:rPr>
          <w:color w:val="333333"/>
          <w:lang w:eastAsia="bg-BG"/>
        </w:rPr>
        <w:t>Governance</w:t>
      </w:r>
      <w:proofErr w:type="spellEnd"/>
      <w:r w:rsidRPr="006E7E4A">
        <w:rPr>
          <w:color w:val="333333"/>
          <w:lang w:eastAsia="bg-BG"/>
        </w:rPr>
        <w:t xml:space="preserve"> </w:t>
      </w:r>
      <w:proofErr w:type="spellStart"/>
      <w:r w:rsidRPr="006E7E4A">
        <w:rPr>
          <w:color w:val="333333"/>
          <w:lang w:eastAsia="bg-BG"/>
        </w:rPr>
        <w:t>Reforms</w:t>
      </w:r>
      <w:proofErr w:type="spellEnd"/>
      <w:r w:rsidRPr="006E7E4A">
        <w:rPr>
          <w:color w:val="333333"/>
          <w:lang w:eastAsia="bg-BG"/>
        </w:rPr>
        <w:t xml:space="preserve">: </w:t>
      </w:r>
      <w:proofErr w:type="spellStart"/>
      <w:r w:rsidRPr="006E7E4A">
        <w:rPr>
          <w:color w:val="333333"/>
          <w:lang w:eastAsia="bg-BG"/>
        </w:rPr>
        <w:t>Fverview</w:t>
      </w:r>
      <w:proofErr w:type="spellEnd"/>
      <w:r w:rsidRPr="006E7E4A">
        <w:rPr>
          <w:color w:val="333333"/>
          <w:lang w:eastAsia="bg-BG"/>
        </w:rPr>
        <w:t xml:space="preserve"> </w:t>
      </w:r>
      <w:proofErr w:type="spellStart"/>
      <w:r w:rsidRPr="006E7E4A">
        <w:rPr>
          <w:color w:val="333333"/>
          <w:lang w:eastAsia="bg-BG"/>
        </w:rPr>
        <w:t>of</w:t>
      </w:r>
      <w:proofErr w:type="spellEnd"/>
      <w:r w:rsidRPr="006E7E4A">
        <w:rPr>
          <w:color w:val="333333"/>
          <w:lang w:eastAsia="bg-BG"/>
        </w:rPr>
        <w:t xml:space="preserve"> OECD </w:t>
      </w:r>
      <w:proofErr w:type="spellStart"/>
      <w:r w:rsidRPr="006E7E4A">
        <w:rPr>
          <w:color w:val="333333"/>
          <w:lang w:eastAsia="bg-BG"/>
        </w:rPr>
        <w:t>Country</w:t>
      </w:r>
      <w:proofErr w:type="spellEnd"/>
      <w:r w:rsidRPr="006E7E4A">
        <w:rPr>
          <w:color w:val="333333"/>
          <w:lang w:eastAsia="bg-BG"/>
        </w:rPr>
        <w:t xml:space="preserve"> </w:t>
      </w:r>
      <w:proofErr w:type="spellStart"/>
      <w:r w:rsidRPr="006E7E4A">
        <w:rPr>
          <w:color w:val="333333"/>
          <w:lang w:eastAsia="bg-BG"/>
        </w:rPr>
        <w:t>Experiences</w:t>
      </w:r>
      <w:proofErr w:type="spellEnd"/>
      <w:r w:rsidRPr="006E7E4A">
        <w:rPr>
          <w:color w:val="333333"/>
          <w:lang w:eastAsia="bg-BG"/>
        </w:rPr>
        <w:t xml:space="preserve">, OECD </w:t>
      </w:r>
      <w:proofErr w:type="spellStart"/>
      <w:r w:rsidRPr="006E7E4A">
        <w:rPr>
          <w:color w:val="333333"/>
          <w:lang w:eastAsia="bg-BG"/>
        </w:rPr>
        <w:t>Multi-level</w:t>
      </w:r>
      <w:proofErr w:type="spellEnd"/>
      <w:r w:rsidRPr="006E7E4A">
        <w:rPr>
          <w:color w:val="333333"/>
          <w:lang w:eastAsia="bg-BG"/>
        </w:rPr>
        <w:t xml:space="preserve"> </w:t>
      </w:r>
      <w:proofErr w:type="spellStart"/>
      <w:r w:rsidRPr="006E7E4A">
        <w:rPr>
          <w:color w:val="333333"/>
          <w:lang w:eastAsia="bg-BG"/>
        </w:rPr>
        <w:t>Governance</w:t>
      </w:r>
      <w:proofErr w:type="spellEnd"/>
      <w:r w:rsidRPr="006E7E4A">
        <w:rPr>
          <w:color w:val="333333"/>
          <w:lang w:eastAsia="bg-BG"/>
        </w:rPr>
        <w:t xml:space="preserve"> </w:t>
      </w:r>
      <w:proofErr w:type="spellStart"/>
      <w:r w:rsidRPr="006E7E4A">
        <w:rPr>
          <w:color w:val="333333"/>
          <w:lang w:eastAsia="bg-BG"/>
        </w:rPr>
        <w:t>Studies</w:t>
      </w:r>
      <w:proofErr w:type="spellEnd"/>
      <w:r w:rsidRPr="006E7E4A">
        <w:rPr>
          <w:color w:val="333333"/>
          <w:lang w:eastAsia="bg-BG"/>
        </w:rPr>
        <w:t xml:space="preserve">, OECD </w:t>
      </w:r>
      <w:proofErr w:type="spellStart"/>
      <w:r w:rsidRPr="006E7E4A">
        <w:rPr>
          <w:color w:val="333333"/>
          <w:lang w:eastAsia="bg-BG"/>
        </w:rPr>
        <w:t>Publishing</w:t>
      </w:r>
      <w:proofErr w:type="spellEnd"/>
      <w:r w:rsidRPr="006E7E4A">
        <w:rPr>
          <w:color w:val="333333"/>
          <w:lang w:eastAsia="bg-BG"/>
        </w:rPr>
        <w:t xml:space="preserve">, </w:t>
      </w:r>
      <w:proofErr w:type="spellStart"/>
      <w:r w:rsidRPr="006E7E4A">
        <w:rPr>
          <w:color w:val="333333"/>
          <w:lang w:eastAsia="bg-BG"/>
        </w:rPr>
        <w:t>Paris</w:t>
      </w:r>
      <w:proofErr w:type="spellEnd"/>
      <w:r w:rsidRPr="006E7E4A">
        <w:rPr>
          <w:color w:val="333333"/>
          <w:lang w:eastAsia="bg-BG"/>
        </w:rPr>
        <w:t xml:space="preserve">, </w:t>
      </w:r>
      <w:proofErr w:type="spellStart"/>
      <w:r w:rsidRPr="006E7E4A">
        <w:rPr>
          <w:color w:val="333333"/>
          <w:lang w:eastAsia="bg-BG"/>
        </w:rPr>
        <w:t>pp</w:t>
      </w:r>
      <w:proofErr w:type="spellEnd"/>
      <w:r w:rsidRPr="006E7E4A">
        <w:rPr>
          <w:color w:val="333333"/>
          <w:lang w:eastAsia="bg-BG"/>
        </w:rPr>
        <w:t>. 60-61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http://dx.doi.org/10.1787/9789264272866-en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8.</w:t>
      </w:r>
      <w:r w:rsidRPr="006E7E4A">
        <w:rPr>
          <w:color w:val="333333"/>
          <w:lang w:eastAsia="bg-BG"/>
        </w:rPr>
        <w:tab/>
        <w:t>Наръчник за организиране и провеждане на обществени обсъждания в общините, районите и кметствата – Форум „Гражданско участие”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333333"/>
          <w:lang w:eastAsia="bg-BG"/>
        </w:rPr>
      </w:pPr>
      <w:r w:rsidRPr="006E7E4A">
        <w:rPr>
          <w:color w:val="333333"/>
          <w:lang w:eastAsia="bg-BG"/>
        </w:rPr>
        <w:t>9.</w:t>
      </w:r>
      <w:r w:rsidRPr="006E7E4A">
        <w:rPr>
          <w:color w:val="333333"/>
          <w:lang w:eastAsia="bg-BG"/>
        </w:rPr>
        <w:tab/>
        <w:t xml:space="preserve">Сборник с добри практики за включване на гражданите в решенията и политиките на местно ниво, сдружение Болкан </w:t>
      </w:r>
      <w:proofErr w:type="spellStart"/>
      <w:r w:rsidRPr="006E7E4A">
        <w:rPr>
          <w:color w:val="333333"/>
          <w:lang w:eastAsia="bg-BG"/>
        </w:rPr>
        <w:t>Асист</w:t>
      </w:r>
      <w:proofErr w:type="spellEnd"/>
      <w:r w:rsidRPr="006E7E4A">
        <w:rPr>
          <w:color w:val="333333"/>
          <w:lang w:eastAsia="bg-BG"/>
        </w:rPr>
        <w:t>”, по поръчка на МРРБ, ноември 2011 г.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6E7E4A">
        <w:rPr>
          <w:color w:val="333333"/>
          <w:lang w:eastAsia="bg-BG"/>
        </w:rPr>
        <w:t>Доц. д-р Томов Й., </w:t>
      </w:r>
      <w:r w:rsidRPr="006E7E4A">
        <w:rPr>
          <w:color w:val="333333"/>
          <w:lang w:val="ru-RU" w:eastAsia="bg-BG"/>
        </w:rPr>
        <w:t>“</w:t>
      </w:r>
      <w:r w:rsidRPr="006E7E4A">
        <w:rPr>
          <w:color w:val="333333"/>
          <w:lang w:eastAsia="bg-BG"/>
        </w:rPr>
        <w:t>Теория на контрола</w:t>
      </w:r>
      <w:r w:rsidRPr="006E7E4A">
        <w:rPr>
          <w:color w:val="333333"/>
          <w:lang w:val="ru-RU" w:eastAsia="bg-BG"/>
        </w:rPr>
        <w:t>”</w:t>
      </w:r>
      <w:r w:rsidRPr="006E7E4A">
        <w:rPr>
          <w:color w:val="333333"/>
          <w:lang w:eastAsia="bg-BG"/>
        </w:rPr>
        <w:t>, Свищов, 2000г.</w:t>
      </w:r>
    </w:p>
    <w:p w:rsidR="006E7E4A" w:rsidRPr="00EB6C46" w:rsidRDefault="006E7E4A" w:rsidP="006E7E4A">
      <w:pPr>
        <w:pStyle w:val="ListParagraph"/>
        <w:numPr>
          <w:ilvl w:val="0"/>
          <w:numId w:val="1"/>
        </w:numPr>
        <w:spacing w:after="120"/>
        <w:jc w:val="both"/>
      </w:pPr>
      <w:r w:rsidRPr="00EB6C46">
        <w:t>“Теорията и практиката на контрола - състояние и перспективи” Сборник статии от Юбилейна научна сесия, Свищов, 2005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212529"/>
          <w:shd w:val="clear" w:color="auto" w:fill="FFFFFF"/>
        </w:rPr>
      </w:pPr>
      <w:r w:rsidRPr="006E7E4A">
        <w:rPr>
          <w:color w:val="212529"/>
          <w:shd w:val="clear" w:color="auto" w:fill="FFFFFF"/>
        </w:rPr>
        <w:t xml:space="preserve">Георги Иванов, „Моделът за вътрешен контрол в организациите от публичния сектор на Р. България – адекватност, приложимост и ефективност" , от 2013 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212529"/>
          <w:shd w:val="clear" w:color="auto" w:fill="FFFFFF"/>
        </w:rPr>
      </w:pPr>
      <w:r w:rsidRPr="006E7E4A">
        <w:rPr>
          <w:color w:val="212529"/>
          <w:shd w:val="clear" w:color="auto" w:fill="FFFFFF"/>
        </w:rPr>
        <w:t xml:space="preserve">Г </w:t>
      </w:r>
      <w:proofErr w:type="spellStart"/>
      <w:r w:rsidRPr="006E7E4A">
        <w:rPr>
          <w:color w:val="212529"/>
          <w:shd w:val="clear" w:color="auto" w:fill="FFFFFF"/>
        </w:rPr>
        <w:t>еорги</w:t>
      </w:r>
      <w:proofErr w:type="spellEnd"/>
      <w:r w:rsidRPr="006E7E4A">
        <w:rPr>
          <w:color w:val="212529"/>
          <w:shd w:val="clear" w:color="auto" w:fill="FFFFFF"/>
        </w:rPr>
        <w:t xml:space="preserve"> Иванов</w:t>
      </w:r>
      <w:r w:rsidRPr="006E7E4A">
        <w:rPr>
          <w:bCs/>
          <w:color w:val="212529"/>
        </w:rPr>
        <w:t xml:space="preserve"> Управление на риска в организациите от публичния сектор на Република България,</w:t>
      </w:r>
      <w:r w:rsidRPr="006E7E4A">
        <w:rPr>
          <w:color w:val="212529"/>
        </w:rPr>
        <w:t xml:space="preserve"> АИ Ценов, 2013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color w:val="212529"/>
        </w:rPr>
      </w:pPr>
      <w:r w:rsidRPr="006E7E4A">
        <w:rPr>
          <w:color w:val="212529"/>
          <w:shd w:val="clear" w:color="auto" w:fill="FFFFFF"/>
        </w:rPr>
        <w:t>Георги Иванов,</w:t>
      </w:r>
      <w:r w:rsidRPr="006E7E4A">
        <w:rPr>
          <w:bCs/>
          <w:color w:val="212529"/>
        </w:rPr>
        <w:t xml:space="preserve"> </w:t>
      </w:r>
      <w:r w:rsidRPr="006E7E4A">
        <w:rPr>
          <w:color w:val="212529"/>
        </w:rPr>
        <w:t>Дияна Иванова,</w:t>
      </w:r>
      <w:r w:rsidRPr="006E7E4A">
        <w:rPr>
          <w:bCs/>
          <w:color w:val="212529"/>
        </w:rPr>
        <w:t xml:space="preserve"> Състояние на вътрешния контрол в общините на Р България</w:t>
      </w:r>
      <w:r w:rsidRPr="006E7E4A">
        <w:rPr>
          <w:color w:val="212529"/>
        </w:rPr>
        <w:t>, Алманах научни изследвания. СА Д. А. Ценов - Свищов, 2014, бр.21, с.237-264</w:t>
      </w:r>
    </w:p>
    <w:p w:rsidR="006E7E4A" w:rsidRPr="006E7E4A" w:rsidRDefault="006E7E4A" w:rsidP="006E7E4A">
      <w:pPr>
        <w:pStyle w:val="ListParagraph"/>
        <w:numPr>
          <w:ilvl w:val="0"/>
          <w:numId w:val="1"/>
        </w:numPr>
        <w:spacing w:after="120"/>
        <w:jc w:val="both"/>
        <w:rPr>
          <w:bCs/>
          <w:color w:val="212529"/>
        </w:rPr>
      </w:pPr>
      <w:r w:rsidRPr="006E7E4A">
        <w:rPr>
          <w:color w:val="212529"/>
          <w:shd w:val="clear" w:color="auto" w:fill="FFFFFF"/>
        </w:rPr>
        <w:t>Георги Иванов</w:t>
      </w:r>
      <w:r w:rsidRPr="006E7E4A">
        <w:rPr>
          <w:bCs/>
          <w:iCs/>
        </w:rPr>
        <w:t xml:space="preserve"> Милка </w:t>
      </w:r>
      <w:proofErr w:type="spellStart"/>
      <w:r w:rsidRPr="006E7E4A">
        <w:rPr>
          <w:bCs/>
          <w:iCs/>
        </w:rPr>
        <w:t>Томева</w:t>
      </w:r>
      <w:proofErr w:type="spellEnd"/>
      <w:r w:rsidRPr="006E7E4A">
        <w:rPr>
          <w:bCs/>
          <w:iCs/>
        </w:rPr>
        <w:t xml:space="preserve">, Иван </w:t>
      </w:r>
      <w:proofErr w:type="spellStart"/>
      <w:r w:rsidRPr="006E7E4A">
        <w:rPr>
          <w:bCs/>
          <w:iCs/>
        </w:rPr>
        <w:t>Марчевски</w:t>
      </w:r>
      <w:proofErr w:type="spellEnd"/>
      <w:r w:rsidRPr="006E7E4A">
        <w:rPr>
          <w:bCs/>
          <w:iCs/>
        </w:rPr>
        <w:t xml:space="preserve"> Проблеми и перспективи пред системите за финансово управление и контрол в българските общини, Алманах научни изследвания. СА Д. А. Ценов - Свищов, 2003, бр.1, с.335-377</w:t>
      </w:r>
    </w:p>
    <w:p w:rsidR="006E7E4A" w:rsidRPr="00EB6C46" w:rsidRDefault="006E7E4A">
      <w:pPr>
        <w:spacing w:after="120"/>
        <w:jc w:val="both"/>
        <w:rPr>
          <w:bCs/>
          <w:color w:val="212529"/>
        </w:rPr>
      </w:pPr>
    </w:p>
    <w:sectPr w:rsidR="006E7E4A" w:rsidRPr="00EB6C46" w:rsidSect="000E3A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3B" w:rsidRDefault="00127F3B" w:rsidP="00AF59AD">
      <w:r>
        <w:separator/>
      </w:r>
    </w:p>
  </w:endnote>
  <w:endnote w:type="continuationSeparator" w:id="0">
    <w:p w:rsidR="00127F3B" w:rsidRDefault="00127F3B" w:rsidP="00AF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C2" w:rsidRPr="00A403C2" w:rsidRDefault="00A403C2" w:rsidP="00A403C2">
    <w:pPr>
      <w:ind w:right="-144"/>
      <w:jc w:val="both"/>
      <w:rPr>
        <w:rFonts w:ascii="Calibri" w:eastAsia="Calibri" w:hAnsi="Calibri"/>
        <w:iCs/>
        <w:sz w:val="18"/>
        <w:szCs w:val="18"/>
      </w:rPr>
    </w:pP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Този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документ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е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създаден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съгласно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Административен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договор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№ 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>BG05SFOP001-2.015-0001-C01</w:t>
    </w:r>
    <w:r w:rsidRPr="00A403C2">
      <w:rPr>
        <w:rFonts w:ascii="Calibri" w:eastAsia="Calibri" w:hAnsi="Calibri"/>
        <w:i/>
        <w:iCs/>
        <w:sz w:val="18"/>
        <w:szCs w:val="18"/>
        <w:lang w:val="en-US"/>
      </w:rPr>
      <w:t>, п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роект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„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Повишаване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на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знанията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уменията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и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квалификацията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на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общинските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служители</w:t>
    </w:r>
    <w:r w:rsidRPr="00A403C2">
      <w:rPr>
        <w:rFonts w:ascii="Calibri" w:eastAsia="Calibri" w:hAnsi="Calibri"/>
        <w:i/>
        <w:iCs/>
        <w:sz w:val="18"/>
        <w:szCs w:val="18"/>
        <w:lang w:val="en-US"/>
      </w:rPr>
      <w:t>,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за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предоставяне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безвъзмездна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финансова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помощ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по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Оперативна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програма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„Добро управление“,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съфинансирана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от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Европейския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съюз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чрез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Европейския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социален фонд. </w:t>
    </w:r>
  </w:p>
  <w:p w:rsidR="00AF59AD" w:rsidRPr="00A403C2" w:rsidRDefault="00127F3B" w:rsidP="00A403C2">
    <w:pPr>
      <w:ind w:right="-144"/>
      <w:jc w:val="center"/>
      <w:rPr>
        <w:rFonts w:ascii="Calibri" w:eastAsia="Calibri" w:hAnsi="Calibri"/>
        <w:iCs/>
        <w:sz w:val="18"/>
        <w:szCs w:val="18"/>
      </w:rPr>
    </w:pPr>
    <w:hyperlink r:id="rId1" w:history="1">
      <w:r w:rsidR="00A403C2" w:rsidRPr="00A403C2">
        <w:rPr>
          <w:rFonts w:ascii="Calibri" w:eastAsia="Calibri" w:hAnsi="Calibri"/>
          <w:i/>
          <w:iCs/>
          <w:color w:val="0000FF"/>
          <w:sz w:val="18"/>
          <w:szCs w:val="18"/>
          <w:u w:val="single"/>
          <w:lang w:val="en-US"/>
        </w:rPr>
        <w:t>www.eufunds.bg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3B" w:rsidRDefault="00127F3B" w:rsidP="00AF59AD">
      <w:r>
        <w:separator/>
      </w:r>
    </w:p>
  </w:footnote>
  <w:footnote w:type="continuationSeparator" w:id="0">
    <w:p w:rsidR="00127F3B" w:rsidRDefault="00127F3B" w:rsidP="00AF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AD" w:rsidRPr="00A403C2" w:rsidRDefault="00A403C2" w:rsidP="00A403C2">
    <w:pPr>
      <w:tabs>
        <w:tab w:val="center" w:pos="4536"/>
        <w:tab w:val="right" w:pos="9072"/>
      </w:tabs>
      <w:spacing w:after="200" w:line="276" w:lineRule="auto"/>
      <w:ind w:left="-142"/>
      <w:rPr>
        <w:rFonts w:ascii="Calibri" w:eastAsia="Calibri" w:hAnsi="Calibri"/>
        <w:sz w:val="22"/>
        <w:szCs w:val="22"/>
      </w:rPr>
    </w:pP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2CB4D185" wp14:editId="2FD6A1E6">
          <wp:extent cx="1523067" cy="6958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  <w:sz w:val="22"/>
        <w:szCs w:val="22"/>
      </w:rPr>
      <w:t xml:space="preserve">                          </w:t>
    </w: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580DD270" wp14:editId="254F0362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  <w:sz w:val="22"/>
        <w:szCs w:val="22"/>
      </w:rPr>
      <w:t xml:space="preserve">                               </w:t>
    </w: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63418145" wp14:editId="63091685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0"/>
    <w:multiLevelType w:val="multilevel"/>
    <w:tmpl w:val="15BAEC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5554163"/>
    <w:multiLevelType w:val="multilevel"/>
    <w:tmpl w:val="15BAEC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8E"/>
    <w:rsid w:val="000339DB"/>
    <w:rsid w:val="00037A8F"/>
    <w:rsid w:val="000C3BB0"/>
    <w:rsid w:val="000E3A6B"/>
    <w:rsid w:val="00127F3B"/>
    <w:rsid w:val="00135E62"/>
    <w:rsid w:val="00235DC6"/>
    <w:rsid w:val="00242B8E"/>
    <w:rsid w:val="00254CB7"/>
    <w:rsid w:val="002C2B56"/>
    <w:rsid w:val="002E64B6"/>
    <w:rsid w:val="003F3D3C"/>
    <w:rsid w:val="004B3AD0"/>
    <w:rsid w:val="005A4E10"/>
    <w:rsid w:val="006A030E"/>
    <w:rsid w:val="006D7CF9"/>
    <w:rsid w:val="006E7E4A"/>
    <w:rsid w:val="00715285"/>
    <w:rsid w:val="00716CED"/>
    <w:rsid w:val="00796839"/>
    <w:rsid w:val="0083671A"/>
    <w:rsid w:val="009C7079"/>
    <w:rsid w:val="009F4A33"/>
    <w:rsid w:val="00A126C2"/>
    <w:rsid w:val="00A403C2"/>
    <w:rsid w:val="00A47CF0"/>
    <w:rsid w:val="00AB5C77"/>
    <w:rsid w:val="00AF59AD"/>
    <w:rsid w:val="00B52ABF"/>
    <w:rsid w:val="00BB396D"/>
    <w:rsid w:val="00C36745"/>
    <w:rsid w:val="00CF790A"/>
    <w:rsid w:val="00E52C04"/>
    <w:rsid w:val="00EB6C46"/>
    <w:rsid w:val="00F418C4"/>
    <w:rsid w:val="00F43844"/>
    <w:rsid w:val="00F86865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779BF9-62C2-422F-B6DA-89FEA47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030E"/>
    <w:pPr>
      <w:spacing w:line="315" w:lineRule="atLeast"/>
      <w:outlineLvl w:val="1"/>
    </w:pPr>
    <w:rPr>
      <w:b/>
      <w:bCs/>
      <w:color w:val="991A01"/>
      <w:sz w:val="35"/>
      <w:szCs w:val="35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B8E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42B8E"/>
    <w:rPr>
      <w:i w:val="0"/>
      <w:iCs w:val="0"/>
      <w:color w:val="006D21"/>
    </w:rPr>
  </w:style>
  <w:style w:type="paragraph" w:styleId="Header">
    <w:name w:val="header"/>
    <w:basedOn w:val="Normal"/>
    <w:link w:val="HeaderChar"/>
    <w:uiPriority w:val="99"/>
    <w:unhideWhenUsed/>
    <w:rsid w:val="00AF5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9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A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A030E"/>
    <w:rPr>
      <w:rFonts w:ascii="Times New Roman" w:eastAsia="Times New Roman" w:hAnsi="Times New Roman" w:cs="Times New Roman"/>
      <w:b/>
      <w:bCs/>
      <w:color w:val="991A01"/>
      <w:sz w:val="35"/>
      <w:szCs w:val="35"/>
      <w:lang w:eastAsia="bg-BG"/>
    </w:rPr>
  </w:style>
  <w:style w:type="character" w:customStyle="1" w:styleId="prdsubnames-store1">
    <w:name w:val="prdsubnames-store1"/>
    <w:basedOn w:val="DefaultParagraphFont"/>
    <w:rsid w:val="006A030E"/>
    <w:rPr>
      <w:color w:val="555555"/>
      <w:shd w:val="clear" w:color="auto" w:fill="auto"/>
    </w:rPr>
  </w:style>
  <w:style w:type="paragraph" w:styleId="ListBullet">
    <w:name w:val="List Bullet"/>
    <w:basedOn w:val="Normal"/>
    <w:uiPriority w:val="99"/>
    <w:rsid w:val="00135E62"/>
    <w:pPr>
      <w:numPr>
        <w:numId w:val="2"/>
      </w:numPr>
      <w:spacing w:after="240"/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egy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a.government.bg/bg/public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Club 2000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Windows User</cp:lastModifiedBy>
  <cp:revision>5</cp:revision>
  <dcterms:created xsi:type="dcterms:W3CDTF">2021-04-06T09:00:00Z</dcterms:created>
  <dcterms:modified xsi:type="dcterms:W3CDTF">2021-04-06T12:46:00Z</dcterms:modified>
</cp:coreProperties>
</file>