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08C17" w14:textId="3DF356DC" w:rsidR="006E7ABB" w:rsidRPr="00156973" w:rsidRDefault="006E7ABB" w:rsidP="006E7ABB">
      <w:pPr>
        <w:pBdr>
          <w:top w:val="single" w:sz="4" w:space="1" w:color="auto"/>
          <w:left w:val="single" w:sz="4" w:space="4" w:color="auto"/>
          <w:bottom w:val="single" w:sz="4" w:space="1" w:color="auto"/>
          <w:right w:val="single" w:sz="4" w:space="4" w:color="auto"/>
        </w:pBdr>
        <w:shd w:val="clear" w:color="auto" w:fill="EAF1DD"/>
        <w:spacing w:before="120" w:after="120" w:line="276" w:lineRule="auto"/>
        <w:jc w:val="center"/>
        <w:rPr>
          <w:rFonts w:ascii="Times New Roman" w:hAnsi="Times New Roman" w:cs="Times New Roman"/>
          <w:b/>
          <w:bCs/>
          <w:sz w:val="24"/>
          <w:szCs w:val="24"/>
        </w:rPr>
      </w:pPr>
      <w:r w:rsidRPr="00156973">
        <w:rPr>
          <w:rFonts w:ascii="Times New Roman" w:hAnsi="Times New Roman" w:cs="Times New Roman"/>
          <w:b/>
          <w:bCs/>
          <w:sz w:val="24"/>
          <w:szCs w:val="24"/>
        </w:rPr>
        <w:t xml:space="preserve">ТЕМА </w:t>
      </w:r>
      <w:r w:rsidR="005E279B" w:rsidRPr="00156973">
        <w:rPr>
          <w:rFonts w:ascii="Times New Roman" w:hAnsi="Times New Roman" w:cs="Times New Roman"/>
          <w:b/>
          <w:bCs/>
          <w:sz w:val="24"/>
          <w:szCs w:val="24"/>
        </w:rPr>
        <w:t>7</w:t>
      </w:r>
      <w:r w:rsidRPr="00156973">
        <w:rPr>
          <w:rFonts w:ascii="Times New Roman" w:hAnsi="Times New Roman" w:cs="Times New Roman"/>
          <w:b/>
          <w:bCs/>
          <w:sz w:val="24"/>
          <w:szCs w:val="24"/>
        </w:rPr>
        <w:t>:</w:t>
      </w:r>
    </w:p>
    <w:p w14:paraId="414B23D9" w14:textId="582B80FD" w:rsidR="006E7ABB" w:rsidRPr="00156973" w:rsidRDefault="005E279B" w:rsidP="006E7ABB">
      <w:pPr>
        <w:pBdr>
          <w:top w:val="single" w:sz="4" w:space="1" w:color="auto"/>
          <w:left w:val="single" w:sz="4" w:space="4" w:color="auto"/>
          <w:bottom w:val="single" w:sz="4" w:space="1" w:color="auto"/>
          <w:right w:val="single" w:sz="4" w:space="4" w:color="auto"/>
        </w:pBdr>
        <w:shd w:val="clear" w:color="auto" w:fill="EAF1DD"/>
        <w:spacing w:before="120" w:after="120" w:line="276" w:lineRule="auto"/>
        <w:jc w:val="center"/>
        <w:rPr>
          <w:rFonts w:ascii="Times New Roman" w:hAnsi="Times New Roman" w:cs="Times New Roman"/>
          <w:b/>
          <w:bCs/>
          <w:sz w:val="24"/>
          <w:szCs w:val="24"/>
        </w:rPr>
      </w:pPr>
      <w:r w:rsidRPr="00156973">
        <w:rPr>
          <w:rFonts w:ascii="Times New Roman" w:hAnsi="Times New Roman" w:cs="Times New Roman"/>
          <w:b/>
          <w:bCs/>
          <w:sz w:val="24"/>
          <w:szCs w:val="24"/>
        </w:rPr>
        <w:t>„ВЪЗМОЖНОСТИ ЗА ФИНАНСИРАНЕ НА РЕМОНТ И РЕКОНСТРУКЦИЯ НА СЪОРЪЖЕНИЯ И ИНФРАСТРУКТУРА НА МИНЕРАЛНА ВОДА.”</w:t>
      </w:r>
    </w:p>
    <w:p w14:paraId="674D1CFC" w14:textId="4A3D9EA8" w:rsidR="00A201EC" w:rsidRPr="00156973" w:rsidRDefault="00A201EC" w:rsidP="006E7ABB">
      <w:pPr>
        <w:spacing w:before="120" w:after="120" w:line="276" w:lineRule="auto"/>
        <w:rPr>
          <w:rFonts w:ascii="Times New Roman" w:hAnsi="Times New Roman" w:cs="Times New Roman"/>
          <w:sz w:val="48"/>
          <w:szCs w:val="48"/>
        </w:rPr>
      </w:pPr>
    </w:p>
    <w:sdt>
      <w:sdtPr>
        <w:rPr>
          <w:rFonts w:ascii="Times New Roman" w:eastAsiaTheme="minorHAnsi" w:hAnsi="Times New Roman" w:cs="Times New Roman"/>
          <w:b/>
          <w:bCs/>
          <w:color w:val="auto"/>
          <w:sz w:val="22"/>
          <w:szCs w:val="22"/>
          <w:lang w:val="bg-BG"/>
        </w:rPr>
        <w:id w:val="-714354823"/>
        <w:docPartObj>
          <w:docPartGallery w:val="Table of Contents"/>
          <w:docPartUnique/>
        </w:docPartObj>
      </w:sdtPr>
      <w:sdtEndPr>
        <w:rPr>
          <w:noProof/>
        </w:rPr>
      </w:sdtEndPr>
      <w:sdtContent>
        <w:p w14:paraId="2ECF26FF" w14:textId="17DDADBE" w:rsidR="009E345A" w:rsidRPr="00156973" w:rsidRDefault="00C01D7E" w:rsidP="003846CC">
          <w:pPr>
            <w:pStyle w:val="TOCHeading"/>
            <w:jc w:val="center"/>
            <w:rPr>
              <w:rFonts w:ascii="Times New Roman" w:hAnsi="Times New Roman" w:cs="Times New Roman"/>
              <w:b/>
              <w:bCs/>
              <w:color w:val="auto"/>
              <w:lang w:val="bg-BG"/>
            </w:rPr>
          </w:pPr>
          <w:r w:rsidRPr="00156973">
            <w:rPr>
              <w:rFonts w:ascii="Times New Roman" w:hAnsi="Times New Roman" w:cs="Times New Roman"/>
              <w:b/>
              <w:bCs/>
              <w:color w:val="auto"/>
              <w:lang w:val="bg-BG"/>
            </w:rPr>
            <w:t>СЪДЪРЖАНИЕ</w:t>
          </w:r>
        </w:p>
        <w:p w14:paraId="283F7ED9" w14:textId="108EE2D2" w:rsidR="00B83796" w:rsidRPr="00B83796" w:rsidRDefault="009E345A" w:rsidP="00B83796">
          <w:pPr>
            <w:pStyle w:val="TOC2"/>
            <w:pBdr>
              <w:between w:val="none" w:sz="0" w:space="0" w:color="auto"/>
              <w:bar w:val="none" w:sz="0" w:color="auto"/>
            </w:pBdr>
            <w:spacing w:before="120" w:after="120" w:line="276" w:lineRule="auto"/>
            <w:ind w:right="237"/>
            <w:rPr>
              <w:rFonts w:ascii="Times New Roman" w:eastAsiaTheme="minorEastAsia" w:hAnsi="Times New Roman" w:cs="Times New Roman"/>
              <w:noProof/>
              <w:lang w:val="en-GB" w:eastAsia="en-GB"/>
            </w:rPr>
          </w:pPr>
          <w:r w:rsidRPr="00B83796">
            <w:rPr>
              <w:rFonts w:ascii="Times New Roman" w:hAnsi="Times New Roman" w:cs="Times New Roman"/>
            </w:rPr>
            <w:fldChar w:fldCharType="begin"/>
          </w:r>
          <w:r w:rsidRPr="00B83796">
            <w:rPr>
              <w:rFonts w:ascii="Times New Roman" w:hAnsi="Times New Roman" w:cs="Times New Roman"/>
            </w:rPr>
            <w:instrText xml:space="preserve"> TOC \o "1-3" \h \z \u </w:instrText>
          </w:r>
          <w:r w:rsidRPr="00B83796">
            <w:rPr>
              <w:rFonts w:ascii="Times New Roman" w:hAnsi="Times New Roman" w:cs="Times New Roman"/>
            </w:rPr>
            <w:fldChar w:fldCharType="separate"/>
          </w:r>
          <w:hyperlink w:anchor="_Toc123825795" w:history="1">
            <w:r w:rsidR="00B83796" w:rsidRPr="00B83796">
              <w:rPr>
                <w:rStyle w:val="Hyperlink"/>
                <w:rFonts w:ascii="Times New Roman" w:hAnsi="Times New Roman" w:cs="Times New Roman"/>
                <w:noProof/>
              </w:rPr>
              <w:t>1.1. Национален доверителен екофонд</w:t>
            </w:r>
            <w:r w:rsidR="00B83796" w:rsidRPr="00B83796">
              <w:rPr>
                <w:rFonts w:ascii="Times New Roman" w:hAnsi="Times New Roman" w:cs="Times New Roman"/>
                <w:noProof/>
                <w:webHidden/>
              </w:rPr>
              <w:tab/>
            </w:r>
            <w:r w:rsidR="00B83796" w:rsidRPr="00B83796">
              <w:rPr>
                <w:rFonts w:ascii="Times New Roman" w:hAnsi="Times New Roman" w:cs="Times New Roman"/>
                <w:noProof/>
                <w:webHidden/>
              </w:rPr>
              <w:fldChar w:fldCharType="begin"/>
            </w:r>
            <w:r w:rsidR="00B83796" w:rsidRPr="00B83796">
              <w:rPr>
                <w:rFonts w:ascii="Times New Roman" w:hAnsi="Times New Roman" w:cs="Times New Roman"/>
                <w:noProof/>
                <w:webHidden/>
              </w:rPr>
              <w:instrText xml:space="preserve"> PAGEREF _Toc123825795 \h </w:instrText>
            </w:r>
            <w:r w:rsidR="00B83796" w:rsidRPr="00B83796">
              <w:rPr>
                <w:rFonts w:ascii="Times New Roman" w:hAnsi="Times New Roman" w:cs="Times New Roman"/>
                <w:noProof/>
                <w:webHidden/>
              </w:rPr>
            </w:r>
            <w:r w:rsidR="00B83796" w:rsidRPr="00B83796">
              <w:rPr>
                <w:rFonts w:ascii="Times New Roman" w:hAnsi="Times New Roman" w:cs="Times New Roman"/>
                <w:noProof/>
                <w:webHidden/>
              </w:rPr>
              <w:fldChar w:fldCharType="separate"/>
            </w:r>
            <w:r w:rsidR="008E6A29">
              <w:rPr>
                <w:rFonts w:ascii="Times New Roman" w:hAnsi="Times New Roman" w:cs="Times New Roman"/>
                <w:noProof/>
                <w:webHidden/>
              </w:rPr>
              <w:t>2</w:t>
            </w:r>
            <w:r w:rsidR="00B83796" w:rsidRPr="00B83796">
              <w:rPr>
                <w:rFonts w:ascii="Times New Roman" w:hAnsi="Times New Roman" w:cs="Times New Roman"/>
                <w:noProof/>
                <w:webHidden/>
              </w:rPr>
              <w:fldChar w:fldCharType="end"/>
            </w:r>
          </w:hyperlink>
        </w:p>
        <w:p w14:paraId="26F204FA" w14:textId="21DCF02F" w:rsidR="00B83796" w:rsidRPr="00B83796" w:rsidRDefault="00B83796" w:rsidP="00B83796">
          <w:pPr>
            <w:pStyle w:val="TOC2"/>
            <w:pBdr>
              <w:between w:val="none" w:sz="0" w:space="0" w:color="auto"/>
              <w:bar w:val="none" w:sz="0" w:color="auto"/>
            </w:pBdr>
            <w:spacing w:before="120" w:after="120" w:line="276" w:lineRule="auto"/>
            <w:ind w:right="237"/>
            <w:rPr>
              <w:rFonts w:ascii="Times New Roman" w:eastAsiaTheme="minorEastAsia" w:hAnsi="Times New Roman" w:cs="Times New Roman"/>
              <w:noProof/>
              <w:lang w:val="en-GB" w:eastAsia="en-GB"/>
            </w:rPr>
          </w:pPr>
          <w:hyperlink w:anchor="_Toc123825796" w:history="1">
            <w:r w:rsidRPr="00B83796">
              <w:rPr>
                <w:rStyle w:val="Hyperlink"/>
                <w:rFonts w:ascii="Times New Roman" w:hAnsi="Times New Roman" w:cs="Times New Roman"/>
                <w:noProof/>
              </w:rPr>
              <w:t>1.2. План за възстановяване и устойчивост</w:t>
            </w:r>
            <w:r w:rsidRPr="00B83796">
              <w:rPr>
                <w:rFonts w:ascii="Times New Roman" w:hAnsi="Times New Roman" w:cs="Times New Roman"/>
                <w:noProof/>
                <w:webHidden/>
              </w:rPr>
              <w:tab/>
            </w:r>
            <w:r w:rsidRPr="00B83796">
              <w:rPr>
                <w:rFonts w:ascii="Times New Roman" w:hAnsi="Times New Roman" w:cs="Times New Roman"/>
                <w:noProof/>
                <w:webHidden/>
              </w:rPr>
              <w:fldChar w:fldCharType="begin"/>
            </w:r>
            <w:r w:rsidRPr="00B83796">
              <w:rPr>
                <w:rFonts w:ascii="Times New Roman" w:hAnsi="Times New Roman" w:cs="Times New Roman"/>
                <w:noProof/>
                <w:webHidden/>
              </w:rPr>
              <w:instrText xml:space="preserve"> PAGEREF _Toc123825796 \h </w:instrText>
            </w:r>
            <w:r w:rsidRPr="00B83796">
              <w:rPr>
                <w:rFonts w:ascii="Times New Roman" w:hAnsi="Times New Roman" w:cs="Times New Roman"/>
                <w:noProof/>
                <w:webHidden/>
              </w:rPr>
            </w:r>
            <w:r w:rsidRPr="00B83796">
              <w:rPr>
                <w:rFonts w:ascii="Times New Roman" w:hAnsi="Times New Roman" w:cs="Times New Roman"/>
                <w:noProof/>
                <w:webHidden/>
              </w:rPr>
              <w:fldChar w:fldCharType="separate"/>
            </w:r>
            <w:r w:rsidR="008E6A29">
              <w:rPr>
                <w:rFonts w:ascii="Times New Roman" w:hAnsi="Times New Roman" w:cs="Times New Roman"/>
                <w:noProof/>
                <w:webHidden/>
              </w:rPr>
              <w:t>4</w:t>
            </w:r>
            <w:r w:rsidRPr="00B83796">
              <w:rPr>
                <w:rFonts w:ascii="Times New Roman" w:hAnsi="Times New Roman" w:cs="Times New Roman"/>
                <w:noProof/>
                <w:webHidden/>
              </w:rPr>
              <w:fldChar w:fldCharType="end"/>
            </w:r>
          </w:hyperlink>
        </w:p>
        <w:p w14:paraId="2DB5C2DD" w14:textId="264984F2" w:rsidR="00B83796" w:rsidRPr="00B83796" w:rsidRDefault="00B83796" w:rsidP="00B83796">
          <w:pPr>
            <w:pStyle w:val="TOC2"/>
            <w:pBdr>
              <w:between w:val="none" w:sz="0" w:space="0" w:color="auto"/>
              <w:bar w:val="none" w:sz="0" w:color="auto"/>
            </w:pBdr>
            <w:spacing w:before="120" w:after="120" w:line="276" w:lineRule="auto"/>
            <w:ind w:right="237"/>
            <w:rPr>
              <w:rFonts w:ascii="Times New Roman" w:eastAsiaTheme="minorEastAsia" w:hAnsi="Times New Roman" w:cs="Times New Roman"/>
              <w:noProof/>
              <w:lang w:val="en-GB" w:eastAsia="en-GB"/>
            </w:rPr>
          </w:pPr>
          <w:hyperlink w:anchor="_Toc123825797" w:history="1">
            <w:r w:rsidRPr="00B83796">
              <w:rPr>
                <w:rStyle w:val="Hyperlink"/>
                <w:rFonts w:ascii="Times New Roman" w:hAnsi="Times New Roman" w:cs="Times New Roman"/>
                <w:noProof/>
              </w:rPr>
              <w:t>1.</w:t>
            </w:r>
            <w:r w:rsidRPr="00B83796">
              <w:rPr>
                <w:rStyle w:val="Hyperlink"/>
                <w:rFonts w:ascii="Times New Roman" w:hAnsi="Times New Roman" w:cs="Times New Roman"/>
                <w:noProof/>
                <w:lang w:val="en-GB"/>
              </w:rPr>
              <w:t>3</w:t>
            </w:r>
            <w:r w:rsidRPr="00B83796">
              <w:rPr>
                <w:rStyle w:val="Hyperlink"/>
                <w:rFonts w:ascii="Times New Roman" w:hAnsi="Times New Roman" w:cs="Times New Roman"/>
                <w:noProof/>
              </w:rPr>
              <w:t>. Програма „Околна среда“ 2021-2027 г.</w:t>
            </w:r>
            <w:r w:rsidRPr="00B83796">
              <w:rPr>
                <w:rFonts w:ascii="Times New Roman" w:hAnsi="Times New Roman" w:cs="Times New Roman"/>
                <w:noProof/>
                <w:webHidden/>
              </w:rPr>
              <w:tab/>
            </w:r>
            <w:r w:rsidRPr="00B83796">
              <w:rPr>
                <w:rFonts w:ascii="Times New Roman" w:hAnsi="Times New Roman" w:cs="Times New Roman"/>
                <w:noProof/>
                <w:webHidden/>
              </w:rPr>
              <w:fldChar w:fldCharType="begin"/>
            </w:r>
            <w:r w:rsidRPr="00B83796">
              <w:rPr>
                <w:rFonts w:ascii="Times New Roman" w:hAnsi="Times New Roman" w:cs="Times New Roman"/>
                <w:noProof/>
                <w:webHidden/>
              </w:rPr>
              <w:instrText xml:space="preserve"> PAGEREF _Toc123825797 \h </w:instrText>
            </w:r>
            <w:r w:rsidRPr="00B83796">
              <w:rPr>
                <w:rFonts w:ascii="Times New Roman" w:hAnsi="Times New Roman" w:cs="Times New Roman"/>
                <w:noProof/>
                <w:webHidden/>
              </w:rPr>
            </w:r>
            <w:r w:rsidRPr="00B83796">
              <w:rPr>
                <w:rFonts w:ascii="Times New Roman" w:hAnsi="Times New Roman" w:cs="Times New Roman"/>
                <w:noProof/>
                <w:webHidden/>
              </w:rPr>
              <w:fldChar w:fldCharType="separate"/>
            </w:r>
            <w:r w:rsidR="008E6A29">
              <w:rPr>
                <w:rFonts w:ascii="Times New Roman" w:hAnsi="Times New Roman" w:cs="Times New Roman"/>
                <w:noProof/>
                <w:webHidden/>
              </w:rPr>
              <w:t>9</w:t>
            </w:r>
            <w:r w:rsidRPr="00B83796">
              <w:rPr>
                <w:rFonts w:ascii="Times New Roman" w:hAnsi="Times New Roman" w:cs="Times New Roman"/>
                <w:noProof/>
                <w:webHidden/>
              </w:rPr>
              <w:fldChar w:fldCharType="end"/>
            </w:r>
          </w:hyperlink>
        </w:p>
        <w:p w14:paraId="31015C2C" w14:textId="137424BA" w:rsidR="00B83796" w:rsidRPr="00B83796" w:rsidRDefault="00B83796" w:rsidP="00B83796">
          <w:pPr>
            <w:pStyle w:val="TOC2"/>
            <w:pBdr>
              <w:between w:val="none" w:sz="0" w:space="0" w:color="auto"/>
              <w:bar w:val="none" w:sz="0" w:color="auto"/>
            </w:pBdr>
            <w:spacing w:before="120" w:after="120" w:line="276" w:lineRule="auto"/>
            <w:ind w:right="237"/>
            <w:rPr>
              <w:rFonts w:ascii="Times New Roman" w:eastAsiaTheme="minorEastAsia" w:hAnsi="Times New Roman" w:cs="Times New Roman"/>
              <w:noProof/>
              <w:lang w:val="en-GB" w:eastAsia="en-GB"/>
            </w:rPr>
          </w:pPr>
          <w:hyperlink w:anchor="_Toc123825798" w:history="1">
            <w:r w:rsidRPr="00B83796">
              <w:rPr>
                <w:rStyle w:val="Hyperlink"/>
                <w:rFonts w:ascii="Times New Roman" w:hAnsi="Times New Roman" w:cs="Times New Roman"/>
                <w:noProof/>
              </w:rPr>
              <w:t>1.</w:t>
            </w:r>
            <w:r w:rsidRPr="00B83796">
              <w:rPr>
                <w:rStyle w:val="Hyperlink"/>
                <w:rFonts w:ascii="Times New Roman" w:hAnsi="Times New Roman" w:cs="Times New Roman"/>
                <w:noProof/>
                <w:lang w:val="en-GB"/>
              </w:rPr>
              <w:t>4</w:t>
            </w:r>
            <w:r w:rsidRPr="00B83796">
              <w:rPr>
                <w:rStyle w:val="Hyperlink"/>
                <w:rFonts w:ascii="Times New Roman" w:hAnsi="Times New Roman" w:cs="Times New Roman"/>
                <w:noProof/>
              </w:rPr>
              <w:t>. Норвежкият финансов механизъм и Финансовия механизъм на Европейското икономическо пространство</w:t>
            </w:r>
            <w:r w:rsidRPr="00B83796">
              <w:rPr>
                <w:rFonts w:ascii="Times New Roman" w:hAnsi="Times New Roman" w:cs="Times New Roman"/>
                <w:noProof/>
                <w:webHidden/>
              </w:rPr>
              <w:tab/>
            </w:r>
            <w:r w:rsidRPr="00B83796">
              <w:rPr>
                <w:rFonts w:ascii="Times New Roman" w:hAnsi="Times New Roman" w:cs="Times New Roman"/>
                <w:noProof/>
                <w:webHidden/>
              </w:rPr>
              <w:fldChar w:fldCharType="begin"/>
            </w:r>
            <w:r w:rsidRPr="00B83796">
              <w:rPr>
                <w:rFonts w:ascii="Times New Roman" w:hAnsi="Times New Roman" w:cs="Times New Roman"/>
                <w:noProof/>
                <w:webHidden/>
              </w:rPr>
              <w:instrText xml:space="preserve"> PAGEREF _Toc123825798 \h </w:instrText>
            </w:r>
            <w:r w:rsidRPr="00B83796">
              <w:rPr>
                <w:rFonts w:ascii="Times New Roman" w:hAnsi="Times New Roman" w:cs="Times New Roman"/>
                <w:noProof/>
                <w:webHidden/>
              </w:rPr>
            </w:r>
            <w:r w:rsidRPr="00B83796">
              <w:rPr>
                <w:rFonts w:ascii="Times New Roman" w:hAnsi="Times New Roman" w:cs="Times New Roman"/>
                <w:noProof/>
                <w:webHidden/>
              </w:rPr>
              <w:fldChar w:fldCharType="separate"/>
            </w:r>
            <w:r w:rsidR="008E6A29">
              <w:rPr>
                <w:rFonts w:ascii="Times New Roman" w:hAnsi="Times New Roman" w:cs="Times New Roman"/>
                <w:noProof/>
                <w:webHidden/>
              </w:rPr>
              <w:t>10</w:t>
            </w:r>
            <w:r w:rsidRPr="00B83796">
              <w:rPr>
                <w:rFonts w:ascii="Times New Roman" w:hAnsi="Times New Roman" w:cs="Times New Roman"/>
                <w:noProof/>
                <w:webHidden/>
              </w:rPr>
              <w:fldChar w:fldCharType="end"/>
            </w:r>
          </w:hyperlink>
        </w:p>
        <w:p w14:paraId="5C17D376" w14:textId="1C39CD31" w:rsidR="009E345A" w:rsidRPr="00156973" w:rsidRDefault="009E345A" w:rsidP="00B83796">
          <w:pPr>
            <w:tabs>
              <w:tab w:val="right" w:leader="dot" w:pos="8800"/>
            </w:tabs>
            <w:spacing w:before="120" w:after="120" w:line="276" w:lineRule="auto"/>
            <w:ind w:right="237"/>
            <w:jc w:val="both"/>
            <w:rPr>
              <w:rFonts w:ascii="Times New Roman" w:hAnsi="Times New Roman" w:cs="Times New Roman"/>
            </w:rPr>
          </w:pPr>
          <w:r w:rsidRPr="00B83796">
            <w:rPr>
              <w:rFonts w:ascii="Times New Roman" w:hAnsi="Times New Roman" w:cs="Times New Roman"/>
              <w:b/>
              <w:bCs/>
              <w:noProof/>
            </w:rPr>
            <w:fldChar w:fldCharType="end"/>
          </w:r>
        </w:p>
      </w:sdtContent>
    </w:sdt>
    <w:p w14:paraId="7E745082" w14:textId="4F4187E8" w:rsidR="00366156" w:rsidRPr="00156973" w:rsidRDefault="00366156" w:rsidP="00366156">
      <w:pPr>
        <w:spacing w:after="0" w:line="360" w:lineRule="auto"/>
        <w:jc w:val="center"/>
        <w:rPr>
          <w:rFonts w:ascii="Times New Roman" w:hAnsi="Times New Roman" w:cs="Times New Roman"/>
          <w:sz w:val="24"/>
          <w:szCs w:val="24"/>
        </w:rPr>
      </w:pPr>
    </w:p>
    <w:p w14:paraId="37DA1292" w14:textId="331F560A" w:rsidR="00366156" w:rsidRPr="00156973" w:rsidRDefault="00366156">
      <w:pPr>
        <w:rPr>
          <w:rFonts w:ascii="Times New Roman" w:hAnsi="Times New Roman" w:cs="Times New Roman"/>
        </w:rPr>
      </w:pPr>
      <w:bookmarkStart w:id="0" w:name="_Toc71462637"/>
      <w:r w:rsidRPr="00156973">
        <w:rPr>
          <w:rFonts w:ascii="Times New Roman" w:hAnsi="Times New Roman" w:cs="Times New Roman"/>
        </w:rPr>
        <w:br w:type="page"/>
      </w:r>
    </w:p>
    <w:p w14:paraId="504C0CD3" w14:textId="37AF2DCC" w:rsidR="00366156" w:rsidRPr="00156973" w:rsidRDefault="00594D6E" w:rsidP="00ED2BE3">
      <w:pPr>
        <w:pStyle w:val="Heading2"/>
      </w:pPr>
      <w:bookmarkStart w:id="1" w:name="_Toc122352239"/>
      <w:bookmarkStart w:id="2" w:name="_Toc122352778"/>
      <w:bookmarkStart w:id="3" w:name="_Toc123825795"/>
      <w:r w:rsidRPr="00156973">
        <w:lastRenderedPageBreak/>
        <w:t>1.</w:t>
      </w:r>
      <w:r w:rsidR="00366156" w:rsidRPr="00156973">
        <w:t xml:space="preserve">1. </w:t>
      </w:r>
      <w:bookmarkEnd w:id="0"/>
      <w:bookmarkEnd w:id="1"/>
      <w:bookmarkEnd w:id="2"/>
      <w:r w:rsidR="005E279B" w:rsidRPr="00156973">
        <w:t xml:space="preserve">Национален доверителен </w:t>
      </w:r>
      <w:proofErr w:type="spellStart"/>
      <w:r w:rsidR="005E279B" w:rsidRPr="00156973">
        <w:t>екофонд</w:t>
      </w:r>
      <w:bookmarkEnd w:id="3"/>
      <w:proofErr w:type="spellEnd"/>
    </w:p>
    <w:p w14:paraId="1B7BA9AD" w14:textId="77777777" w:rsidR="005E279B" w:rsidRPr="00156973" w:rsidRDefault="005E279B" w:rsidP="005E279B">
      <w:pPr>
        <w:spacing w:before="120" w:after="120" w:line="276" w:lineRule="auto"/>
        <w:ind w:firstLine="425"/>
        <w:jc w:val="both"/>
        <w:rPr>
          <w:rFonts w:ascii="Times New Roman" w:hAnsi="Times New Roman" w:cs="Times New Roman"/>
          <w:sz w:val="24"/>
          <w:szCs w:val="24"/>
        </w:rPr>
      </w:pPr>
      <w:r w:rsidRPr="00156973">
        <w:rPr>
          <w:rFonts w:ascii="Times New Roman" w:hAnsi="Times New Roman" w:cs="Times New Roman"/>
          <w:sz w:val="24"/>
          <w:szCs w:val="24"/>
        </w:rPr>
        <w:t xml:space="preserve">Националният доверителен </w:t>
      </w:r>
      <w:proofErr w:type="spellStart"/>
      <w:r w:rsidRPr="00156973">
        <w:rPr>
          <w:rFonts w:ascii="Times New Roman" w:hAnsi="Times New Roman" w:cs="Times New Roman"/>
          <w:sz w:val="24"/>
          <w:szCs w:val="24"/>
        </w:rPr>
        <w:t>екофонд</w:t>
      </w:r>
      <w:proofErr w:type="spellEnd"/>
      <w:r w:rsidRPr="00156973">
        <w:rPr>
          <w:rFonts w:ascii="Times New Roman" w:hAnsi="Times New Roman" w:cs="Times New Roman"/>
          <w:sz w:val="24"/>
          <w:szCs w:val="24"/>
        </w:rPr>
        <w:t xml:space="preserve"> (НДЕФ) е основан през октомври 1995 година. Фондът управлява средства предоставени целево от държавния бюджет, включително по силата на суап сделки за замяна на “Дълг срещу околна среда” и “Дълг срещу Природа”. Средства също се набират от международна търговия с предписани емисионни единици (ПЕЕ) за парникови газове, от продажба на квоти за емисии на парникови газове за авиационни дейности, както и на средства, предоставени на база на други видове споразумения с международни, чуждестранни или български източници на финансиране, предназначени за опазване на околната среда в Република България.</w:t>
      </w:r>
    </w:p>
    <w:p w14:paraId="722902A0" w14:textId="77777777" w:rsidR="005E279B" w:rsidRPr="00156973" w:rsidRDefault="005E279B" w:rsidP="005E279B">
      <w:pPr>
        <w:spacing w:before="120" w:after="120" w:line="276" w:lineRule="auto"/>
        <w:ind w:firstLine="425"/>
        <w:jc w:val="both"/>
        <w:rPr>
          <w:rFonts w:ascii="Times New Roman" w:hAnsi="Times New Roman" w:cs="Times New Roman"/>
          <w:sz w:val="24"/>
          <w:szCs w:val="24"/>
        </w:rPr>
      </w:pPr>
      <w:r w:rsidRPr="00156973">
        <w:rPr>
          <w:rFonts w:ascii="Times New Roman" w:hAnsi="Times New Roman" w:cs="Times New Roman"/>
          <w:sz w:val="24"/>
          <w:szCs w:val="24"/>
        </w:rPr>
        <w:t>НДЕФ предоставя периодично възможности за финансиране, които се обявяват с покана до общините по Инвестиционна програма „Минерални води“.</w:t>
      </w:r>
    </w:p>
    <w:p w14:paraId="41273435" w14:textId="4995A56A" w:rsidR="00594D6E" w:rsidRPr="00156973" w:rsidRDefault="005E279B" w:rsidP="005E279B">
      <w:pPr>
        <w:spacing w:before="120" w:after="120" w:line="276" w:lineRule="auto"/>
        <w:ind w:firstLine="425"/>
        <w:jc w:val="both"/>
        <w:rPr>
          <w:rFonts w:ascii="Times New Roman" w:hAnsi="Times New Roman" w:cs="Times New Roman"/>
          <w:sz w:val="24"/>
          <w:szCs w:val="24"/>
        </w:rPr>
      </w:pPr>
      <w:r w:rsidRPr="00156973">
        <w:rPr>
          <w:rFonts w:ascii="Times New Roman" w:hAnsi="Times New Roman" w:cs="Times New Roman"/>
          <w:sz w:val="24"/>
          <w:szCs w:val="24"/>
        </w:rPr>
        <w:t>В края на 2022 г. беше обявена подобна процедура (с краен срок за подаване на проекти – до 06.02.2023 г.). Тя е втора по ред след 2017 г., когато с решение на УС на НДЕФ от 24.01.2017 г. са одобрени за финансиране по пилотната схема на Инвестиционна програма Минерални води (ИПМВ) проектите на 9 общини:</w:t>
      </w:r>
    </w:p>
    <w:p w14:paraId="2D51F3FB" w14:textId="70C8CF67" w:rsidR="005E279B" w:rsidRPr="00156973" w:rsidRDefault="005E279B" w:rsidP="005E279B">
      <w:pPr>
        <w:pStyle w:val="ListParagraph"/>
        <w:numPr>
          <w:ilvl w:val="0"/>
          <w:numId w:val="2"/>
        </w:numPr>
        <w:spacing w:before="120" w:after="120" w:line="276" w:lineRule="auto"/>
        <w:contextualSpacing w:val="0"/>
        <w:jc w:val="both"/>
        <w:rPr>
          <w:rFonts w:ascii="Times New Roman" w:hAnsi="Times New Roman" w:cs="Times New Roman"/>
          <w:sz w:val="24"/>
          <w:szCs w:val="24"/>
        </w:rPr>
      </w:pPr>
      <w:r w:rsidRPr="00156973">
        <w:rPr>
          <w:rFonts w:ascii="Times New Roman" w:hAnsi="Times New Roman" w:cs="Times New Roman"/>
          <w:sz w:val="24"/>
          <w:szCs w:val="24"/>
        </w:rPr>
        <w:t>Община Разлог</w:t>
      </w:r>
      <w:r w:rsidRPr="00156973">
        <w:rPr>
          <w:rFonts w:ascii="Times New Roman" w:hAnsi="Times New Roman" w:cs="Times New Roman"/>
          <w:sz w:val="24"/>
          <w:szCs w:val="24"/>
        </w:rPr>
        <w:t>;</w:t>
      </w:r>
    </w:p>
    <w:p w14:paraId="3C09AA64" w14:textId="62C99B80" w:rsidR="005E279B" w:rsidRPr="00156973" w:rsidRDefault="005E279B" w:rsidP="005E279B">
      <w:pPr>
        <w:pStyle w:val="ListParagraph"/>
        <w:numPr>
          <w:ilvl w:val="0"/>
          <w:numId w:val="2"/>
        </w:numPr>
        <w:spacing w:before="120" w:after="120" w:line="276" w:lineRule="auto"/>
        <w:contextualSpacing w:val="0"/>
        <w:jc w:val="both"/>
        <w:rPr>
          <w:rFonts w:ascii="Times New Roman" w:hAnsi="Times New Roman" w:cs="Times New Roman"/>
          <w:sz w:val="24"/>
          <w:szCs w:val="24"/>
        </w:rPr>
      </w:pPr>
      <w:r w:rsidRPr="00156973">
        <w:rPr>
          <w:rFonts w:ascii="Times New Roman" w:hAnsi="Times New Roman" w:cs="Times New Roman"/>
          <w:sz w:val="24"/>
          <w:szCs w:val="24"/>
        </w:rPr>
        <w:t>Община Полски Тръмбеш</w:t>
      </w:r>
      <w:r w:rsidRPr="00156973">
        <w:rPr>
          <w:rFonts w:ascii="Times New Roman" w:hAnsi="Times New Roman" w:cs="Times New Roman"/>
          <w:sz w:val="24"/>
          <w:szCs w:val="24"/>
        </w:rPr>
        <w:t>;</w:t>
      </w:r>
    </w:p>
    <w:p w14:paraId="59DA9FBC" w14:textId="6B5F6BB8" w:rsidR="005E279B" w:rsidRPr="00156973" w:rsidRDefault="005E279B" w:rsidP="005E279B">
      <w:pPr>
        <w:pStyle w:val="ListParagraph"/>
        <w:numPr>
          <w:ilvl w:val="0"/>
          <w:numId w:val="2"/>
        </w:numPr>
        <w:spacing w:before="120" w:after="120" w:line="276" w:lineRule="auto"/>
        <w:contextualSpacing w:val="0"/>
        <w:jc w:val="both"/>
        <w:rPr>
          <w:rFonts w:ascii="Times New Roman" w:hAnsi="Times New Roman" w:cs="Times New Roman"/>
          <w:sz w:val="24"/>
          <w:szCs w:val="24"/>
        </w:rPr>
      </w:pPr>
      <w:r w:rsidRPr="00156973">
        <w:rPr>
          <w:rFonts w:ascii="Times New Roman" w:hAnsi="Times New Roman" w:cs="Times New Roman"/>
          <w:sz w:val="24"/>
          <w:szCs w:val="24"/>
        </w:rPr>
        <w:t>Община Велинград</w:t>
      </w:r>
      <w:r w:rsidRPr="00156973">
        <w:rPr>
          <w:rFonts w:ascii="Times New Roman" w:hAnsi="Times New Roman" w:cs="Times New Roman"/>
          <w:sz w:val="24"/>
          <w:szCs w:val="24"/>
        </w:rPr>
        <w:t>;</w:t>
      </w:r>
    </w:p>
    <w:p w14:paraId="332ECE3B" w14:textId="46B4531A" w:rsidR="005E279B" w:rsidRPr="00156973" w:rsidRDefault="005E279B" w:rsidP="005E279B">
      <w:pPr>
        <w:pStyle w:val="ListParagraph"/>
        <w:numPr>
          <w:ilvl w:val="0"/>
          <w:numId w:val="2"/>
        </w:numPr>
        <w:spacing w:before="120" w:after="120" w:line="276" w:lineRule="auto"/>
        <w:contextualSpacing w:val="0"/>
        <w:jc w:val="both"/>
        <w:rPr>
          <w:rFonts w:ascii="Times New Roman" w:hAnsi="Times New Roman" w:cs="Times New Roman"/>
          <w:sz w:val="24"/>
          <w:szCs w:val="24"/>
        </w:rPr>
      </w:pPr>
      <w:r w:rsidRPr="00156973">
        <w:rPr>
          <w:rFonts w:ascii="Times New Roman" w:hAnsi="Times New Roman" w:cs="Times New Roman"/>
          <w:sz w:val="24"/>
          <w:szCs w:val="24"/>
        </w:rPr>
        <w:t>Община Бургас</w:t>
      </w:r>
      <w:r w:rsidRPr="00156973">
        <w:rPr>
          <w:rFonts w:ascii="Times New Roman" w:hAnsi="Times New Roman" w:cs="Times New Roman"/>
          <w:sz w:val="24"/>
          <w:szCs w:val="24"/>
        </w:rPr>
        <w:t>;</w:t>
      </w:r>
    </w:p>
    <w:p w14:paraId="25AA8C98" w14:textId="0EE4DD99" w:rsidR="005E279B" w:rsidRPr="00156973" w:rsidRDefault="005E279B" w:rsidP="005E279B">
      <w:pPr>
        <w:pStyle w:val="ListParagraph"/>
        <w:numPr>
          <w:ilvl w:val="0"/>
          <w:numId w:val="2"/>
        </w:numPr>
        <w:spacing w:before="120" w:after="120" w:line="276" w:lineRule="auto"/>
        <w:contextualSpacing w:val="0"/>
        <w:jc w:val="both"/>
        <w:rPr>
          <w:rFonts w:ascii="Times New Roman" w:hAnsi="Times New Roman" w:cs="Times New Roman"/>
          <w:sz w:val="24"/>
          <w:szCs w:val="24"/>
        </w:rPr>
      </w:pPr>
      <w:r w:rsidRPr="00156973">
        <w:rPr>
          <w:rFonts w:ascii="Times New Roman" w:hAnsi="Times New Roman" w:cs="Times New Roman"/>
          <w:sz w:val="24"/>
          <w:szCs w:val="24"/>
        </w:rPr>
        <w:t>Община Сапарева баня</w:t>
      </w:r>
      <w:r w:rsidRPr="00156973">
        <w:rPr>
          <w:rFonts w:ascii="Times New Roman" w:hAnsi="Times New Roman" w:cs="Times New Roman"/>
          <w:sz w:val="24"/>
          <w:szCs w:val="24"/>
        </w:rPr>
        <w:t>;</w:t>
      </w:r>
    </w:p>
    <w:p w14:paraId="1AE070EC" w14:textId="7D15DF31" w:rsidR="005E279B" w:rsidRPr="00156973" w:rsidRDefault="005E279B" w:rsidP="005E279B">
      <w:pPr>
        <w:pStyle w:val="ListParagraph"/>
        <w:numPr>
          <w:ilvl w:val="0"/>
          <w:numId w:val="2"/>
        </w:numPr>
        <w:spacing w:before="120" w:after="120" w:line="276" w:lineRule="auto"/>
        <w:contextualSpacing w:val="0"/>
        <w:jc w:val="both"/>
        <w:rPr>
          <w:rFonts w:ascii="Times New Roman" w:hAnsi="Times New Roman" w:cs="Times New Roman"/>
          <w:sz w:val="24"/>
          <w:szCs w:val="24"/>
        </w:rPr>
      </w:pPr>
      <w:r w:rsidRPr="00156973">
        <w:rPr>
          <w:rFonts w:ascii="Times New Roman" w:hAnsi="Times New Roman" w:cs="Times New Roman"/>
          <w:sz w:val="24"/>
          <w:szCs w:val="24"/>
        </w:rPr>
        <w:t>Община Септември</w:t>
      </w:r>
      <w:r w:rsidRPr="00156973">
        <w:rPr>
          <w:rFonts w:ascii="Times New Roman" w:hAnsi="Times New Roman" w:cs="Times New Roman"/>
          <w:sz w:val="24"/>
          <w:szCs w:val="24"/>
        </w:rPr>
        <w:t>;</w:t>
      </w:r>
    </w:p>
    <w:p w14:paraId="2F58CF13" w14:textId="4B2045DF" w:rsidR="005E279B" w:rsidRPr="00156973" w:rsidRDefault="005E279B" w:rsidP="005E279B">
      <w:pPr>
        <w:pStyle w:val="ListParagraph"/>
        <w:numPr>
          <w:ilvl w:val="0"/>
          <w:numId w:val="2"/>
        </w:numPr>
        <w:spacing w:before="120" w:after="120" w:line="276" w:lineRule="auto"/>
        <w:contextualSpacing w:val="0"/>
        <w:jc w:val="both"/>
        <w:rPr>
          <w:rFonts w:ascii="Times New Roman" w:hAnsi="Times New Roman" w:cs="Times New Roman"/>
          <w:sz w:val="24"/>
          <w:szCs w:val="24"/>
        </w:rPr>
      </w:pPr>
      <w:r w:rsidRPr="00156973">
        <w:rPr>
          <w:rFonts w:ascii="Times New Roman" w:hAnsi="Times New Roman" w:cs="Times New Roman"/>
          <w:sz w:val="24"/>
          <w:szCs w:val="24"/>
        </w:rPr>
        <w:t>Община Панагюрище</w:t>
      </w:r>
      <w:r w:rsidRPr="00156973">
        <w:rPr>
          <w:rFonts w:ascii="Times New Roman" w:hAnsi="Times New Roman" w:cs="Times New Roman"/>
          <w:sz w:val="24"/>
          <w:szCs w:val="24"/>
        </w:rPr>
        <w:t>;</w:t>
      </w:r>
    </w:p>
    <w:p w14:paraId="7D0CCE5C" w14:textId="30256B95" w:rsidR="005E279B" w:rsidRPr="00156973" w:rsidRDefault="005E279B" w:rsidP="005E279B">
      <w:pPr>
        <w:pStyle w:val="ListParagraph"/>
        <w:numPr>
          <w:ilvl w:val="0"/>
          <w:numId w:val="2"/>
        </w:numPr>
        <w:spacing w:before="120" w:after="120" w:line="276" w:lineRule="auto"/>
        <w:contextualSpacing w:val="0"/>
        <w:jc w:val="both"/>
        <w:rPr>
          <w:rFonts w:ascii="Times New Roman" w:hAnsi="Times New Roman" w:cs="Times New Roman"/>
          <w:sz w:val="24"/>
          <w:szCs w:val="24"/>
        </w:rPr>
      </w:pPr>
      <w:r w:rsidRPr="00156973">
        <w:rPr>
          <w:rFonts w:ascii="Times New Roman" w:hAnsi="Times New Roman" w:cs="Times New Roman"/>
          <w:sz w:val="24"/>
          <w:szCs w:val="24"/>
        </w:rPr>
        <w:t>Община Минерални бани</w:t>
      </w:r>
      <w:r w:rsidRPr="00156973">
        <w:rPr>
          <w:rFonts w:ascii="Times New Roman" w:hAnsi="Times New Roman" w:cs="Times New Roman"/>
          <w:sz w:val="24"/>
          <w:szCs w:val="24"/>
        </w:rPr>
        <w:t>;</w:t>
      </w:r>
    </w:p>
    <w:p w14:paraId="6F55A40B" w14:textId="269CF85D" w:rsidR="005E279B" w:rsidRPr="00156973" w:rsidRDefault="005E279B" w:rsidP="005E279B">
      <w:pPr>
        <w:pStyle w:val="ListParagraph"/>
        <w:numPr>
          <w:ilvl w:val="0"/>
          <w:numId w:val="2"/>
        </w:numPr>
        <w:spacing w:before="120" w:after="120" w:line="276" w:lineRule="auto"/>
        <w:contextualSpacing w:val="0"/>
        <w:jc w:val="both"/>
        <w:rPr>
          <w:rFonts w:ascii="Times New Roman" w:hAnsi="Times New Roman" w:cs="Times New Roman"/>
          <w:sz w:val="24"/>
          <w:szCs w:val="24"/>
        </w:rPr>
      </w:pPr>
      <w:r w:rsidRPr="00156973">
        <w:rPr>
          <w:rFonts w:ascii="Times New Roman" w:hAnsi="Times New Roman" w:cs="Times New Roman"/>
          <w:sz w:val="24"/>
          <w:szCs w:val="24"/>
        </w:rPr>
        <w:t>Община Берковица.</w:t>
      </w:r>
    </w:p>
    <w:p w14:paraId="6EF0DB54" w14:textId="2CD62DB1" w:rsidR="005E279B" w:rsidRPr="00156973" w:rsidRDefault="005E279B" w:rsidP="005E279B">
      <w:pPr>
        <w:spacing w:before="120" w:after="120" w:line="276" w:lineRule="auto"/>
        <w:ind w:firstLine="425"/>
        <w:jc w:val="both"/>
        <w:rPr>
          <w:rFonts w:ascii="Times New Roman" w:hAnsi="Times New Roman" w:cs="Times New Roman"/>
          <w:b/>
          <w:bCs/>
          <w:sz w:val="24"/>
          <w:szCs w:val="24"/>
        </w:rPr>
      </w:pPr>
      <w:r w:rsidRPr="00156973">
        <w:rPr>
          <w:rFonts w:ascii="Times New Roman" w:hAnsi="Times New Roman" w:cs="Times New Roman"/>
          <w:b/>
          <w:bCs/>
          <w:sz w:val="24"/>
          <w:szCs w:val="24"/>
        </w:rPr>
        <w:t>Основните цели и принципи на функциониране на ИПМВ са следните:</w:t>
      </w:r>
    </w:p>
    <w:p w14:paraId="0C343B10" w14:textId="77777777" w:rsidR="00156973" w:rsidRPr="00156973" w:rsidRDefault="00156973" w:rsidP="00156973">
      <w:pPr>
        <w:pStyle w:val="ListParagraph"/>
        <w:numPr>
          <w:ilvl w:val="0"/>
          <w:numId w:val="2"/>
        </w:numPr>
        <w:spacing w:before="120" w:after="120" w:line="276" w:lineRule="auto"/>
        <w:contextualSpacing w:val="0"/>
        <w:jc w:val="both"/>
        <w:rPr>
          <w:rFonts w:ascii="Times New Roman" w:hAnsi="Times New Roman" w:cs="Times New Roman"/>
          <w:sz w:val="24"/>
          <w:szCs w:val="24"/>
        </w:rPr>
      </w:pPr>
      <w:r w:rsidRPr="00156973">
        <w:rPr>
          <w:rFonts w:ascii="Times New Roman" w:hAnsi="Times New Roman" w:cs="Times New Roman"/>
          <w:sz w:val="24"/>
          <w:szCs w:val="24"/>
        </w:rPr>
        <w:t>Финансиране на проекти, водещи до оползотворяване на топлинната енергия на минералните води и като резултат - директно или индиректно намаляване на емисиите на парникови газове;</w:t>
      </w:r>
    </w:p>
    <w:p w14:paraId="4ACA97DF" w14:textId="77777777" w:rsidR="00156973" w:rsidRPr="00156973" w:rsidRDefault="00156973" w:rsidP="00156973">
      <w:pPr>
        <w:pStyle w:val="ListParagraph"/>
        <w:numPr>
          <w:ilvl w:val="0"/>
          <w:numId w:val="2"/>
        </w:numPr>
        <w:spacing w:before="120" w:after="120" w:line="276" w:lineRule="auto"/>
        <w:contextualSpacing w:val="0"/>
        <w:jc w:val="both"/>
        <w:rPr>
          <w:rFonts w:ascii="Times New Roman" w:hAnsi="Times New Roman" w:cs="Times New Roman"/>
          <w:sz w:val="24"/>
          <w:szCs w:val="24"/>
        </w:rPr>
      </w:pPr>
      <w:r w:rsidRPr="00156973">
        <w:rPr>
          <w:rFonts w:ascii="Times New Roman" w:hAnsi="Times New Roman" w:cs="Times New Roman"/>
          <w:sz w:val="24"/>
          <w:szCs w:val="24"/>
        </w:rPr>
        <w:t>Целево разходване на средства за ремонтни дейности/ разширяване/ изграждане на инфраструктура – общинска собственост, за минерални води;</w:t>
      </w:r>
    </w:p>
    <w:p w14:paraId="593135A7" w14:textId="77777777" w:rsidR="00156973" w:rsidRPr="00156973" w:rsidRDefault="00156973" w:rsidP="00156973">
      <w:pPr>
        <w:pStyle w:val="ListParagraph"/>
        <w:numPr>
          <w:ilvl w:val="0"/>
          <w:numId w:val="2"/>
        </w:numPr>
        <w:spacing w:before="120" w:after="120" w:line="276" w:lineRule="auto"/>
        <w:contextualSpacing w:val="0"/>
        <w:jc w:val="both"/>
        <w:rPr>
          <w:rFonts w:ascii="Times New Roman" w:hAnsi="Times New Roman" w:cs="Times New Roman"/>
          <w:sz w:val="24"/>
          <w:szCs w:val="24"/>
        </w:rPr>
      </w:pPr>
      <w:r w:rsidRPr="00156973">
        <w:rPr>
          <w:rFonts w:ascii="Times New Roman" w:hAnsi="Times New Roman" w:cs="Times New Roman"/>
          <w:sz w:val="24"/>
          <w:szCs w:val="24"/>
        </w:rPr>
        <w:lastRenderedPageBreak/>
        <w:t>Безвъзмездно предоставяне на средства за финансиране на част от инвестициите, водещи до подобряване и повишаване на ефективното използване на ресурсите от минерални води;</w:t>
      </w:r>
    </w:p>
    <w:p w14:paraId="500F1699" w14:textId="066AFA94" w:rsidR="00156973" w:rsidRPr="00156973" w:rsidRDefault="00156973" w:rsidP="00156973">
      <w:pPr>
        <w:pStyle w:val="ListParagraph"/>
        <w:numPr>
          <w:ilvl w:val="0"/>
          <w:numId w:val="2"/>
        </w:numPr>
        <w:spacing w:before="120" w:after="120" w:line="276" w:lineRule="auto"/>
        <w:contextualSpacing w:val="0"/>
        <w:jc w:val="both"/>
        <w:rPr>
          <w:rFonts w:ascii="Times New Roman" w:hAnsi="Times New Roman" w:cs="Times New Roman"/>
          <w:sz w:val="24"/>
          <w:szCs w:val="24"/>
        </w:rPr>
      </w:pPr>
      <w:r w:rsidRPr="00156973">
        <w:rPr>
          <w:rFonts w:ascii="Times New Roman" w:hAnsi="Times New Roman" w:cs="Times New Roman"/>
          <w:sz w:val="24"/>
          <w:szCs w:val="24"/>
        </w:rPr>
        <w:t>Мотивиране на общините – потенциални кандидати за финансиране по Инвестиционната програма Минерални води да подготвят проекти за подобряване използването на природните ресурси от минерални води.</w:t>
      </w:r>
    </w:p>
    <w:p w14:paraId="3ED7508C" w14:textId="77777777" w:rsidR="00156973" w:rsidRPr="00156973" w:rsidRDefault="00156973" w:rsidP="00156973">
      <w:pPr>
        <w:spacing w:before="120" w:after="120" w:line="276" w:lineRule="auto"/>
        <w:ind w:firstLine="425"/>
        <w:jc w:val="both"/>
        <w:rPr>
          <w:rFonts w:ascii="Times New Roman" w:hAnsi="Times New Roman" w:cs="Times New Roman"/>
          <w:sz w:val="24"/>
          <w:szCs w:val="24"/>
        </w:rPr>
      </w:pPr>
      <w:r w:rsidRPr="00156973">
        <w:rPr>
          <w:rFonts w:ascii="Times New Roman" w:hAnsi="Times New Roman" w:cs="Times New Roman"/>
          <w:sz w:val="24"/>
          <w:szCs w:val="24"/>
        </w:rPr>
        <w:t xml:space="preserve">Попълнените Формуляри за кандидатстване се подават по реда и начина, определен в Оперативното ръководство на Инвестиционната програма Минерални води (ИПМВ). </w:t>
      </w:r>
    </w:p>
    <w:p w14:paraId="6539D5C9" w14:textId="77777777" w:rsidR="00156973" w:rsidRPr="00156973" w:rsidRDefault="00156973" w:rsidP="00156973">
      <w:pPr>
        <w:spacing w:before="120" w:after="120" w:line="276" w:lineRule="auto"/>
        <w:ind w:firstLine="425"/>
        <w:jc w:val="both"/>
        <w:rPr>
          <w:rFonts w:ascii="Times New Roman" w:hAnsi="Times New Roman" w:cs="Times New Roman"/>
          <w:sz w:val="24"/>
          <w:szCs w:val="24"/>
        </w:rPr>
      </w:pPr>
      <w:r w:rsidRPr="00156973">
        <w:rPr>
          <w:rFonts w:ascii="Times New Roman" w:hAnsi="Times New Roman" w:cs="Times New Roman"/>
          <w:sz w:val="24"/>
          <w:szCs w:val="24"/>
        </w:rPr>
        <w:t xml:space="preserve">Поради големия интерес към програмата, НДЕФ периодично обявява нови програми за финансиране, насочени към допустимите бенефициенти: общини, управляващи ресурси - минерални води. В поканата и указанията се дефинират конкретни допълнителни изисквания в зависимост от целите на ИПМВ. </w:t>
      </w:r>
    </w:p>
    <w:p w14:paraId="76CB726F" w14:textId="77777777" w:rsidR="00156973" w:rsidRPr="00156973" w:rsidRDefault="00156973" w:rsidP="00156973">
      <w:pPr>
        <w:spacing w:before="120" w:after="120" w:line="276" w:lineRule="auto"/>
        <w:ind w:firstLine="425"/>
        <w:jc w:val="both"/>
        <w:rPr>
          <w:rFonts w:ascii="Times New Roman" w:hAnsi="Times New Roman" w:cs="Times New Roman"/>
          <w:sz w:val="24"/>
          <w:szCs w:val="24"/>
        </w:rPr>
      </w:pPr>
      <w:r w:rsidRPr="00156973">
        <w:rPr>
          <w:rFonts w:ascii="Times New Roman" w:hAnsi="Times New Roman" w:cs="Times New Roman"/>
        </w:rPr>
        <w:t>М</w:t>
      </w:r>
      <w:r w:rsidRPr="00156973">
        <w:rPr>
          <w:rFonts w:ascii="Times New Roman" w:hAnsi="Times New Roman" w:cs="Times New Roman"/>
          <w:sz w:val="24"/>
          <w:szCs w:val="24"/>
        </w:rPr>
        <w:t xml:space="preserve">аксималният размер на финансирането е процент от стойността на инвестиционния проект. Безвъзмездната субсидия по ИПМВ е в размер на 50% от стойността на инвестиционния проект, но не повече от 400 000 лв. </w:t>
      </w:r>
    </w:p>
    <w:p w14:paraId="75F1F42C" w14:textId="511BA634" w:rsidR="00156973" w:rsidRPr="00156973" w:rsidRDefault="00156973" w:rsidP="00156973">
      <w:pPr>
        <w:spacing w:before="120" w:after="120" w:line="276" w:lineRule="auto"/>
        <w:ind w:firstLine="425"/>
        <w:jc w:val="both"/>
        <w:rPr>
          <w:rFonts w:ascii="Times New Roman" w:hAnsi="Times New Roman" w:cs="Times New Roman"/>
          <w:sz w:val="24"/>
          <w:szCs w:val="24"/>
        </w:rPr>
      </w:pPr>
      <w:r w:rsidRPr="00156973">
        <w:rPr>
          <w:rFonts w:ascii="Times New Roman" w:hAnsi="Times New Roman" w:cs="Times New Roman"/>
          <w:sz w:val="24"/>
          <w:szCs w:val="24"/>
        </w:rPr>
        <w:t>Съгласно оперативното ръководство на програмата, допустими разходи за СМР са разходите за ремонтни дейности/подмяна/разширяване/изграждане на инфраструктура-публична общинска собственост за минерални води, както и за инфраструктурата за минерални води - публична държавна собственост, за която общините имат задължение за поддръжка, произтичащо от Закона за водите и съгласно Решенията на Министъра на околната среда и водите за предоставяне безвъзмездно за ползване и управление на находище на минерална вода - ИДС, по реда на § 133 от ПЗР на ЗИД на ЗВ, включително, но не само:</w:t>
      </w:r>
    </w:p>
    <w:p w14:paraId="284AB380" w14:textId="77777777" w:rsidR="00156973" w:rsidRPr="00156973" w:rsidRDefault="00156973" w:rsidP="00156973">
      <w:pPr>
        <w:pStyle w:val="ListParagraph"/>
        <w:numPr>
          <w:ilvl w:val="0"/>
          <w:numId w:val="2"/>
        </w:numPr>
        <w:spacing w:before="120" w:after="120" w:line="276" w:lineRule="auto"/>
        <w:contextualSpacing w:val="0"/>
        <w:jc w:val="both"/>
        <w:rPr>
          <w:rFonts w:ascii="Times New Roman" w:hAnsi="Times New Roman" w:cs="Times New Roman"/>
          <w:sz w:val="24"/>
          <w:szCs w:val="24"/>
        </w:rPr>
      </w:pPr>
      <w:proofErr w:type="spellStart"/>
      <w:r w:rsidRPr="00156973">
        <w:rPr>
          <w:rFonts w:ascii="Times New Roman" w:hAnsi="Times New Roman" w:cs="Times New Roman"/>
          <w:sz w:val="24"/>
          <w:szCs w:val="24"/>
        </w:rPr>
        <w:t>водопреносна</w:t>
      </w:r>
      <w:proofErr w:type="spellEnd"/>
      <w:r w:rsidRPr="00156973">
        <w:rPr>
          <w:rFonts w:ascii="Times New Roman" w:hAnsi="Times New Roman" w:cs="Times New Roman"/>
          <w:sz w:val="24"/>
          <w:szCs w:val="24"/>
        </w:rPr>
        <w:t xml:space="preserve"> и водоразпределителна мрежа за минерални води, в т.ч. помпени станции и др.;</w:t>
      </w:r>
    </w:p>
    <w:p w14:paraId="54D50213" w14:textId="77777777" w:rsidR="00156973" w:rsidRPr="00156973" w:rsidRDefault="00156973" w:rsidP="00156973">
      <w:pPr>
        <w:pStyle w:val="ListParagraph"/>
        <w:numPr>
          <w:ilvl w:val="0"/>
          <w:numId w:val="2"/>
        </w:numPr>
        <w:spacing w:before="120" w:after="120" w:line="276" w:lineRule="auto"/>
        <w:contextualSpacing w:val="0"/>
        <w:jc w:val="both"/>
        <w:rPr>
          <w:rFonts w:ascii="Times New Roman" w:hAnsi="Times New Roman" w:cs="Times New Roman"/>
          <w:sz w:val="24"/>
          <w:szCs w:val="24"/>
        </w:rPr>
      </w:pPr>
      <w:r w:rsidRPr="00156973">
        <w:rPr>
          <w:rFonts w:ascii="Times New Roman" w:hAnsi="Times New Roman" w:cs="Times New Roman"/>
          <w:sz w:val="24"/>
          <w:szCs w:val="24"/>
        </w:rPr>
        <w:t xml:space="preserve">топлообменници; събирателни резервоари, водомерни и </w:t>
      </w:r>
      <w:proofErr w:type="spellStart"/>
      <w:r w:rsidRPr="00156973">
        <w:rPr>
          <w:rFonts w:ascii="Times New Roman" w:hAnsi="Times New Roman" w:cs="Times New Roman"/>
          <w:sz w:val="24"/>
          <w:szCs w:val="24"/>
        </w:rPr>
        <w:t>каптажни</w:t>
      </w:r>
      <w:proofErr w:type="spellEnd"/>
      <w:r w:rsidRPr="00156973">
        <w:rPr>
          <w:rFonts w:ascii="Times New Roman" w:hAnsi="Times New Roman" w:cs="Times New Roman"/>
          <w:sz w:val="24"/>
          <w:szCs w:val="24"/>
        </w:rPr>
        <w:t xml:space="preserve"> разпределителни шахти за минералната вода преди подаването й към </w:t>
      </w:r>
      <w:proofErr w:type="spellStart"/>
      <w:r w:rsidRPr="00156973">
        <w:rPr>
          <w:rFonts w:ascii="Times New Roman" w:hAnsi="Times New Roman" w:cs="Times New Roman"/>
          <w:sz w:val="24"/>
          <w:szCs w:val="24"/>
        </w:rPr>
        <w:t>водоползвателите</w:t>
      </w:r>
      <w:proofErr w:type="spellEnd"/>
      <w:r w:rsidRPr="00156973">
        <w:rPr>
          <w:rFonts w:ascii="Times New Roman" w:hAnsi="Times New Roman" w:cs="Times New Roman"/>
          <w:sz w:val="24"/>
          <w:szCs w:val="24"/>
        </w:rPr>
        <w:t xml:space="preserve">; оборудването за експлоатация (помпа); оборудване на </w:t>
      </w:r>
      <w:proofErr w:type="spellStart"/>
      <w:r w:rsidRPr="00156973">
        <w:rPr>
          <w:rFonts w:ascii="Times New Roman" w:hAnsi="Times New Roman" w:cs="Times New Roman"/>
          <w:sz w:val="24"/>
          <w:szCs w:val="24"/>
        </w:rPr>
        <w:t>водовземното</w:t>
      </w:r>
      <w:proofErr w:type="spellEnd"/>
      <w:r w:rsidRPr="00156973">
        <w:rPr>
          <w:rFonts w:ascii="Times New Roman" w:hAnsi="Times New Roman" w:cs="Times New Roman"/>
          <w:sz w:val="24"/>
          <w:szCs w:val="24"/>
        </w:rPr>
        <w:t xml:space="preserve"> съоръжение с водомер, манометър, термометър и др.; ремонт на </w:t>
      </w:r>
      <w:proofErr w:type="spellStart"/>
      <w:r w:rsidRPr="00156973">
        <w:rPr>
          <w:rFonts w:ascii="Times New Roman" w:hAnsi="Times New Roman" w:cs="Times New Roman"/>
          <w:sz w:val="24"/>
          <w:szCs w:val="24"/>
        </w:rPr>
        <w:t>устиевото</w:t>
      </w:r>
      <w:proofErr w:type="spellEnd"/>
      <w:r w:rsidRPr="00156973">
        <w:rPr>
          <w:rFonts w:ascii="Times New Roman" w:hAnsi="Times New Roman" w:cs="Times New Roman"/>
          <w:sz w:val="24"/>
          <w:szCs w:val="24"/>
        </w:rPr>
        <w:t xml:space="preserve"> оборудване на </w:t>
      </w:r>
      <w:proofErr w:type="spellStart"/>
      <w:r w:rsidRPr="00156973">
        <w:rPr>
          <w:rFonts w:ascii="Times New Roman" w:hAnsi="Times New Roman" w:cs="Times New Roman"/>
          <w:sz w:val="24"/>
          <w:szCs w:val="24"/>
        </w:rPr>
        <w:t>водовземното</w:t>
      </w:r>
      <w:proofErr w:type="spellEnd"/>
      <w:r w:rsidRPr="00156973">
        <w:rPr>
          <w:rFonts w:ascii="Times New Roman" w:hAnsi="Times New Roman" w:cs="Times New Roman"/>
          <w:sz w:val="24"/>
          <w:szCs w:val="24"/>
        </w:rPr>
        <w:t xml:space="preserve"> съоръжение и др. подобни; съоръжения и инсталации за обществено ползване.</w:t>
      </w:r>
    </w:p>
    <w:p w14:paraId="33807259" w14:textId="5369CEE2" w:rsidR="00156973" w:rsidRPr="00156973" w:rsidRDefault="00156973" w:rsidP="00156973">
      <w:pPr>
        <w:pStyle w:val="ListParagraph"/>
        <w:numPr>
          <w:ilvl w:val="0"/>
          <w:numId w:val="2"/>
        </w:numPr>
        <w:spacing w:before="120" w:after="120" w:line="276" w:lineRule="auto"/>
        <w:contextualSpacing w:val="0"/>
        <w:jc w:val="both"/>
        <w:rPr>
          <w:rFonts w:ascii="Times New Roman" w:hAnsi="Times New Roman" w:cs="Times New Roman"/>
          <w:sz w:val="24"/>
          <w:szCs w:val="24"/>
        </w:rPr>
      </w:pPr>
      <w:r w:rsidRPr="00156973">
        <w:rPr>
          <w:rFonts w:ascii="Times New Roman" w:hAnsi="Times New Roman" w:cs="Times New Roman"/>
          <w:sz w:val="24"/>
          <w:szCs w:val="24"/>
        </w:rPr>
        <w:t>ремонт и реконструкция на съществуващи сондажи за минерална вода с доказани показатели и потенциал за оползотворяване на минералната вода.</w:t>
      </w:r>
    </w:p>
    <w:p w14:paraId="1428DD8D" w14:textId="77777777" w:rsidR="00156973" w:rsidRPr="00156973" w:rsidRDefault="00156973" w:rsidP="00156973">
      <w:pPr>
        <w:spacing w:before="120" w:after="120" w:line="276" w:lineRule="auto"/>
        <w:ind w:firstLine="425"/>
        <w:jc w:val="both"/>
        <w:rPr>
          <w:rFonts w:ascii="Times New Roman" w:hAnsi="Times New Roman" w:cs="Times New Roman"/>
          <w:sz w:val="24"/>
          <w:szCs w:val="24"/>
        </w:rPr>
      </w:pPr>
      <w:r w:rsidRPr="00156973">
        <w:rPr>
          <w:rFonts w:ascii="Times New Roman" w:hAnsi="Times New Roman" w:cs="Times New Roman"/>
          <w:sz w:val="24"/>
          <w:szCs w:val="24"/>
        </w:rPr>
        <w:t xml:space="preserve">Начинът на представяне на проектните предложения се определя в Указанията за кандидатстване за финансиране на проекти към всяка конкретна покана за набиране на проекти по Програмата. </w:t>
      </w:r>
    </w:p>
    <w:p w14:paraId="7EC82D0E" w14:textId="77777777" w:rsidR="00156973" w:rsidRPr="00156973" w:rsidRDefault="00156973" w:rsidP="00156973">
      <w:pPr>
        <w:spacing w:before="120" w:after="120" w:line="276" w:lineRule="auto"/>
        <w:ind w:firstLine="425"/>
        <w:jc w:val="both"/>
        <w:rPr>
          <w:rFonts w:ascii="Times New Roman" w:hAnsi="Times New Roman" w:cs="Times New Roman"/>
          <w:sz w:val="24"/>
          <w:szCs w:val="24"/>
        </w:rPr>
      </w:pPr>
      <w:r w:rsidRPr="00156973">
        <w:rPr>
          <w:rFonts w:ascii="Times New Roman" w:hAnsi="Times New Roman" w:cs="Times New Roman"/>
          <w:sz w:val="24"/>
          <w:szCs w:val="24"/>
        </w:rPr>
        <w:lastRenderedPageBreak/>
        <w:t>Оценката на проектите по ИПМВ се осъществяват от Комисия за подбор, контрол и отчитане на изпълнението на проекти в съответствие с обявените критерии за оценка.</w:t>
      </w:r>
    </w:p>
    <w:p w14:paraId="60757330" w14:textId="77777777" w:rsidR="00156973" w:rsidRPr="00156973" w:rsidRDefault="00156973" w:rsidP="00156973">
      <w:pPr>
        <w:spacing w:before="120" w:after="120" w:line="276" w:lineRule="auto"/>
        <w:ind w:firstLine="425"/>
        <w:jc w:val="both"/>
        <w:rPr>
          <w:rFonts w:ascii="Times New Roman" w:hAnsi="Times New Roman" w:cs="Times New Roman"/>
          <w:sz w:val="24"/>
          <w:szCs w:val="24"/>
        </w:rPr>
      </w:pPr>
      <w:r w:rsidRPr="00156973">
        <w:rPr>
          <w:rFonts w:ascii="Times New Roman" w:hAnsi="Times New Roman" w:cs="Times New Roman"/>
          <w:sz w:val="24"/>
          <w:szCs w:val="24"/>
        </w:rPr>
        <w:t>Не се одобряват и не се финансират със средства по ИПМВ, проекти, които се финансират изцяло или частично по друг проект, програма или друга финансова схема, финансирана от друг източник, включително с публични средства на националния, европейския бюджет или друг международен източник или чието финансиране би нарушило изискванията на националното и европейското законодателство в областта на държавните помощи.</w:t>
      </w:r>
    </w:p>
    <w:p w14:paraId="14D0D115" w14:textId="77777777" w:rsidR="00156973" w:rsidRPr="00156973" w:rsidRDefault="00156973" w:rsidP="00156973">
      <w:pPr>
        <w:spacing w:before="120" w:after="120" w:line="276" w:lineRule="auto"/>
        <w:ind w:firstLine="425"/>
        <w:jc w:val="both"/>
        <w:rPr>
          <w:rFonts w:ascii="Times New Roman" w:hAnsi="Times New Roman" w:cs="Times New Roman"/>
          <w:sz w:val="24"/>
          <w:szCs w:val="24"/>
        </w:rPr>
      </w:pPr>
      <w:r w:rsidRPr="00156973">
        <w:rPr>
          <w:rFonts w:ascii="Times New Roman" w:hAnsi="Times New Roman" w:cs="Times New Roman"/>
          <w:sz w:val="24"/>
          <w:szCs w:val="24"/>
        </w:rPr>
        <w:t>Договорът за финансиране между НДЕФ и кандидата се сключва след извършване на преглед на договора с Изпълнителя на СМР или за доставката на оборудване за съответствие с Изискванията на НДЕФ по ИПМВ.</w:t>
      </w:r>
    </w:p>
    <w:p w14:paraId="29F1C189" w14:textId="77777777" w:rsidR="00156973" w:rsidRPr="00156973" w:rsidRDefault="00156973" w:rsidP="00156973">
      <w:pPr>
        <w:spacing w:before="120" w:after="120" w:line="276" w:lineRule="auto"/>
        <w:ind w:firstLine="425"/>
        <w:jc w:val="both"/>
        <w:rPr>
          <w:rFonts w:ascii="Times New Roman" w:hAnsi="Times New Roman" w:cs="Times New Roman"/>
          <w:sz w:val="24"/>
          <w:szCs w:val="24"/>
        </w:rPr>
      </w:pPr>
      <w:r w:rsidRPr="00156973">
        <w:rPr>
          <w:rFonts w:ascii="Times New Roman" w:hAnsi="Times New Roman" w:cs="Times New Roman"/>
          <w:sz w:val="24"/>
          <w:szCs w:val="24"/>
        </w:rPr>
        <w:t xml:space="preserve">Контролът от страна на </w:t>
      </w:r>
      <w:proofErr w:type="spellStart"/>
      <w:r w:rsidRPr="00156973">
        <w:rPr>
          <w:rFonts w:ascii="Times New Roman" w:hAnsi="Times New Roman" w:cs="Times New Roman"/>
          <w:sz w:val="24"/>
          <w:szCs w:val="24"/>
        </w:rPr>
        <w:t>бенефициерите</w:t>
      </w:r>
      <w:proofErr w:type="spellEnd"/>
      <w:r w:rsidRPr="00156973">
        <w:rPr>
          <w:rFonts w:ascii="Times New Roman" w:hAnsi="Times New Roman" w:cs="Times New Roman"/>
          <w:sz w:val="24"/>
          <w:szCs w:val="24"/>
        </w:rPr>
        <w:t xml:space="preserve"> по ИПМВ се осъществява във всички случаи чрез постоянно наблюдение на напредъка на дейностите по съответния Договор за финансиране на проект по ИПМВ и чрез механизмите, предвидени в договорите за строителство и/или със съответните доставчици на стоки и услуги.</w:t>
      </w:r>
    </w:p>
    <w:p w14:paraId="3A9A735F" w14:textId="77777777" w:rsidR="00156973" w:rsidRPr="00156973" w:rsidRDefault="00156973" w:rsidP="00156973">
      <w:pPr>
        <w:spacing w:before="120" w:after="120" w:line="276" w:lineRule="auto"/>
        <w:ind w:firstLine="425"/>
        <w:jc w:val="both"/>
        <w:rPr>
          <w:rFonts w:ascii="Times New Roman" w:hAnsi="Times New Roman" w:cs="Times New Roman"/>
          <w:sz w:val="24"/>
          <w:szCs w:val="24"/>
        </w:rPr>
      </w:pPr>
      <w:r w:rsidRPr="00156973">
        <w:rPr>
          <w:rFonts w:ascii="Times New Roman" w:hAnsi="Times New Roman" w:cs="Times New Roman"/>
          <w:sz w:val="24"/>
          <w:szCs w:val="24"/>
        </w:rPr>
        <w:t xml:space="preserve">За отчитане напредъка на проектите по ИПМВ </w:t>
      </w:r>
      <w:proofErr w:type="spellStart"/>
      <w:r w:rsidRPr="00156973">
        <w:rPr>
          <w:rFonts w:ascii="Times New Roman" w:hAnsi="Times New Roman" w:cs="Times New Roman"/>
          <w:sz w:val="24"/>
          <w:szCs w:val="24"/>
        </w:rPr>
        <w:t>Бенефициерите</w:t>
      </w:r>
      <w:proofErr w:type="spellEnd"/>
      <w:r w:rsidRPr="00156973">
        <w:rPr>
          <w:rFonts w:ascii="Times New Roman" w:hAnsi="Times New Roman" w:cs="Times New Roman"/>
          <w:sz w:val="24"/>
          <w:szCs w:val="24"/>
        </w:rPr>
        <w:t xml:space="preserve"> изготвят и подават периодични технически и финансови отчети към НДЕФ, изготвени съгласно съответните Приложения към Оперативното ръководство.</w:t>
      </w:r>
    </w:p>
    <w:p w14:paraId="5248CBBE" w14:textId="77777777" w:rsidR="00156973" w:rsidRPr="00156973" w:rsidRDefault="00156973" w:rsidP="00156973">
      <w:pPr>
        <w:spacing w:before="120" w:after="120" w:line="276" w:lineRule="auto"/>
        <w:ind w:firstLine="425"/>
        <w:jc w:val="both"/>
        <w:rPr>
          <w:rFonts w:ascii="Times New Roman" w:hAnsi="Times New Roman" w:cs="Times New Roman"/>
          <w:sz w:val="24"/>
          <w:szCs w:val="24"/>
        </w:rPr>
      </w:pPr>
      <w:r w:rsidRPr="00156973">
        <w:rPr>
          <w:rFonts w:ascii="Times New Roman" w:hAnsi="Times New Roman" w:cs="Times New Roman"/>
          <w:sz w:val="24"/>
          <w:szCs w:val="24"/>
        </w:rPr>
        <w:t xml:space="preserve">Чрез договорите за финансиране по ИПМВ </w:t>
      </w:r>
      <w:proofErr w:type="spellStart"/>
      <w:r w:rsidRPr="00156973">
        <w:rPr>
          <w:rFonts w:ascii="Times New Roman" w:hAnsi="Times New Roman" w:cs="Times New Roman"/>
          <w:sz w:val="24"/>
          <w:szCs w:val="24"/>
        </w:rPr>
        <w:t>Бенефициерите</w:t>
      </w:r>
      <w:proofErr w:type="spellEnd"/>
      <w:r w:rsidRPr="00156973">
        <w:rPr>
          <w:rFonts w:ascii="Times New Roman" w:hAnsi="Times New Roman" w:cs="Times New Roman"/>
          <w:sz w:val="24"/>
          <w:szCs w:val="24"/>
        </w:rPr>
        <w:t xml:space="preserve"> се задължават да пазят документацията по проекта най-малко пет години след приключване му или по-дълго, в съответствие с приложимия закон.</w:t>
      </w:r>
    </w:p>
    <w:p w14:paraId="1343D8D6" w14:textId="1D329F07" w:rsidR="005E279B" w:rsidRPr="00156973" w:rsidRDefault="00156973" w:rsidP="00156973">
      <w:pPr>
        <w:spacing w:before="120" w:after="120" w:line="276" w:lineRule="auto"/>
        <w:ind w:firstLine="425"/>
        <w:jc w:val="both"/>
        <w:rPr>
          <w:rFonts w:ascii="Times New Roman" w:hAnsi="Times New Roman" w:cs="Times New Roman"/>
          <w:sz w:val="24"/>
          <w:szCs w:val="24"/>
        </w:rPr>
      </w:pPr>
      <w:proofErr w:type="spellStart"/>
      <w:r w:rsidRPr="00156973">
        <w:rPr>
          <w:rFonts w:ascii="Times New Roman" w:hAnsi="Times New Roman" w:cs="Times New Roman"/>
          <w:sz w:val="24"/>
          <w:szCs w:val="24"/>
        </w:rPr>
        <w:t>Бенефициерите</w:t>
      </w:r>
      <w:proofErr w:type="spellEnd"/>
      <w:r w:rsidRPr="00156973">
        <w:rPr>
          <w:rFonts w:ascii="Times New Roman" w:hAnsi="Times New Roman" w:cs="Times New Roman"/>
          <w:sz w:val="24"/>
          <w:szCs w:val="24"/>
        </w:rPr>
        <w:t xml:space="preserve"> са също така длъжни да предоставят информация след завършване на проекта с цел събиране на данни във връзка с оценка на направената инвестиция.</w:t>
      </w:r>
    </w:p>
    <w:p w14:paraId="0994C46B" w14:textId="2F9AFB43" w:rsidR="00B676BA" w:rsidRPr="00156973" w:rsidRDefault="005E11D6" w:rsidP="00B676BA">
      <w:pPr>
        <w:pStyle w:val="Heading2"/>
      </w:pPr>
      <w:bookmarkStart w:id="4" w:name="_Toc123825796"/>
      <w:r w:rsidRPr="00156973">
        <w:t>1</w:t>
      </w:r>
      <w:r w:rsidR="00B676BA" w:rsidRPr="00156973">
        <w:t xml:space="preserve">.2. </w:t>
      </w:r>
      <w:r w:rsidR="00156973" w:rsidRPr="00156973">
        <w:t>План за възстановяване и устойчивост</w:t>
      </w:r>
      <w:bookmarkEnd w:id="4"/>
    </w:p>
    <w:p w14:paraId="255D51A7" w14:textId="77777777" w:rsidR="00156973" w:rsidRPr="00156973" w:rsidRDefault="00156973" w:rsidP="00156973">
      <w:pPr>
        <w:spacing w:before="120" w:after="120" w:line="276" w:lineRule="auto"/>
        <w:ind w:firstLine="425"/>
        <w:jc w:val="both"/>
        <w:rPr>
          <w:rFonts w:ascii="Times New Roman" w:hAnsi="Times New Roman" w:cs="Times New Roman"/>
          <w:sz w:val="24"/>
          <w:szCs w:val="24"/>
        </w:rPr>
      </w:pPr>
      <w:bookmarkStart w:id="5" w:name="_Hlk121296280"/>
      <w:r w:rsidRPr="00156973">
        <w:rPr>
          <w:rFonts w:ascii="Times New Roman" w:hAnsi="Times New Roman" w:cs="Times New Roman"/>
          <w:sz w:val="24"/>
          <w:szCs w:val="24"/>
        </w:rPr>
        <w:t>През април 2022 г. ЕК одобри Планът за възстановяване и устойчивост (ПВУ) на Република България, по който страната се очаква да получи достъп до 6,3 млрд. евро (12,3 млрд. лева) по европейския Механизъм за възстановяване и устойчивост (МВУ) до края на 2026 г.</w:t>
      </w:r>
    </w:p>
    <w:p w14:paraId="08123383" w14:textId="77777777" w:rsidR="00156973" w:rsidRPr="00156973" w:rsidRDefault="00156973" w:rsidP="00156973">
      <w:pPr>
        <w:spacing w:before="120" w:after="120" w:line="276" w:lineRule="auto"/>
        <w:ind w:firstLine="425"/>
        <w:jc w:val="both"/>
        <w:rPr>
          <w:rFonts w:ascii="Times New Roman" w:hAnsi="Times New Roman" w:cs="Times New Roman"/>
          <w:sz w:val="24"/>
          <w:szCs w:val="24"/>
        </w:rPr>
      </w:pPr>
      <w:r w:rsidRPr="00156973">
        <w:rPr>
          <w:rFonts w:ascii="Times New Roman" w:hAnsi="Times New Roman" w:cs="Times New Roman"/>
          <w:sz w:val="24"/>
          <w:szCs w:val="24"/>
        </w:rPr>
        <w:t xml:space="preserve">Механизмът за възстановяване и устойчивост представлява по-голямата част от усилията по линия на </w:t>
      </w:r>
      <w:proofErr w:type="spellStart"/>
      <w:r w:rsidRPr="00156973">
        <w:rPr>
          <w:rFonts w:ascii="Times New Roman" w:hAnsi="Times New Roman" w:cs="Times New Roman"/>
          <w:sz w:val="24"/>
          <w:szCs w:val="24"/>
        </w:rPr>
        <w:t>Next</w:t>
      </w:r>
      <w:proofErr w:type="spellEnd"/>
      <w:r w:rsidRPr="00156973">
        <w:rPr>
          <w:rFonts w:ascii="Times New Roman" w:hAnsi="Times New Roman" w:cs="Times New Roman"/>
          <w:sz w:val="24"/>
          <w:szCs w:val="24"/>
        </w:rPr>
        <w:t xml:space="preserve"> </w:t>
      </w:r>
      <w:proofErr w:type="spellStart"/>
      <w:r w:rsidRPr="00156973">
        <w:rPr>
          <w:rFonts w:ascii="Times New Roman" w:hAnsi="Times New Roman" w:cs="Times New Roman"/>
          <w:sz w:val="24"/>
          <w:szCs w:val="24"/>
        </w:rPr>
        <w:t>Generation</w:t>
      </w:r>
      <w:proofErr w:type="spellEnd"/>
      <w:r w:rsidRPr="00156973">
        <w:rPr>
          <w:rFonts w:ascii="Times New Roman" w:hAnsi="Times New Roman" w:cs="Times New Roman"/>
          <w:sz w:val="24"/>
          <w:szCs w:val="24"/>
        </w:rPr>
        <w:t xml:space="preserve"> EU: почти 90% от общия пакет. На 11 февруари 2021 г. Съветът прие регламента за създаване на механизма.</w:t>
      </w:r>
    </w:p>
    <w:p w14:paraId="291FE692" w14:textId="6B4AA8F6" w:rsidR="00594D6E" w:rsidRPr="00156973" w:rsidRDefault="00156973" w:rsidP="00156973">
      <w:pPr>
        <w:spacing w:before="120" w:after="120" w:line="276" w:lineRule="auto"/>
        <w:ind w:firstLine="425"/>
        <w:jc w:val="both"/>
        <w:rPr>
          <w:rFonts w:ascii="Times New Roman" w:hAnsi="Times New Roman" w:cs="Times New Roman"/>
          <w:sz w:val="24"/>
          <w:szCs w:val="24"/>
        </w:rPr>
      </w:pPr>
      <w:r w:rsidRPr="00156973">
        <w:rPr>
          <w:rFonts w:ascii="Times New Roman" w:hAnsi="Times New Roman" w:cs="Times New Roman"/>
          <w:sz w:val="24"/>
          <w:szCs w:val="24"/>
        </w:rPr>
        <w:t>Механизмът с бюджет в размер на 672,5 млрд. евро ще бъде разпределен под формата на:</w:t>
      </w:r>
    </w:p>
    <w:p w14:paraId="37C4BD43" w14:textId="77777777" w:rsidR="00156973" w:rsidRPr="00156973" w:rsidRDefault="00156973" w:rsidP="00156973">
      <w:pPr>
        <w:spacing w:before="120" w:after="120" w:line="276" w:lineRule="auto"/>
        <w:ind w:firstLine="425"/>
        <w:jc w:val="both"/>
        <w:rPr>
          <w:rFonts w:ascii="Times New Roman" w:hAnsi="Times New Roman" w:cs="Times New Roman"/>
          <w:sz w:val="24"/>
          <w:szCs w:val="24"/>
        </w:rPr>
      </w:pPr>
      <w:r w:rsidRPr="00156973">
        <w:rPr>
          <w:rFonts w:ascii="Times New Roman" w:hAnsi="Times New Roman" w:cs="Times New Roman"/>
          <w:sz w:val="24"/>
          <w:szCs w:val="24"/>
        </w:rPr>
        <w:t>Механизмът с бюджет в размер на 672,5 млрд. евро ще бъде разпределен под формата на:</w:t>
      </w:r>
    </w:p>
    <w:p w14:paraId="119D93A0" w14:textId="603AE0F5" w:rsidR="00156973" w:rsidRPr="00156973" w:rsidRDefault="00156973" w:rsidP="00156973">
      <w:pPr>
        <w:pStyle w:val="ListParagraph"/>
        <w:numPr>
          <w:ilvl w:val="0"/>
          <w:numId w:val="5"/>
        </w:numPr>
        <w:spacing w:before="120" w:after="120" w:line="276" w:lineRule="auto"/>
        <w:contextualSpacing w:val="0"/>
        <w:jc w:val="both"/>
        <w:rPr>
          <w:rFonts w:ascii="Times New Roman" w:hAnsi="Times New Roman" w:cs="Times New Roman"/>
          <w:sz w:val="24"/>
          <w:szCs w:val="24"/>
        </w:rPr>
      </w:pPr>
      <w:r w:rsidRPr="00156973">
        <w:rPr>
          <w:rFonts w:ascii="Times New Roman" w:hAnsi="Times New Roman" w:cs="Times New Roman"/>
          <w:sz w:val="24"/>
          <w:szCs w:val="24"/>
        </w:rPr>
        <w:lastRenderedPageBreak/>
        <w:t>заеми: 360 млрд. евро (385,8 млрд. евро по текущи цени)</w:t>
      </w:r>
      <w:r w:rsidRPr="00156973">
        <w:rPr>
          <w:rFonts w:ascii="Times New Roman" w:hAnsi="Times New Roman" w:cs="Times New Roman"/>
          <w:sz w:val="24"/>
          <w:szCs w:val="24"/>
        </w:rPr>
        <w:t>;</w:t>
      </w:r>
    </w:p>
    <w:p w14:paraId="65352442" w14:textId="4DD4EDB2" w:rsidR="00156973" w:rsidRPr="00156973" w:rsidRDefault="00156973" w:rsidP="00156973">
      <w:pPr>
        <w:pStyle w:val="ListParagraph"/>
        <w:numPr>
          <w:ilvl w:val="0"/>
          <w:numId w:val="5"/>
        </w:numPr>
        <w:spacing w:before="120" w:after="120" w:line="276" w:lineRule="auto"/>
        <w:contextualSpacing w:val="0"/>
        <w:jc w:val="both"/>
        <w:rPr>
          <w:rFonts w:ascii="Times New Roman" w:hAnsi="Times New Roman" w:cs="Times New Roman"/>
          <w:sz w:val="24"/>
          <w:szCs w:val="24"/>
        </w:rPr>
      </w:pPr>
      <w:r w:rsidRPr="00156973">
        <w:rPr>
          <w:rFonts w:ascii="Times New Roman" w:hAnsi="Times New Roman" w:cs="Times New Roman"/>
          <w:sz w:val="24"/>
          <w:szCs w:val="24"/>
        </w:rPr>
        <w:t>безвъзмездни средства: 312,5 млрд. евро (338 млрд. евро по текущи цени)</w:t>
      </w:r>
      <w:r w:rsidRPr="00156973">
        <w:rPr>
          <w:rFonts w:ascii="Times New Roman" w:hAnsi="Times New Roman" w:cs="Times New Roman"/>
          <w:sz w:val="24"/>
          <w:szCs w:val="24"/>
        </w:rPr>
        <w:t>.</w:t>
      </w:r>
    </w:p>
    <w:p w14:paraId="42BCEE97" w14:textId="77777777" w:rsidR="00156973" w:rsidRPr="00156973" w:rsidRDefault="00156973" w:rsidP="00156973">
      <w:pPr>
        <w:spacing w:before="120" w:after="120" w:line="276" w:lineRule="auto"/>
        <w:ind w:firstLine="360"/>
        <w:jc w:val="both"/>
        <w:rPr>
          <w:rFonts w:ascii="Times New Roman" w:hAnsi="Times New Roman" w:cs="Times New Roman"/>
          <w:sz w:val="24"/>
          <w:szCs w:val="24"/>
        </w:rPr>
      </w:pPr>
      <w:r w:rsidRPr="00156973">
        <w:rPr>
          <w:rFonts w:ascii="Times New Roman" w:hAnsi="Times New Roman" w:cs="Times New Roman"/>
          <w:sz w:val="24"/>
          <w:szCs w:val="24"/>
        </w:rPr>
        <w:t>ПВУ стъпва на Национална програма за развитие БЪЛГАРИЯ 2030 и обхваща 4 стълба, по които са разпределени средствата (в %), както следва:</w:t>
      </w:r>
    </w:p>
    <w:p w14:paraId="6519DEEF" w14:textId="77777777" w:rsidR="00156973" w:rsidRPr="00156973" w:rsidRDefault="00156973" w:rsidP="00156973">
      <w:pPr>
        <w:pStyle w:val="ListParagraph"/>
        <w:numPr>
          <w:ilvl w:val="0"/>
          <w:numId w:val="6"/>
        </w:numPr>
        <w:spacing w:before="120" w:after="120" w:line="276" w:lineRule="auto"/>
        <w:contextualSpacing w:val="0"/>
        <w:jc w:val="both"/>
        <w:rPr>
          <w:rFonts w:ascii="Times New Roman" w:hAnsi="Times New Roman" w:cs="Times New Roman"/>
          <w:sz w:val="24"/>
          <w:szCs w:val="24"/>
        </w:rPr>
      </w:pPr>
      <w:r w:rsidRPr="00156973">
        <w:rPr>
          <w:rFonts w:ascii="Times New Roman" w:hAnsi="Times New Roman" w:cs="Times New Roman"/>
          <w:sz w:val="24"/>
          <w:szCs w:val="24"/>
        </w:rPr>
        <w:t>Иновативна България – 20%;</w:t>
      </w:r>
    </w:p>
    <w:p w14:paraId="2C8A6CFD" w14:textId="77777777" w:rsidR="00156973" w:rsidRPr="00156973" w:rsidRDefault="00156973" w:rsidP="00156973">
      <w:pPr>
        <w:pStyle w:val="ListParagraph"/>
        <w:numPr>
          <w:ilvl w:val="0"/>
          <w:numId w:val="6"/>
        </w:numPr>
        <w:spacing w:before="120" w:after="120" w:line="276" w:lineRule="auto"/>
        <w:contextualSpacing w:val="0"/>
        <w:jc w:val="both"/>
        <w:rPr>
          <w:rFonts w:ascii="Times New Roman" w:hAnsi="Times New Roman" w:cs="Times New Roman"/>
          <w:sz w:val="24"/>
          <w:szCs w:val="24"/>
        </w:rPr>
      </w:pPr>
      <w:r w:rsidRPr="00156973">
        <w:rPr>
          <w:rFonts w:ascii="Times New Roman" w:hAnsi="Times New Roman" w:cs="Times New Roman"/>
          <w:sz w:val="24"/>
          <w:szCs w:val="24"/>
        </w:rPr>
        <w:t>Зелена България – 37%;</w:t>
      </w:r>
    </w:p>
    <w:p w14:paraId="5583EA8B" w14:textId="77777777" w:rsidR="00156973" w:rsidRPr="00156973" w:rsidRDefault="00156973" w:rsidP="00156973">
      <w:pPr>
        <w:pStyle w:val="ListParagraph"/>
        <w:numPr>
          <w:ilvl w:val="0"/>
          <w:numId w:val="6"/>
        </w:numPr>
        <w:spacing w:before="120" w:after="120" w:line="276" w:lineRule="auto"/>
        <w:contextualSpacing w:val="0"/>
        <w:jc w:val="both"/>
        <w:rPr>
          <w:rFonts w:ascii="Times New Roman" w:hAnsi="Times New Roman" w:cs="Times New Roman"/>
          <w:sz w:val="24"/>
          <w:szCs w:val="24"/>
        </w:rPr>
      </w:pPr>
      <w:r w:rsidRPr="00156973">
        <w:rPr>
          <w:rFonts w:ascii="Times New Roman" w:hAnsi="Times New Roman" w:cs="Times New Roman"/>
          <w:sz w:val="24"/>
          <w:szCs w:val="24"/>
        </w:rPr>
        <w:t>Свързана България – 22%;</w:t>
      </w:r>
    </w:p>
    <w:p w14:paraId="40C9BF05" w14:textId="77777777" w:rsidR="00156973" w:rsidRPr="00156973" w:rsidRDefault="00156973" w:rsidP="00156973">
      <w:pPr>
        <w:pStyle w:val="ListParagraph"/>
        <w:numPr>
          <w:ilvl w:val="0"/>
          <w:numId w:val="6"/>
        </w:numPr>
        <w:spacing w:before="120" w:after="120" w:line="276" w:lineRule="auto"/>
        <w:contextualSpacing w:val="0"/>
        <w:jc w:val="both"/>
        <w:rPr>
          <w:rFonts w:ascii="Times New Roman" w:hAnsi="Times New Roman" w:cs="Times New Roman"/>
          <w:sz w:val="24"/>
          <w:szCs w:val="24"/>
        </w:rPr>
      </w:pPr>
      <w:r w:rsidRPr="00156973">
        <w:rPr>
          <w:rFonts w:ascii="Times New Roman" w:hAnsi="Times New Roman" w:cs="Times New Roman"/>
          <w:sz w:val="24"/>
          <w:szCs w:val="24"/>
        </w:rPr>
        <w:t>Справедлива България – 21%.</w:t>
      </w:r>
    </w:p>
    <w:p w14:paraId="16B20B92" w14:textId="77777777" w:rsidR="00156973" w:rsidRPr="00156973" w:rsidRDefault="00156973" w:rsidP="00156973">
      <w:pPr>
        <w:pStyle w:val="Default"/>
        <w:spacing w:before="120" w:after="120" w:line="276" w:lineRule="auto"/>
        <w:ind w:firstLine="425"/>
        <w:jc w:val="both"/>
        <w:rPr>
          <w:rFonts w:ascii="Times New Roman" w:hAnsi="Times New Roman" w:cs="Times New Roman"/>
          <w:color w:val="auto"/>
          <w:lang w:val="bg-BG"/>
        </w:rPr>
      </w:pPr>
      <w:r w:rsidRPr="00156973">
        <w:rPr>
          <w:rFonts w:ascii="Times New Roman" w:hAnsi="Times New Roman" w:cs="Times New Roman"/>
          <w:color w:val="auto"/>
          <w:lang w:val="bg-BG"/>
        </w:rPr>
        <w:t>Като част от стълба Зелена България са предвидени инвестиции за Развитие на използването на геотермална енергия в България за производство на електрическа и топлинна енергия.</w:t>
      </w:r>
    </w:p>
    <w:p w14:paraId="477290F8" w14:textId="77777777" w:rsidR="00156973" w:rsidRPr="00156973" w:rsidRDefault="00156973" w:rsidP="00156973">
      <w:pPr>
        <w:pStyle w:val="Default"/>
        <w:spacing w:before="120" w:after="120" w:line="276" w:lineRule="auto"/>
        <w:ind w:firstLine="425"/>
        <w:jc w:val="both"/>
        <w:rPr>
          <w:rFonts w:ascii="Times New Roman" w:hAnsi="Times New Roman" w:cs="Times New Roman"/>
          <w:color w:val="auto"/>
          <w:lang w:val="bg-BG"/>
        </w:rPr>
      </w:pPr>
      <w:r w:rsidRPr="00156973">
        <w:rPr>
          <w:rFonts w:ascii="Times New Roman" w:hAnsi="Times New Roman" w:cs="Times New Roman"/>
          <w:color w:val="auto"/>
          <w:lang w:val="bg-BG"/>
        </w:rPr>
        <w:t>Проектът се състои в актуализиране на информацията за геотермалния потенциал в страната и изготвяне на проектно решение за пилотна система за използване на геотермална енергия за комбинирано производство на 10MW електричество и 30MW топлина. С цел обучение на специалисти и разпространение на знания за съвременни икономически ефективни и екологични технологии за производство и използване на чиста енергия, проектът предвижда и изграждането на специализирана лаборатория в университет за изследвания и обучение на тема комбинирани системи за геотермална енергия.</w:t>
      </w:r>
    </w:p>
    <w:p w14:paraId="11304506" w14:textId="77777777" w:rsidR="00156973" w:rsidRPr="00156973" w:rsidRDefault="00156973" w:rsidP="00156973">
      <w:pPr>
        <w:spacing w:before="120" w:after="120" w:line="276" w:lineRule="auto"/>
        <w:ind w:firstLine="425"/>
        <w:jc w:val="both"/>
        <w:rPr>
          <w:rFonts w:ascii="Times New Roman" w:hAnsi="Times New Roman" w:cs="Times New Roman"/>
          <w:sz w:val="24"/>
          <w:szCs w:val="24"/>
        </w:rPr>
      </w:pPr>
      <w:r w:rsidRPr="00156973">
        <w:rPr>
          <w:rFonts w:ascii="Times New Roman" w:hAnsi="Times New Roman" w:cs="Times New Roman"/>
          <w:sz w:val="24"/>
          <w:szCs w:val="24"/>
        </w:rPr>
        <w:t>Интегрираният национален план Енергетика-Климат на Република България 2021-2030 г. поставя за цел страната да увеличи своя дял на енергия, произведена от възобновяеми енергийни източници, до поне 27%. При изпълнението на тези амбициозни цели този проект ще създаде възможност за изучаване на неизползвания към момента възобновяем източник – геотермалната енергия, и ще създаде условия за ефективно бъдещо използване на неговия потенциал за производство на топлинна и електрическа енергия чрез иновативни системи, осигуряващи чиста енергия за дома, индустрията, селско стопанство, балнеология и туризъм.</w:t>
      </w:r>
    </w:p>
    <w:p w14:paraId="03D4C33C" w14:textId="77777777" w:rsidR="00156973" w:rsidRPr="00156973" w:rsidRDefault="00156973" w:rsidP="00156973">
      <w:pPr>
        <w:spacing w:before="120" w:after="120" w:line="276" w:lineRule="auto"/>
        <w:ind w:firstLine="425"/>
        <w:jc w:val="both"/>
        <w:rPr>
          <w:rFonts w:ascii="Times New Roman" w:hAnsi="Times New Roman" w:cs="Times New Roman"/>
          <w:sz w:val="24"/>
          <w:szCs w:val="24"/>
        </w:rPr>
      </w:pPr>
      <w:r w:rsidRPr="00156973">
        <w:rPr>
          <w:rFonts w:ascii="Times New Roman" w:hAnsi="Times New Roman" w:cs="Times New Roman"/>
          <w:sz w:val="24"/>
          <w:szCs w:val="24"/>
        </w:rPr>
        <w:t xml:space="preserve">Анализът на потенциала за развитие на геотермална енергия на територията на цялата страна ще даде възможност за намиране на решения на съществуващите проблеми, като преодоляване на лошото техническо състояние на повечето от 12-те топлофикационни компании в страната. Развитието на тази технология ще помогне за преодоляване на проблемите, свързани с енергийната бедност и замърсяването на въздуха поради изгарянето на твърди горива, и ще улесни търсенето и прилагането на решения за икономическа диверсификация на местно ниво според геотермалния потенциал в страната. Освен това, създаването на лаборатория за съвременни </w:t>
      </w:r>
      <w:r w:rsidRPr="00156973">
        <w:rPr>
          <w:rFonts w:ascii="Times New Roman" w:hAnsi="Times New Roman" w:cs="Times New Roman"/>
          <w:sz w:val="24"/>
          <w:szCs w:val="24"/>
        </w:rPr>
        <w:lastRenderedPageBreak/>
        <w:t>изследвания, разработки и приложни дейности ще развие експертиза, ще разшири обхвата на изследванията и ще осигури основа за придобиване на качествени знания, умения и компетенции на студенти, изследователи и специалисти в областта на съвременните технологии за производство на електричество, топлина и охлаждане от геотермална и слънчева енергия.</w:t>
      </w:r>
    </w:p>
    <w:p w14:paraId="1452964A" w14:textId="7CAFA592" w:rsidR="00156973" w:rsidRPr="00156973" w:rsidRDefault="00156973" w:rsidP="00156973">
      <w:pPr>
        <w:spacing w:before="120" w:after="120" w:line="276" w:lineRule="auto"/>
        <w:ind w:firstLine="425"/>
        <w:jc w:val="both"/>
        <w:rPr>
          <w:rFonts w:ascii="Times New Roman" w:hAnsi="Times New Roman" w:cs="Times New Roman"/>
          <w:sz w:val="24"/>
          <w:szCs w:val="24"/>
        </w:rPr>
      </w:pPr>
      <w:r w:rsidRPr="00156973">
        <w:rPr>
          <w:rFonts w:ascii="Times New Roman" w:hAnsi="Times New Roman" w:cs="Times New Roman"/>
          <w:sz w:val="24"/>
          <w:szCs w:val="24"/>
        </w:rPr>
        <w:t>Общият планиран ресурс е 343 милиона лева, изцяло за сметка на Механизма за възстановяване и устойчивост с период на изпълнение 2022-2026 г.</w:t>
      </w:r>
    </w:p>
    <w:p w14:paraId="08B3617E" w14:textId="7A111AE0" w:rsidR="00156973" w:rsidRPr="00156973" w:rsidRDefault="00156973" w:rsidP="00156973">
      <w:pPr>
        <w:spacing w:before="120" w:after="120" w:line="276" w:lineRule="auto"/>
        <w:ind w:firstLine="425"/>
        <w:jc w:val="both"/>
        <w:rPr>
          <w:rFonts w:ascii="Times New Roman" w:hAnsi="Times New Roman" w:cs="Times New Roman"/>
          <w:sz w:val="24"/>
          <w:szCs w:val="24"/>
        </w:rPr>
      </w:pPr>
      <w:bookmarkStart w:id="6" w:name="_Hlk121304391"/>
      <w:r w:rsidRPr="00156973">
        <w:rPr>
          <w:rFonts w:ascii="Times New Roman" w:hAnsi="Times New Roman" w:cs="Times New Roman"/>
          <w:sz w:val="24"/>
          <w:szCs w:val="24"/>
        </w:rPr>
        <w:t>В ПВУ е предвидена реализацията на проект с наименование:</w:t>
      </w:r>
      <w:r w:rsidRPr="00156973">
        <w:rPr>
          <w:rFonts w:ascii="Times New Roman" w:hAnsi="Times New Roman" w:cs="Times New Roman"/>
          <w:b/>
          <w:bCs/>
          <w:sz w:val="24"/>
          <w:szCs w:val="24"/>
        </w:rPr>
        <w:t xml:space="preserve"> „Проучвателни дейности и разработване на пилотен проект за комбинирано производство на топлина и електричество от геотермални източници“, </w:t>
      </w:r>
      <w:bookmarkEnd w:id="6"/>
      <w:r w:rsidRPr="00156973">
        <w:rPr>
          <w:rFonts w:ascii="Times New Roman" w:hAnsi="Times New Roman" w:cs="Times New Roman"/>
          <w:sz w:val="24"/>
          <w:szCs w:val="24"/>
        </w:rPr>
        <w:t>който включва:</w:t>
      </w:r>
    </w:p>
    <w:p w14:paraId="74264385" w14:textId="7E93315B" w:rsidR="00156973" w:rsidRPr="00156973" w:rsidRDefault="00156973" w:rsidP="00156973">
      <w:pPr>
        <w:widowControl w:val="0"/>
        <w:pBdr>
          <w:top w:val="nil"/>
          <w:left w:val="nil"/>
          <w:bottom w:val="nil"/>
          <w:right w:val="nil"/>
          <w:between w:val="nil"/>
        </w:pBdr>
        <w:spacing w:before="120" w:after="120" w:line="276" w:lineRule="auto"/>
        <w:ind w:firstLine="425"/>
        <w:jc w:val="both"/>
        <w:rPr>
          <w:rFonts w:ascii="Times New Roman" w:hAnsi="Times New Roman" w:cs="Times New Roman"/>
          <w:b/>
          <w:sz w:val="24"/>
          <w:szCs w:val="24"/>
        </w:rPr>
      </w:pPr>
      <w:r w:rsidRPr="00156973">
        <w:rPr>
          <w:rFonts w:ascii="Times New Roman" w:hAnsi="Times New Roman" w:cs="Times New Roman"/>
          <w:b/>
          <w:sz w:val="24"/>
          <w:szCs w:val="24"/>
        </w:rPr>
        <w:t xml:space="preserve">1) </w:t>
      </w:r>
      <w:r w:rsidRPr="00156973">
        <w:rPr>
          <w:rFonts w:ascii="Times New Roman" w:hAnsi="Times New Roman" w:cs="Times New Roman"/>
          <w:b/>
          <w:sz w:val="24"/>
          <w:szCs w:val="24"/>
        </w:rPr>
        <w:t>Пилотен проект за оползотворяване на геотермална енергия</w:t>
      </w:r>
    </w:p>
    <w:p w14:paraId="12A5579B" w14:textId="77777777" w:rsidR="00156973" w:rsidRPr="00156973" w:rsidRDefault="00156973" w:rsidP="00156973">
      <w:pPr>
        <w:spacing w:before="120" w:after="120" w:line="276" w:lineRule="auto"/>
        <w:ind w:firstLine="425"/>
        <w:jc w:val="both"/>
        <w:rPr>
          <w:rFonts w:ascii="Times New Roman" w:hAnsi="Times New Roman" w:cs="Times New Roman"/>
          <w:sz w:val="24"/>
          <w:szCs w:val="24"/>
        </w:rPr>
      </w:pPr>
      <w:r w:rsidRPr="00156973">
        <w:rPr>
          <w:rFonts w:ascii="Times New Roman" w:hAnsi="Times New Roman" w:cs="Times New Roman"/>
          <w:sz w:val="24"/>
          <w:szCs w:val="24"/>
        </w:rPr>
        <w:t xml:space="preserve">В ПВУ е предвидено разработване на пилотен проект за оползотворяване на геотермална енергия. </w:t>
      </w:r>
    </w:p>
    <w:p w14:paraId="6C1E9465" w14:textId="77777777" w:rsidR="00156973" w:rsidRPr="00156973" w:rsidRDefault="00156973" w:rsidP="00156973">
      <w:pPr>
        <w:spacing w:before="120" w:after="120" w:line="276" w:lineRule="auto"/>
        <w:ind w:firstLine="425"/>
        <w:jc w:val="both"/>
        <w:rPr>
          <w:rFonts w:ascii="Times New Roman" w:hAnsi="Times New Roman" w:cs="Times New Roman"/>
          <w:sz w:val="24"/>
          <w:szCs w:val="24"/>
        </w:rPr>
      </w:pPr>
      <w:r w:rsidRPr="00156973">
        <w:rPr>
          <w:rFonts w:ascii="Times New Roman" w:hAnsi="Times New Roman" w:cs="Times New Roman"/>
          <w:sz w:val="24"/>
          <w:szCs w:val="24"/>
        </w:rPr>
        <w:t xml:space="preserve">Актуализирането на информацията за енергийния потенциал на геотермалната енергия включва идентификация на достъпните за усвояване количества, както и съответните качества на геотермалните води налични в страната, и 3D сеизмично картиране на дълбоки геотермални резервоари осигуряващи условия за производство и на електричество. </w:t>
      </w:r>
    </w:p>
    <w:p w14:paraId="6C2FE4A5" w14:textId="77777777" w:rsidR="00156973" w:rsidRPr="00156973" w:rsidRDefault="00156973" w:rsidP="00156973">
      <w:pPr>
        <w:spacing w:before="120" w:after="120" w:line="276" w:lineRule="auto"/>
        <w:ind w:firstLine="425"/>
        <w:jc w:val="both"/>
        <w:rPr>
          <w:rFonts w:ascii="Times New Roman" w:hAnsi="Times New Roman" w:cs="Times New Roman"/>
          <w:sz w:val="24"/>
          <w:szCs w:val="24"/>
        </w:rPr>
      </w:pPr>
      <w:r w:rsidRPr="00156973">
        <w:rPr>
          <w:rFonts w:ascii="Times New Roman" w:hAnsi="Times New Roman" w:cs="Times New Roman"/>
          <w:sz w:val="24"/>
          <w:szCs w:val="24"/>
        </w:rPr>
        <w:t xml:space="preserve">Предварителните проучвания и научни изследвания предвиждат максимална мощност на централата за производство на електричество до  30 MW електрическа и до  65 MW топлинна енергия. Предвижданото проектно решение ще бъде съобразено със съвременните технологични решения и реалните икономически и социални потребности на района, в който пилотната система ще бъде осъществена. </w:t>
      </w:r>
    </w:p>
    <w:p w14:paraId="046374D2" w14:textId="77777777" w:rsidR="00156973" w:rsidRPr="00156973" w:rsidRDefault="00156973" w:rsidP="00156973">
      <w:pPr>
        <w:spacing w:before="120" w:after="120" w:line="276" w:lineRule="auto"/>
        <w:ind w:firstLine="425"/>
        <w:jc w:val="both"/>
        <w:rPr>
          <w:rFonts w:ascii="Times New Roman" w:hAnsi="Times New Roman" w:cs="Times New Roman"/>
          <w:sz w:val="24"/>
          <w:szCs w:val="24"/>
        </w:rPr>
      </w:pPr>
      <w:r w:rsidRPr="00156973">
        <w:rPr>
          <w:rFonts w:ascii="Times New Roman" w:hAnsi="Times New Roman" w:cs="Times New Roman"/>
          <w:sz w:val="24"/>
          <w:szCs w:val="24"/>
        </w:rPr>
        <w:t xml:space="preserve">Пилотния проект на централа за комбинирано производство на електричество и топлина ще бъде разработен на основата на анализ на условията в следните потенциални локации в България според резултатите от проучванията: </w:t>
      </w:r>
    </w:p>
    <w:p w14:paraId="76855EE6" w14:textId="77777777" w:rsidR="00156973" w:rsidRPr="00156973" w:rsidRDefault="00156973" w:rsidP="00156973">
      <w:pPr>
        <w:spacing w:before="120" w:after="120" w:line="276" w:lineRule="auto"/>
        <w:ind w:firstLine="425"/>
        <w:jc w:val="both"/>
        <w:rPr>
          <w:rFonts w:ascii="Times New Roman" w:hAnsi="Times New Roman" w:cs="Times New Roman"/>
          <w:sz w:val="24"/>
          <w:szCs w:val="24"/>
        </w:rPr>
      </w:pPr>
      <w:r w:rsidRPr="00156973">
        <w:rPr>
          <w:rFonts w:ascii="Times New Roman" w:hAnsi="Times New Roman" w:cs="Times New Roman"/>
          <w:sz w:val="24"/>
          <w:szCs w:val="24"/>
        </w:rPr>
        <w:t>А. Поречието на река Струма</w:t>
      </w:r>
    </w:p>
    <w:p w14:paraId="759689C0" w14:textId="77777777" w:rsidR="00156973" w:rsidRPr="00156973" w:rsidRDefault="00156973" w:rsidP="00156973">
      <w:pPr>
        <w:spacing w:before="120" w:after="120" w:line="276" w:lineRule="auto"/>
        <w:ind w:firstLine="425"/>
        <w:jc w:val="both"/>
        <w:rPr>
          <w:rFonts w:ascii="Times New Roman" w:hAnsi="Times New Roman" w:cs="Times New Roman"/>
          <w:sz w:val="24"/>
          <w:szCs w:val="24"/>
        </w:rPr>
      </w:pPr>
      <w:r w:rsidRPr="00156973">
        <w:rPr>
          <w:rFonts w:ascii="Times New Roman" w:hAnsi="Times New Roman" w:cs="Times New Roman"/>
          <w:sz w:val="24"/>
          <w:szCs w:val="24"/>
        </w:rPr>
        <w:t>Б. Софийско поле и гр. Сапарева Баня,</w:t>
      </w:r>
    </w:p>
    <w:p w14:paraId="2B2F6FAE" w14:textId="77777777" w:rsidR="00156973" w:rsidRPr="00156973" w:rsidRDefault="00156973" w:rsidP="00156973">
      <w:pPr>
        <w:spacing w:before="120" w:after="120" w:line="276" w:lineRule="auto"/>
        <w:ind w:firstLine="425"/>
        <w:jc w:val="both"/>
        <w:rPr>
          <w:rFonts w:ascii="Times New Roman" w:hAnsi="Times New Roman" w:cs="Times New Roman"/>
          <w:sz w:val="24"/>
          <w:szCs w:val="24"/>
        </w:rPr>
      </w:pPr>
      <w:r w:rsidRPr="00156973">
        <w:rPr>
          <w:rFonts w:ascii="Times New Roman" w:hAnsi="Times New Roman" w:cs="Times New Roman"/>
          <w:sz w:val="24"/>
          <w:szCs w:val="24"/>
        </w:rPr>
        <w:t>В. гр. Пазарджик и гр. Пловдив</w:t>
      </w:r>
    </w:p>
    <w:p w14:paraId="55DC3376" w14:textId="77777777" w:rsidR="00156973" w:rsidRPr="00156973" w:rsidRDefault="00156973" w:rsidP="00156973">
      <w:pPr>
        <w:spacing w:before="120" w:after="120" w:line="276" w:lineRule="auto"/>
        <w:ind w:firstLine="425"/>
        <w:jc w:val="both"/>
        <w:rPr>
          <w:rFonts w:ascii="Times New Roman" w:hAnsi="Times New Roman" w:cs="Times New Roman"/>
          <w:sz w:val="24"/>
          <w:szCs w:val="24"/>
        </w:rPr>
      </w:pPr>
      <w:r w:rsidRPr="00156973">
        <w:rPr>
          <w:rFonts w:ascii="Times New Roman" w:hAnsi="Times New Roman" w:cs="Times New Roman"/>
          <w:sz w:val="24"/>
          <w:szCs w:val="24"/>
        </w:rPr>
        <w:t>Г. Поречието на р. Ерма</w:t>
      </w:r>
    </w:p>
    <w:p w14:paraId="7BAF1A1E" w14:textId="77777777" w:rsidR="00156973" w:rsidRPr="00156973" w:rsidRDefault="00156973" w:rsidP="00156973">
      <w:pPr>
        <w:spacing w:before="120" w:after="120" w:line="276" w:lineRule="auto"/>
        <w:ind w:firstLine="425"/>
        <w:jc w:val="both"/>
        <w:rPr>
          <w:rFonts w:ascii="Times New Roman" w:hAnsi="Times New Roman" w:cs="Times New Roman"/>
          <w:sz w:val="24"/>
          <w:szCs w:val="24"/>
        </w:rPr>
      </w:pPr>
      <w:r w:rsidRPr="00156973">
        <w:rPr>
          <w:rFonts w:ascii="Times New Roman" w:hAnsi="Times New Roman" w:cs="Times New Roman"/>
          <w:sz w:val="24"/>
          <w:szCs w:val="24"/>
        </w:rPr>
        <w:t>Д. Регионите около гр. Враца и гр. Ловеч</w:t>
      </w:r>
    </w:p>
    <w:p w14:paraId="0789F274" w14:textId="77777777" w:rsidR="00156973" w:rsidRPr="00156973" w:rsidRDefault="00156973" w:rsidP="00156973">
      <w:pPr>
        <w:spacing w:before="120" w:after="120" w:line="276" w:lineRule="auto"/>
        <w:ind w:firstLine="425"/>
        <w:jc w:val="both"/>
        <w:rPr>
          <w:rFonts w:ascii="Times New Roman" w:hAnsi="Times New Roman" w:cs="Times New Roman"/>
          <w:sz w:val="24"/>
          <w:szCs w:val="24"/>
        </w:rPr>
      </w:pPr>
      <w:r w:rsidRPr="00156973">
        <w:rPr>
          <w:rFonts w:ascii="Times New Roman" w:hAnsi="Times New Roman" w:cs="Times New Roman"/>
          <w:sz w:val="24"/>
          <w:szCs w:val="24"/>
        </w:rPr>
        <w:t>Е. Региона около гр. Варна,</w:t>
      </w:r>
    </w:p>
    <w:p w14:paraId="522701DD" w14:textId="7B1F25A8" w:rsidR="00156973" w:rsidRPr="00156973" w:rsidRDefault="00156973" w:rsidP="00156973">
      <w:pPr>
        <w:spacing w:before="120" w:after="120" w:line="276" w:lineRule="auto"/>
        <w:ind w:firstLine="425"/>
        <w:jc w:val="both"/>
        <w:rPr>
          <w:rFonts w:ascii="Times New Roman" w:hAnsi="Times New Roman" w:cs="Times New Roman"/>
          <w:sz w:val="24"/>
          <w:szCs w:val="24"/>
        </w:rPr>
      </w:pPr>
      <w:r w:rsidRPr="00156973">
        <w:rPr>
          <w:rFonts w:ascii="Times New Roman" w:hAnsi="Times New Roman" w:cs="Times New Roman"/>
          <w:sz w:val="24"/>
          <w:szCs w:val="24"/>
        </w:rPr>
        <w:t xml:space="preserve">В световната практика съществуват различни технологични решения за преобразуване на геотермалната енергия в електричество, разделени в четири групи: </w:t>
      </w:r>
      <w:proofErr w:type="spellStart"/>
      <w:r w:rsidRPr="00156973">
        <w:rPr>
          <w:rFonts w:ascii="Times New Roman" w:hAnsi="Times New Roman" w:cs="Times New Roman"/>
          <w:sz w:val="24"/>
          <w:szCs w:val="24"/>
        </w:rPr>
        <w:lastRenderedPageBreak/>
        <w:t>пароструйни</w:t>
      </w:r>
      <w:proofErr w:type="spellEnd"/>
      <w:r w:rsidRPr="00156973">
        <w:rPr>
          <w:rFonts w:ascii="Times New Roman" w:hAnsi="Times New Roman" w:cs="Times New Roman"/>
          <w:sz w:val="24"/>
          <w:szCs w:val="24"/>
        </w:rPr>
        <w:t xml:space="preserve">; </w:t>
      </w:r>
      <w:proofErr w:type="spellStart"/>
      <w:r w:rsidRPr="00156973">
        <w:rPr>
          <w:rFonts w:ascii="Times New Roman" w:hAnsi="Times New Roman" w:cs="Times New Roman"/>
          <w:sz w:val="24"/>
          <w:szCs w:val="24"/>
        </w:rPr>
        <w:t>газоструйни</w:t>
      </w:r>
      <w:proofErr w:type="spellEnd"/>
      <w:r w:rsidRPr="00156973">
        <w:rPr>
          <w:rFonts w:ascii="Times New Roman" w:hAnsi="Times New Roman" w:cs="Times New Roman"/>
          <w:sz w:val="24"/>
          <w:szCs w:val="24"/>
        </w:rPr>
        <w:t xml:space="preserve">; бинарни и комбинирани схеми. Най-широко разпространени са бинарните решения, които оперират с два затворени технологични кръга. В единия кръг циркулира  геотермалният топлоносител, а във втория – флуид с ниска температура на кипене. Във връзка с предходни научни проучвания на геотермалните находища (полета) в България, най-подходяща се оценява бинарната технологична концепция, която е и най-новата прилагана технология в световен мащаб. Самата геотермална централа представлява схема за извличане на топлина, състояща се от два сондажа – експлоатационен (засмукващ) и </w:t>
      </w:r>
      <w:proofErr w:type="spellStart"/>
      <w:r w:rsidRPr="00156973">
        <w:rPr>
          <w:rFonts w:ascii="Times New Roman" w:hAnsi="Times New Roman" w:cs="Times New Roman"/>
          <w:sz w:val="24"/>
          <w:szCs w:val="24"/>
        </w:rPr>
        <w:t>нагнетателен</w:t>
      </w:r>
      <w:proofErr w:type="spellEnd"/>
      <w:r w:rsidRPr="00156973">
        <w:rPr>
          <w:rFonts w:ascii="Times New Roman" w:hAnsi="Times New Roman" w:cs="Times New Roman"/>
          <w:sz w:val="24"/>
          <w:szCs w:val="24"/>
        </w:rPr>
        <w:t xml:space="preserve"> (ре-инжекционен),  които се наричат дублетна схема (дублет). Обикновено такава схема работи с един и същ дебит за двата сондажа. </w:t>
      </w:r>
    </w:p>
    <w:p w14:paraId="74F49876" w14:textId="49181943" w:rsidR="00156973" w:rsidRPr="00156973" w:rsidRDefault="00156973" w:rsidP="00156973">
      <w:pPr>
        <w:widowControl w:val="0"/>
        <w:pBdr>
          <w:top w:val="nil"/>
          <w:left w:val="nil"/>
          <w:bottom w:val="nil"/>
          <w:right w:val="nil"/>
          <w:between w:val="nil"/>
        </w:pBdr>
        <w:spacing w:before="120" w:after="120" w:line="276" w:lineRule="auto"/>
        <w:ind w:firstLine="425"/>
        <w:jc w:val="both"/>
        <w:rPr>
          <w:rFonts w:ascii="Times New Roman" w:hAnsi="Times New Roman" w:cs="Times New Roman"/>
          <w:b/>
          <w:sz w:val="24"/>
          <w:szCs w:val="24"/>
        </w:rPr>
      </w:pPr>
      <w:r w:rsidRPr="00156973">
        <w:rPr>
          <w:rFonts w:ascii="Times New Roman" w:hAnsi="Times New Roman" w:cs="Times New Roman"/>
          <w:b/>
          <w:sz w:val="24"/>
          <w:szCs w:val="24"/>
        </w:rPr>
        <w:t>2) Изграждане на специализирана лаборатория за развойна и приложна изследователска дейност</w:t>
      </w:r>
    </w:p>
    <w:p w14:paraId="66753AF4" w14:textId="77777777" w:rsidR="00156973" w:rsidRPr="00156973" w:rsidRDefault="00156973" w:rsidP="00156973">
      <w:pPr>
        <w:spacing w:before="120" w:after="120" w:line="276" w:lineRule="auto"/>
        <w:ind w:firstLine="425"/>
        <w:jc w:val="both"/>
        <w:rPr>
          <w:rFonts w:ascii="Times New Roman" w:hAnsi="Times New Roman" w:cs="Times New Roman"/>
          <w:sz w:val="24"/>
          <w:szCs w:val="24"/>
        </w:rPr>
      </w:pPr>
      <w:r w:rsidRPr="00156973">
        <w:rPr>
          <w:rFonts w:ascii="Times New Roman" w:hAnsi="Times New Roman" w:cs="Times New Roman"/>
        </w:rPr>
        <w:t xml:space="preserve">ПВУ предвижда и изграждане на специализирана </w:t>
      </w:r>
      <w:r w:rsidRPr="00156973">
        <w:rPr>
          <w:rFonts w:ascii="Times New Roman" w:hAnsi="Times New Roman" w:cs="Times New Roman"/>
          <w:sz w:val="24"/>
          <w:szCs w:val="24"/>
        </w:rPr>
        <w:t xml:space="preserve">лаборатория за развойна и приложна изследователска дейност към Технически Университет – София или Минно-геоложки университет – София за геотермални изследване и обучение по комбинирани системи за оползотворяване на геотермална енергия </w:t>
      </w:r>
    </w:p>
    <w:p w14:paraId="3A639176" w14:textId="77777777" w:rsidR="00156973" w:rsidRPr="00156973" w:rsidRDefault="00156973" w:rsidP="00156973">
      <w:pPr>
        <w:spacing w:before="120" w:after="120" w:line="276" w:lineRule="auto"/>
        <w:ind w:firstLine="425"/>
        <w:jc w:val="both"/>
        <w:rPr>
          <w:rFonts w:ascii="Times New Roman" w:hAnsi="Times New Roman" w:cs="Times New Roman"/>
          <w:sz w:val="24"/>
          <w:szCs w:val="24"/>
        </w:rPr>
      </w:pPr>
      <w:r w:rsidRPr="00156973">
        <w:rPr>
          <w:rFonts w:ascii="Times New Roman" w:hAnsi="Times New Roman" w:cs="Times New Roman"/>
          <w:sz w:val="24"/>
          <w:szCs w:val="24"/>
        </w:rPr>
        <w:t xml:space="preserve">Към Техническия Университет – София (ТУ-София) има създаден Център за енергийни анализи (ЦЕА). В ЦЕА се провеждат изследвания и се разработват проекти в областта на енергийната ефективност и възобновяемите енергийни източници. До сега са разработени над 150 проекта (основно български и 22 международни). Разработките включват сградни системи за отопление, вентилация и климатизация, централизирано топлоснабдяване, абонатни станции, промишлени топлотехнически системи, системи за използване на възобновяеми енергийни източници, обследване за енергийна ефективност и енергийно сертифициране на сгради, оценка на потенциала за намаляване на разходите за енергия и технико-икономическа оценка на енергоспестяващи мерки, разработване на общински планове и програми за оползотворяване на ВЕИ и енергийна ефективност, оценки за съответствие с изискванията за енергийна ефективност. Екипът на ЦЕА е квалифициран и притежава необходимите сертификати, вкл. по енергиен мениджмънт. Същият екип е в основата на разработените и провеждани в България курсове за обучение на експерти по енергийна ефективност в съответствие с изискванията на Закона за енергийната ефективност (ЗЕЕ). </w:t>
      </w:r>
    </w:p>
    <w:p w14:paraId="18D02826" w14:textId="77777777" w:rsidR="00156973" w:rsidRPr="00156973" w:rsidRDefault="00156973" w:rsidP="00156973">
      <w:pPr>
        <w:spacing w:before="120" w:after="120" w:line="276" w:lineRule="auto"/>
        <w:ind w:firstLine="425"/>
        <w:jc w:val="both"/>
        <w:rPr>
          <w:rFonts w:ascii="Times New Roman" w:hAnsi="Times New Roman" w:cs="Times New Roman"/>
          <w:sz w:val="24"/>
          <w:szCs w:val="24"/>
        </w:rPr>
      </w:pPr>
      <w:r w:rsidRPr="00156973">
        <w:rPr>
          <w:rFonts w:ascii="Times New Roman" w:hAnsi="Times New Roman" w:cs="Times New Roman"/>
          <w:sz w:val="24"/>
          <w:szCs w:val="24"/>
        </w:rPr>
        <w:t xml:space="preserve">С изграждане на лаборатория за съвременна научноизследователска, развойна и приложна дейност, интегрирана и като учебна лаборатория по геотермална енергия в ТУ-София, ще се постигне развитие на експертния капацитет, разширяване на обхвата за научни изследвания и предоставяне на база за придобиване на качествени знания, умения и компетентности от студенти, научни работници и професионалисти в областта на съвременните технологии за производство на електричество, топлина и студ от геотермална енергия и от слънчева енергия </w:t>
      </w:r>
    </w:p>
    <w:p w14:paraId="04A0E9D6" w14:textId="77777777" w:rsidR="00156973" w:rsidRPr="00156973" w:rsidRDefault="00156973" w:rsidP="00156973">
      <w:pPr>
        <w:spacing w:before="120" w:after="120" w:line="276" w:lineRule="auto"/>
        <w:ind w:firstLine="425"/>
        <w:jc w:val="both"/>
        <w:rPr>
          <w:rFonts w:ascii="Times New Roman" w:hAnsi="Times New Roman" w:cs="Times New Roman"/>
          <w:sz w:val="24"/>
          <w:szCs w:val="24"/>
        </w:rPr>
      </w:pPr>
      <w:r w:rsidRPr="00156973">
        <w:rPr>
          <w:rFonts w:ascii="Times New Roman" w:hAnsi="Times New Roman" w:cs="Times New Roman"/>
          <w:sz w:val="24"/>
          <w:szCs w:val="24"/>
        </w:rPr>
        <w:lastRenderedPageBreak/>
        <w:t xml:space="preserve">Бенефициент по тези проекти се планира да бъде Министерство на енергетиката чрез проектна компания / главен изпълнител.   </w:t>
      </w:r>
    </w:p>
    <w:p w14:paraId="2C377AC7" w14:textId="274D9549" w:rsidR="00156973" w:rsidRDefault="00156973" w:rsidP="00156973">
      <w:pPr>
        <w:spacing w:before="120" w:after="120" w:line="276" w:lineRule="auto"/>
        <w:ind w:firstLine="425"/>
        <w:jc w:val="both"/>
        <w:rPr>
          <w:rFonts w:ascii="Times New Roman" w:hAnsi="Times New Roman" w:cs="Times New Roman"/>
          <w:sz w:val="24"/>
          <w:szCs w:val="24"/>
        </w:rPr>
      </w:pPr>
      <w:r w:rsidRPr="00156973">
        <w:rPr>
          <w:rFonts w:ascii="Times New Roman" w:hAnsi="Times New Roman" w:cs="Times New Roman"/>
          <w:sz w:val="24"/>
          <w:szCs w:val="24"/>
        </w:rPr>
        <w:t xml:space="preserve">За осъществяване на целите на проекта е необходимо да бъдат изпълнени по етапи следните основни дейности: </w:t>
      </w:r>
    </w:p>
    <w:p w14:paraId="54BF8B63" w14:textId="60C2824B" w:rsidR="00156973" w:rsidRPr="00156973" w:rsidRDefault="00156973" w:rsidP="00156973">
      <w:pPr>
        <w:pStyle w:val="ListParagraph"/>
        <w:numPr>
          <w:ilvl w:val="0"/>
          <w:numId w:val="5"/>
        </w:numPr>
        <w:spacing w:before="120" w:after="120" w:line="276" w:lineRule="auto"/>
        <w:contextualSpacing w:val="0"/>
        <w:jc w:val="both"/>
        <w:rPr>
          <w:rFonts w:ascii="Times New Roman" w:hAnsi="Times New Roman" w:cs="Times New Roman"/>
          <w:sz w:val="24"/>
          <w:szCs w:val="24"/>
        </w:rPr>
      </w:pPr>
      <w:proofErr w:type="spellStart"/>
      <w:r w:rsidRPr="00156973">
        <w:rPr>
          <w:rFonts w:ascii="Times New Roman" w:hAnsi="Times New Roman" w:cs="Times New Roman"/>
          <w:sz w:val="24"/>
          <w:szCs w:val="24"/>
        </w:rPr>
        <w:t>Eтап</w:t>
      </w:r>
      <w:proofErr w:type="spellEnd"/>
      <w:r w:rsidRPr="00156973">
        <w:rPr>
          <w:rFonts w:ascii="Times New Roman" w:hAnsi="Times New Roman" w:cs="Times New Roman"/>
          <w:sz w:val="24"/>
          <w:szCs w:val="24"/>
        </w:rPr>
        <w:t xml:space="preserve"> 1: Избор на компания, която ще управлява проекта</w:t>
      </w:r>
      <w:r>
        <w:rPr>
          <w:rFonts w:ascii="Times New Roman" w:hAnsi="Times New Roman" w:cs="Times New Roman"/>
          <w:sz w:val="24"/>
          <w:szCs w:val="24"/>
          <w:lang w:val="en-GB"/>
        </w:rPr>
        <w:t>;</w:t>
      </w:r>
    </w:p>
    <w:p w14:paraId="53533625" w14:textId="01535231" w:rsidR="00156973" w:rsidRPr="00156973" w:rsidRDefault="00156973" w:rsidP="00156973">
      <w:pPr>
        <w:pStyle w:val="ListParagraph"/>
        <w:numPr>
          <w:ilvl w:val="0"/>
          <w:numId w:val="5"/>
        </w:numPr>
        <w:spacing w:before="120" w:after="120" w:line="276" w:lineRule="auto"/>
        <w:contextualSpacing w:val="0"/>
        <w:jc w:val="both"/>
        <w:rPr>
          <w:rFonts w:ascii="Times New Roman" w:hAnsi="Times New Roman" w:cs="Times New Roman"/>
          <w:sz w:val="24"/>
          <w:szCs w:val="24"/>
        </w:rPr>
      </w:pPr>
      <w:r w:rsidRPr="00156973">
        <w:rPr>
          <w:rFonts w:ascii="Times New Roman" w:hAnsi="Times New Roman" w:cs="Times New Roman"/>
          <w:sz w:val="24"/>
          <w:szCs w:val="24"/>
        </w:rPr>
        <w:t>Етап 2 - Проучване и разработване</w:t>
      </w:r>
      <w:r>
        <w:rPr>
          <w:rFonts w:ascii="Times New Roman" w:hAnsi="Times New Roman" w:cs="Times New Roman"/>
          <w:sz w:val="24"/>
          <w:szCs w:val="24"/>
          <w:lang w:val="en-GB"/>
        </w:rPr>
        <w:t>;</w:t>
      </w:r>
    </w:p>
    <w:p w14:paraId="3A5119D6" w14:textId="25840727" w:rsidR="00156973" w:rsidRPr="00156973" w:rsidRDefault="00156973" w:rsidP="00156973">
      <w:pPr>
        <w:pStyle w:val="ListParagraph"/>
        <w:numPr>
          <w:ilvl w:val="0"/>
          <w:numId w:val="5"/>
        </w:numPr>
        <w:spacing w:before="120" w:after="120" w:line="276" w:lineRule="auto"/>
        <w:contextualSpacing w:val="0"/>
        <w:jc w:val="both"/>
        <w:rPr>
          <w:rFonts w:ascii="Times New Roman" w:hAnsi="Times New Roman" w:cs="Times New Roman"/>
          <w:sz w:val="24"/>
          <w:szCs w:val="24"/>
        </w:rPr>
      </w:pPr>
      <w:r w:rsidRPr="00156973">
        <w:rPr>
          <w:rFonts w:ascii="Times New Roman" w:hAnsi="Times New Roman" w:cs="Times New Roman"/>
          <w:sz w:val="24"/>
          <w:szCs w:val="24"/>
        </w:rPr>
        <w:t>Етап 3 Проучвателно сондиране</w:t>
      </w:r>
      <w:r>
        <w:rPr>
          <w:rFonts w:ascii="Times New Roman" w:hAnsi="Times New Roman" w:cs="Times New Roman"/>
          <w:sz w:val="24"/>
          <w:szCs w:val="24"/>
          <w:lang w:val="en-GB"/>
        </w:rPr>
        <w:t>;</w:t>
      </w:r>
    </w:p>
    <w:p w14:paraId="5458EBE6" w14:textId="77777777" w:rsidR="00156973" w:rsidRPr="00156973" w:rsidRDefault="00156973" w:rsidP="00156973">
      <w:pPr>
        <w:pStyle w:val="ListParagraph"/>
        <w:numPr>
          <w:ilvl w:val="0"/>
          <w:numId w:val="5"/>
        </w:numPr>
        <w:spacing w:before="120" w:after="120" w:line="276" w:lineRule="auto"/>
        <w:contextualSpacing w:val="0"/>
        <w:jc w:val="both"/>
        <w:rPr>
          <w:rFonts w:ascii="Times New Roman" w:hAnsi="Times New Roman" w:cs="Times New Roman"/>
          <w:sz w:val="24"/>
          <w:szCs w:val="24"/>
        </w:rPr>
      </w:pPr>
      <w:r w:rsidRPr="00156973">
        <w:rPr>
          <w:rFonts w:ascii="Times New Roman" w:hAnsi="Times New Roman" w:cs="Times New Roman"/>
          <w:sz w:val="24"/>
          <w:szCs w:val="24"/>
        </w:rPr>
        <w:t>Етап 4 Подготвителен етап (включва Пред-инвестиционно проучване, провеждане на всички задължителни процедури по издаване на необходимите разрешителни, подготовка на тръжните процедури за възлагане на Инженеринг на Геотермална електрическа централа (ГТЕЦ), пред-проектно проучване и изготвяне на технически/работни проекти);</w:t>
      </w:r>
    </w:p>
    <w:p w14:paraId="725EC97E" w14:textId="5932FFC9" w:rsidR="00156973" w:rsidRPr="00156973" w:rsidRDefault="00156973" w:rsidP="00156973">
      <w:pPr>
        <w:pStyle w:val="ListParagraph"/>
        <w:numPr>
          <w:ilvl w:val="0"/>
          <w:numId w:val="5"/>
        </w:numPr>
        <w:spacing w:before="120" w:after="120" w:line="276" w:lineRule="auto"/>
        <w:contextualSpacing w:val="0"/>
        <w:jc w:val="both"/>
        <w:rPr>
          <w:rFonts w:ascii="Times New Roman" w:hAnsi="Times New Roman" w:cs="Times New Roman"/>
          <w:sz w:val="24"/>
          <w:szCs w:val="24"/>
        </w:rPr>
      </w:pPr>
      <w:r w:rsidRPr="00156973">
        <w:rPr>
          <w:rFonts w:ascii="Times New Roman" w:hAnsi="Times New Roman" w:cs="Times New Roman"/>
          <w:sz w:val="24"/>
          <w:szCs w:val="24"/>
        </w:rPr>
        <w:t>Етап 5 . Изграждане</w:t>
      </w:r>
      <w:r>
        <w:rPr>
          <w:rFonts w:ascii="Times New Roman" w:hAnsi="Times New Roman" w:cs="Times New Roman"/>
          <w:sz w:val="24"/>
          <w:szCs w:val="24"/>
          <w:lang w:val="en-GB"/>
        </w:rPr>
        <w:t>.</w:t>
      </w:r>
    </w:p>
    <w:p w14:paraId="53407943" w14:textId="3898410F" w:rsidR="00156973" w:rsidRDefault="00156973" w:rsidP="00156973">
      <w:pPr>
        <w:spacing w:before="120" w:after="120" w:line="276" w:lineRule="auto"/>
        <w:ind w:firstLine="425"/>
        <w:jc w:val="both"/>
        <w:rPr>
          <w:rFonts w:ascii="Times New Roman" w:hAnsi="Times New Roman" w:cs="Times New Roman"/>
          <w:sz w:val="24"/>
          <w:szCs w:val="24"/>
        </w:rPr>
      </w:pPr>
      <w:r w:rsidRPr="00156973">
        <w:rPr>
          <w:rFonts w:ascii="Times New Roman" w:hAnsi="Times New Roman" w:cs="Times New Roman"/>
          <w:sz w:val="24"/>
          <w:szCs w:val="24"/>
        </w:rPr>
        <w:t>Общият размер на инвестицията възлиза на € 175 400 000 без ДДС и с включени 7.00% непредвидени разходи върху строителната част. Сумата на разходите за дейностите по етапи   са следните:</w:t>
      </w:r>
    </w:p>
    <w:p w14:paraId="18CBE58D" w14:textId="7266F7D6" w:rsidR="00156973" w:rsidRPr="00586A10" w:rsidRDefault="00156973" w:rsidP="00156973">
      <w:pPr>
        <w:pStyle w:val="ListParagraph"/>
        <w:numPr>
          <w:ilvl w:val="0"/>
          <w:numId w:val="5"/>
        </w:numPr>
        <w:spacing w:before="120" w:after="120" w:line="276" w:lineRule="auto"/>
        <w:contextualSpacing w:val="0"/>
        <w:jc w:val="both"/>
        <w:rPr>
          <w:rFonts w:ascii="Times New Roman" w:hAnsi="Times New Roman" w:cs="Times New Roman"/>
          <w:sz w:val="24"/>
          <w:szCs w:val="24"/>
        </w:rPr>
      </w:pPr>
      <w:r w:rsidRPr="00586A10">
        <w:rPr>
          <w:rFonts w:ascii="Times New Roman" w:hAnsi="Times New Roman" w:cs="Times New Roman"/>
          <w:sz w:val="24"/>
          <w:szCs w:val="24"/>
        </w:rPr>
        <w:t xml:space="preserve">Етап 1 - € </w:t>
      </w:r>
      <w:r w:rsidRPr="00156973">
        <w:rPr>
          <w:rFonts w:ascii="Times New Roman" w:hAnsi="Times New Roman" w:cs="Times New Roman"/>
          <w:sz w:val="24"/>
          <w:szCs w:val="24"/>
        </w:rPr>
        <w:t>6 9</w:t>
      </w:r>
      <w:r w:rsidRPr="00586A10">
        <w:rPr>
          <w:rFonts w:ascii="Times New Roman" w:hAnsi="Times New Roman" w:cs="Times New Roman"/>
          <w:sz w:val="24"/>
          <w:szCs w:val="24"/>
        </w:rPr>
        <w:t>00 000 без ДДС</w:t>
      </w:r>
      <w:r>
        <w:rPr>
          <w:rFonts w:ascii="Times New Roman" w:hAnsi="Times New Roman" w:cs="Times New Roman"/>
          <w:sz w:val="24"/>
          <w:szCs w:val="24"/>
          <w:lang w:val="en-GB"/>
        </w:rPr>
        <w:t>;</w:t>
      </w:r>
      <w:r w:rsidRPr="00586A10">
        <w:rPr>
          <w:rFonts w:ascii="Times New Roman" w:hAnsi="Times New Roman" w:cs="Times New Roman"/>
          <w:sz w:val="24"/>
          <w:szCs w:val="24"/>
        </w:rPr>
        <w:t xml:space="preserve"> </w:t>
      </w:r>
    </w:p>
    <w:p w14:paraId="61321BE0" w14:textId="733EC573" w:rsidR="00156973" w:rsidRPr="00586A10" w:rsidRDefault="00156973" w:rsidP="00156973">
      <w:pPr>
        <w:pStyle w:val="ListParagraph"/>
        <w:numPr>
          <w:ilvl w:val="0"/>
          <w:numId w:val="5"/>
        </w:numPr>
        <w:spacing w:before="120" w:after="120" w:line="276" w:lineRule="auto"/>
        <w:contextualSpacing w:val="0"/>
        <w:jc w:val="both"/>
        <w:rPr>
          <w:rFonts w:ascii="Times New Roman" w:hAnsi="Times New Roman" w:cs="Times New Roman"/>
          <w:sz w:val="24"/>
          <w:szCs w:val="24"/>
        </w:rPr>
      </w:pPr>
      <w:r w:rsidRPr="00586A10">
        <w:rPr>
          <w:rFonts w:ascii="Times New Roman" w:hAnsi="Times New Roman" w:cs="Times New Roman"/>
          <w:sz w:val="24"/>
          <w:szCs w:val="24"/>
        </w:rPr>
        <w:t xml:space="preserve">Етап 2 - € </w:t>
      </w:r>
      <w:r w:rsidRPr="00156973">
        <w:rPr>
          <w:rFonts w:ascii="Times New Roman" w:hAnsi="Times New Roman" w:cs="Times New Roman"/>
          <w:sz w:val="24"/>
          <w:szCs w:val="24"/>
        </w:rPr>
        <w:t>13 900 000</w:t>
      </w:r>
      <w:r w:rsidRPr="00586A10">
        <w:rPr>
          <w:rFonts w:ascii="Times New Roman" w:hAnsi="Times New Roman" w:cs="Times New Roman"/>
          <w:sz w:val="24"/>
          <w:szCs w:val="24"/>
        </w:rPr>
        <w:t xml:space="preserve"> без ДДС</w:t>
      </w:r>
      <w:r>
        <w:rPr>
          <w:rFonts w:ascii="Times New Roman" w:hAnsi="Times New Roman" w:cs="Times New Roman"/>
          <w:sz w:val="24"/>
          <w:szCs w:val="24"/>
          <w:lang w:val="en-GB"/>
        </w:rPr>
        <w:t>;</w:t>
      </w:r>
    </w:p>
    <w:p w14:paraId="5A644F6B" w14:textId="4A29BE98" w:rsidR="00156973" w:rsidRPr="00586A10" w:rsidRDefault="00156973" w:rsidP="00156973">
      <w:pPr>
        <w:pStyle w:val="ListParagraph"/>
        <w:numPr>
          <w:ilvl w:val="0"/>
          <w:numId w:val="5"/>
        </w:numPr>
        <w:spacing w:before="120" w:after="120" w:line="276" w:lineRule="auto"/>
        <w:contextualSpacing w:val="0"/>
        <w:jc w:val="both"/>
        <w:rPr>
          <w:rFonts w:ascii="Times New Roman" w:hAnsi="Times New Roman" w:cs="Times New Roman"/>
          <w:sz w:val="24"/>
          <w:szCs w:val="24"/>
        </w:rPr>
      </w:pPr>
      <w:r w:rsidRPr="00586A10">
        <w:rPr>
          <w:rFonts w:ascii="Times New Roman" w:hAnsi="Times New Roman" w:cs="Times New Roman"/>
          <w:sz w:val="24"/>
          <w:szCs w:val="24"/>
        </w:rPr>
        <w:t xml:space="preserve">Етап 3 - € </w:t>
      </w:r>
      <w:r w:rsidRPr="00156973">
        <w:rPr>
          <w:rFonts w:ascii="Times New Roman" w:hAnsi="Times New Roman" w:cs="Times New Roman"/>
          <w:sz w:val="24"/>
          <w:szCs w:val="24"/>
        </w:rPr>
        <w:t xml:space="preserve"> 32 400 000</w:t>
      </w:r>
      <w:r w:rsidRPr="00586A10">
        <w:rPr>
          <w:rFonts w:ascii="Times New Roman" w:hAnsi="Times New Roman" w:cs="Times New Roman"/>
          <w:sz w:val="24"/>
          <w:szCs w:val="24"/>
        </w:rPr>
        <w:t xml:space="preserve"> без ДДС</w:t>
      </w:r>
      <w:r>
        <w:rPr>
          <w:rFonts w:ascii="Times New Roman" w:hAnsi="Times New Roman" w:cs="Times New Roman"/>
          <w:sz w:val="24"/>
          <w:szCs w:val="24"/>
          <w:lang w:val="en-GB"/>
        </w:rPr>
        <w:t>;</w:t>
      </w:r>
    </w:p>
    <w:p w14:paraId="55479D0D" w14:textId="3E81A3C3" w:rsidR="00156973" w:rsidRPr="00586A10" w:rsidRDefault="00156973" w:rsidP="00156973">
      <w:pPr>
        <w:pStyle w:val="ListParagraph"/>
        <w:numPr>
          <w:ilvl w:val="0"/>
          <w:numId w:val="5"/>
        </w:numPr>
        <w:spacing w:before="120" w:after="120" w:line="276" w:lineRule="auto"/>
        <w:contextualSpacing w:val="0"/>
        <w:jc w:val="both"/>
        <w:rPr>
          <w:rFonts w:ascii="Times New Roman" w:hAnsi="Times New Roman" w:cs="Times New Roman"/>
          <w:sz w:val="24"/>
          <w:szCs w:val="24"/>
        </w:rPr>
      </w:pPr>
      <w:r w:rsidRPr="00586A10">
        <w:rPr>
          <w:rFonts w:ascii="Times New Roman" w:hAnsi="Times New Roman" w:cs="Times New Roman"/>
          <w:sz w:val="24"/>
          <w:szCs w:val="24"/>
        </w:rPr>
        <w:t xml:space="preserve">Етап 4 - € </w:t>
      </w:r>
      <w:r w:rsidRPr="00156973">
        <w:rPr>
          <w:rFonts w:ascii="Times New Roman" w:hAnsi="Times New Roman" w:cs="Times New Roman"/>
          <w:sz w:val="24"/>
          <w:szCs w:val="24"/>
        </w:rPr>
        <w:t xml:space="preserve"> 50 000 000 </w:t>
      </w:r>
      <w:r w:rsidRPr="00586A10">
        <w:rPr>
          <w:rFonts w:ascii="Times New Roman" w:hAnsi="Times New Roman" w:cs="Times New Roman"/>
          <w:sz w:val="24"/>
          <w:szCs w:val="24"/>
        </w:rPr>
        <w:t>без ДДС</w:t>
      </w:r>
      <w:r>
        <w:rPr>
          <w:rFonts w:ascii="Times New Roman" w:hAnsi="Times New Roman" w:cs="Times New Roman"/>
          <w:sz w:val="24"/>
          <w:szCs w:val="24"/>
          <w:lang w:val="en-GB"/>
        </w:rPr>
        <w:t>;</w:t>
      </w:r>
    </w:p>
    <w:p w14:paraId="3760EC1E" w14:textId="001FB6B6" w:rsidR="00156973" w:rsidRPr="00156973" w:rsidRDefault="00156973" w:rsidP="00156973">
      <w:pPr>
        <w:pStyle w:val="ListParagraph"/>
        <w:numPr>
          <w:ilvl w:val="0"/>
          <w:numId w:val="5"/>
        </w:numPr>
        <w:spacing w:before="120" w:after="120" w:line="276" w:lineRule="auto"/>
        <w:contextualSpacing w:val="0"/>
        <w:jc w:val="both"/>
        <w:rPr>
          <w:rFonts w:ascii="Times New Roman" w:hAnsi="Times New Roman" w:cs="Times New Roman"/>
          <w:sz w:val="24"/>
          <w:szCs w:val="24"/>
        </w:rPr>
      </w:pPr>
      <w:r w:rsidRPr="00586A10">
        <w:rPr>
          <w:rFonts w:ascii="Times New Roman" w:hAnsi="Times New Roman" w:cs="Times New Roman"/>
          <w:sz w:val="24"/>
          <w:szCs w:val="24"/>
        </w:rPr>
        <w:t>Етап 5</w:t>
      </w:r>
      <w:r w:rsidRPr="00156973">
        <w:rPr>
          <w:rFonts w:ascii="Times New Roman" w:hAnsi="Times New Roman" w:cs="Times New Roman"/>
          <w:sz w:val="24"/>
          <w:szCs w:val="24"/>
        </w:rPr>
        <w:t xml:space="preserve"> - </w:t>
      </w:r>
      <w:r w:rsidRPr="00586A10">
        <w:rPr>
          <w:rFonts w:ascii="Times New Roman" w:hAnsi="Times New Roman" w:cs="Times New Roman"/>
          <w:sz w:val="24"/>
          <w:szCs w:val="24"/>
        </w:rPr>
        <w:t>€</w:t>
      </w:r>
      <w:r w:rsidRPr="00156973">
        <w:rPr>
          <w:rFonts w:ascii="Times New Roman" w:hAnsi="Times New Roman" w:cs="Times New Roman"/>
          <w:sz w:val="24"/>
          <w:szCs w:val="24"/>
        </w:rPr>
        <w:t xml:space="preserve"> 72 200 000 </w:t>
      </w:r>
      <w:r w:rsidRPr="00586A10">
        <w:rPr>
          <w:rFonts w:ascii="Times New Roman" w:hAnsi="Times New Roman" w:cs="Times New Roman"/>
          <w:sz w:val="24"/>
          <w:szCs w:val="24"/>
        </w:rPr>
        <w:t>без ДДС</w:t>
      </w:r>
      <w:r>
        <w:rPr>
          <w:rFonts w:ascii="Times New Roman" w:hAnsi="Times New Roman" w:cs="Times New Roman"/>
          <w:sz w:val="24"/>
          <w:szCs w:val="24"/>
          <w:lang w:val="en-GB"/>
        </w:rPr>
        <w:t>.</w:t>
      </w:r>
    </w:p>
    <w:p w14:paraId="37F41739" w14:textId="4E2E5AB2" w:rsidR="00156973" w:rsidRDefault="00156973" w:rsidP="00156973">
      <w:pPr>
        <w:widowControl w:val="0"/>
        <w:pBdr>
          <w:top w:val="nil"/>
          <w:left w:val="nil"/>
          <w:bottom w:val="nil"/>
          <w:right w:val="nil"/>
          <w:between w:val="nil"/>
        </w:pBdr>
        <w:spacing w:before="120" w:after="120" w:line="276" w:lineRule="auto"/>
        <w:ind w:firstLine="425"/>
        <w:jc w:val="both"/>
        <w:rPr>
          <w:rFonts w:ascii="Times New Roman" w:hAnsi="Times New Roman" w:cs="Times New Roman"/>
          <w:b/>
          <w:sz w:val="24"/>
          <w:szCs w:val="24"/>
        </w:rPr>
      </w:pPr>
      <w:r w:rsidRPr="00156973">
        <w:rPr>
          <w:rFonts w:ascii="Times New Roman" w:hAnsi="Times New Roman" w:cs="Times New Roman"/>
          <w:b/>
          <w:sz w:val="24"/>
          <w:szCs w:val="24"/>
        </w:rPr>
        <w:t>Разпределение на финансовия ресурс, според типа разход:</w:t>
      </w:r>
    </w:p>
    <w:tbl>
      <w:tblPr>
        <w:tblStyle w:val="TableGrid"/>
        <w:tblW w:w="0" w:type="auto"/>
        <w:jc w:val="center"/>
        <w:tblLayout w:type="fixed"/>
        <w:tblLook w:val="04A0" w:firstRow="1" w:lastRow="0" w:firstColumn="1" w:lastColumn="0" w:noHBand="0" w:noVBand="1"/>
      </w:tblPr>
      <w:tblGrid>
        <w:gridCol w:w="4662"/>
        <w:gridCol w:w="1560"/>
      </w:tblGrid>
      <w:tr w:rsidR="00156973" w:rsidRPr="00586A10" w14:paraId="72EE4607" w14:textId="77777777" w:rsidTr="00156973">
        <w:trPr>
          <w:jc w:val="center"/>
        </w:trPr>
        <w:tc>
          <w:tcPr>
            <w:tcW w:w="4662" w:type="dxa"/>
            <w:tcBorders>
              <w:bottom w:val="single" w:sz="4" w:space="0" w:color="auto"/>
            </w:tcBorders>
            <w:vAlign w:val="center"/>
          </w:tcPr>
          <w:p w14:paraId="1ACCF837" w14:textId="77777777" w:rsidR="00156973" w:rsidRPr="00586A10" w:rsidRDefault="00156973" w:rsidP="00156973">
            <w:pPr>
              <w:widowControl w:val="0"/>
              <w:spacing w:line="276" w:lineRule="auto"/>
              <w:jc w:val="center"/>
              <w:rPr>
                <w:rFonts w:ascii="Times New Roman" w:hAnsi="Times New Roman" w:cs="Times New Roman"/>
                <w:b/>
                <w:bCs/>
                <w:sz w:val="24"/>
                <w:szCs w:val="24"/>
              </w:rPr>
            </w:pPr>
            <w:r w:rsidRPr="00586A10">
              <w:rPr>
                <w:rFonts w:ascii="Times New Roman" w:hAnsi="Times New Roman" w:cs="Times New Roman"/>
                <w:b/>
                <w:bCs/>
                <w:sz w:val="24"/>
                <w:szCs w:val="24"/>
              </w:rPr>
              <w:t>Тип разход</w:t>
            </w:r>
          </w:p>
        </w:tc>
        <w:tc>
          <w:tcPr>
            <w:tcW w:w="1560" w:type="dxa"/>
            <w:tcBorders>
              <w:bottom w:val="single" w:sz="4" w:space="0" w:color="auto"/>
            </w:tcBorders>
            <w:vAlign w:val="center"/>
          </w:tcPr>
          <w:p w14:paraId="445B057C" w14:textId="77777777" w:rsidR="00156973" w:rsidRPr="00586A10" w:rsidRDefault="00156973" w:rsidP="00156973">
            <w:pPr>
              <w:widowControl w:val="0"/>
              <w:spacing w:line="276" w:lineRule="auto"/>
              <w:jc w:val="center"/>
              <w:rPr>
                <w:rFonts w:ascii="Times New Roman" w:hAnsi="Times New Roman" w:cs="Times New Roman"/>
                <w:sz w:val="24"/>
                <w:szCs w:val="24"/>
              </w:rPr>
            </w:pPr>
            <w:r w:rsidRPr="00586A10">
              <w:rPr>
                <w:rFonts w:ascii="Times New Roman" w:hAnsi="Times New Roman" w:cs="Times New Roman"/>
                <w:b/>
                <w:bCs/>
                <w:sz w:val="24"/>
                <w:szCs w:val="24"/>
              </w:rPr>
              <w:t>Процент</w:t>
            </w:r>
          </w:p>
        </w:tc>
      </w:tr>
      <w:tr w:rsidR="00156973" w:rsidRPr="00586A10" w14:paraId="114883AA" w14:textId="77777777" w:rsidTr="00156973">
        <w:trPr>
          <w:jc w:val="center"/>
        </w:trPr>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3A016E88" w14:textId="77777777" w:rsidR="00156973" w:rsidRPr="004412AD" w:rsidRDefault="00156973" w:rsidP="00156973">
            <w:pPr>
              <w:widowControl w:val="0"/>
              <w:spacing w:line="276" w:lineRule="auto"/>
              <w:jc w:val="center"/>
              <w:rPr>
                <w:rFonts w:ascii="Times New Roman" w:hAnsi="Times New Roman" w:cs="Times New Roman"/>
                <w:sz w:val="20"/>
                <w:szCs w:val="20"/>
              </w:rPr>
            </w:pPr>
            <w:r w:rsidRPr="004412AD">
              <w:rPr>
                <w:rFonts w:ascii="Times New Roman" w:hAnsi="Times New Roman" w:cs="Times New Roman"/>
                <w:sz w:val="20"/>
                <w:szCs w:val="20"/>
              </w:rPr>
              <w:t>Управление на проекта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3FA3823" w14:textId="76A7CCDD" w:rsidR="00156973" w:rsidRPr="004412AD" w:rsidRDefault="00156973" w:rsidP="00156973">
            <w:pPr>
              <w:widowControl w:val="0"/>
              <w:spacing w:line="276" w:lineRule="auto"/>
              <w:jc w:val="center"/>
              <w:rPr>
                <w:rFonts w:ascii="Times New Roman" w:hAnsi="Times New Roman" w:cs="Times New Roman"/>
                <w:sz w:val="20"/>
                <w:szCs w:val="20"/>
              </w:rPr>
            </w:pPr>
            <w:r w:rsidRPr="004412AD">
              <w:rPr>
                <w:rFonts w:ascii="Times New Roman" w:hAnsi="Times New Roman" w:cs="Times New Roman"/>
                <w:sz w:val="20"/>
                <w:szCs w:val="20"/>
                <w:lang w:val="en-US"/>
              </w:rPr>
              <w:t>4</w:t>
            </w:r>
            <w:r w:rsidRPr="004412AD">
              <w:rPr>
                <w:rFonts w:ascii="Times New Roman" w:hAnsi="Times New Roman" w:cs="Times New Roman"/>
                <w:sz w:val="20"/>
                <w:szCs w:val="20"/>
              </w:rPr>
              <w:t>%</w:t>
            </w:r>
          </w:p>
        </w:tc>
      </w:tr>
      <w:tr w:rsidR="00156973" w:rsidRPr="00586A10" w14:paraId="7A944213" w14:textId="77777777" w:rsidTr="00156973">
        <w:trPr>
          <w:jc w:val="center"/>
        </w:trPr>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25EFC848" w14:textId="77777777" w:rsidR="00156973" w:rsidRPr="004412AD" w:rsidRDefault="00156973" w:rsidP="00156973">
            <w:pPr>
              <w:widowControl w:val="0"/>
              <w:spacing w:line="276" w:lineRule="auto"/>
              <w:jc w:val="center"/>
              <w:rPr>
                <w:rFonts w:ascii="Times New Roman" w:hAnsi="Times New Roman" w:cs="Times New Roman"/>
                <w:sz w:val="20"/>
                <w:szCs w:val="20"/>
              </w:rPr>
            </w:pPr>
            <w:r w:rsidRPr="004412AD">
              <w:rPr>
                <w:rFonts w:ascii="Times New Roman" w:hAnsi="Times New Roman" w:cs="Times New Roman"/>
                <w:sz w:val="20"/>
                <w:szCs w:val="20"/>
              </w:rPr>
              <w:t>Нормативна уредба, Проучвателни работи и картиране</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E33C7B" w14:textId="1E6B39BE" w:rsidR="00156973" w:rsidRPr="004412AD" w:rsidRDefault="00156973" w:rsidP="00156973">
            <w:pPr>
              <w:widowControl w:val="0"/>
              <w:spacing w:line="276" w:lineRule="auto"/>
              <w:jc w:val="center"/>
              <w:rPr>
                <w:rFonts w:ascii="Times New Roman" w:hAnsi="Times New Roman" w:cs="Times New Roman"/>
                <w:sz w:val="20"/>
                <w:szCs w:val="20"/>
              </w:rPr>
            </w:pPr>
            <w:r w:rsidRPr="004412AD">
              <w:rPr>
                <w:rFonts w:ascii="Times New Roman" w:hAnsi="Times New Roman" w:cs="Times New Roman"/>
                <w:sz w:val="20"/>
                <w:szCs w:val="20"/>
                <w:lang w:val="en-US"/>
              </w:rPr>
              <w:t>12</w:t>
            </w:r>
            <w:r w:rsidRPr="004412AD">
              <w:rPr>
                <w:rFonts w:ascii="Times New Roman" w:hAnsi="Times New Roman" w:cs="Times New Roman"/>
                <w:sz w:val="20"/>
                <w:szCs w:val="20"/>
              </w:rPr>
              <w:t>%</w:t>
            </w:r>
          </w:p>
        </w:tc>
      </w:tr>
      <w:tr w:rsidR="00156973" w:rsidRPr="00586A10" w14:paraId="61141742" w14:textId="77777777" w:rsidTr="00156973">
        <w:trPr>
          <w:jc w:val="center"/>
        </w:trPr>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24B7DBCC" w14:textId="77777777" w:rsidR="00156973" w:rsidRPr="004412AD" w:rsidRDefault="00156973" w:rsidP="00156973">
            <w:pPr>
              <w:widowControl w:val="0"/>
              <w:spacing w:line="276" w:lineRule="auto"/>
              <w:jc w:val="center"/>
              <w:rPr>
                <w:rFonts w:ascii="Times New Roman" w:hAnsi="Times New Roman" w:cs="Times New Roman"/>
                <w:sz w:val="20"/>
                <w:szCs w:val="20"/>
              </w:rPr>
            </w:pPr>
            <w:r w:rsidRPr="004412AD">
              <w:rPr>
                <w:rFonts w:ascii="Times New Roman" w:hAnsi="Times New Roman" w:cs="Times New Roman"/>
                <w:sz w:val="20"/>
                <w:szCs w:val="20"/>
              </w:rPr>
              <w:t>Изграждане и оборудване на специализирана лаборатория за научни изследвания и обучение</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C77F58E" w14:textId="1292E074" w:rsidR="00156973" w:rsidRPr="004412AD" w:rsidRDefault="00156973" w:rsidP="00156973">
            <w:pPr>
              <w:widowControl w:val="0"/>
              <w:spacing w:line="276" w:lineRule="auto"/>
              <w:jc w:val="center"/>
              <w:rPr>
                <w:rFonts w:ascii="Times New Roman" w:hAnsi="Times New Roman" w:cs="Times New Roman"/>
                <w:sz w:val="20"/>
                <w:szCs w:val="20"/>
              </w:rPr>
            </w:pPr>
            <w:r w:rsidRPr="004412AD">
              <w:rPr>
                <w:rFonts w:ascii="Times New Roman" w:hAnsi="Times New Roman" w:cs="Times New Roman"/>
                <w:sz w:val="20"/>
                <w:szCs w:val="20"/>
                <w:lang w:val="en-US"/>
              </w:rPr>
              <w:t>1</w:t>
            </w:r>
            <w:r w:rsidRPr="004412AD">
              <w:rPr>
                <w:rFonts w:ascii="Times New Roman" w:hAnsi="Times New Roman" w:cs="Times New Roman"/>
                <w:sz w:val="20"/>
                <w:szCs w:val="20"/>
              </w:rPr>
              <w:t>%</w:t>
            </w:r>
          </w:p>
        </w:tc>
      </w:tr>
      <w:tr w:rsidR="00156973" w:rsidRPr="00586A10" w14:paraId="06E36185" w14:textId="77777777" w:rsidTr="00156973">
        <w:trPr>
          <w:jc w:val="center"/>
        </w:trPr>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5ACD348A" w14:textId="77777777" w:rsidR="00156973" w:rsidRPr="004412AD" w:rsidRDefault="00156973" w:rsidP="00156973">
            <w:pPr>
              <w:widowControl w:val="0"/>
              <w:spacing w:line="276" w:lineRule="auto"/>
              <w:jc w:val="center"/>
              <w:rPr>
                <w:rFonts w:ascii="Times New Roman" w:hAnsi="Times New Roman" w:cs="Times New Roman"/>
                <w:sz w:val="20"/>
                <w:szCs w:val="20"/>
              </w:rPr>
            </w:pPr>
            <w:r w:rsidRPr="004412AD">
              <w:rPr>
                <w:rFonts w:ascii="Times New Roman" w:hAnsi="Times New Roman" w:cs="Times New Roman"/>
                <w:sz w:val="20"/>
                <w:szCs w:val="20"/>
              </w:rPr>
              <w:t>Инженеринг за изграждане на една пилотна демонстрационна геотермална централа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D656BC0" w14:textId="27B97EFC" w:rsidR="00156973" w:rsidRPr="004412AD" w:rsidRDefault="00156973" w:rsidP="00156973">
            <w:pPr>
              <w:widowControl w:val="0"/>
              <w:spacing w:line="276" w:lineRule="auto"/>
              <w:jc w:val="center"/>
              <w:rPr>
                <w:rFonts w:ascii="Times New Roman" w:hAnsi="Times New Roman" w:cs="Times New Roman"/>
                <w:sz w:val="20"/>
                <w:szCs w:val="20"/>
              </w:rPr>
            </w:pPr>
            <w:r w:rsidRPr="004412AD">
              <w:rPr>
                <w:rFonts w:ascii="Times New Roman" w:hAnsi="Times New Roman" w:cs="Times New Roman"/>
                <w:sz w:val="20"/>
                <w:szCs w:val="20"/>
                <w:lang w:val="en-US"/>
              </w:rPr>
              <w:t>84</w:t>
            </w:r>
            <w:r w:rsidRPr="004412AD">
              <w:rPr>
                <w:rFonts w:ascii="Times New Roman" w:hAnsi="Times New Roman" w:cs="Times New Roman"/>
                <w:sz w:val="20"/>
                <w:szCs w:val="20"/>
              </w:rPr>
              <w:t>%</w:t>
            </w:r>
          </w:p>
        </w:tc>
      </w:tr>
      <w:tr w:rsidR="00156973" w:rsidRPr="00586A10" w14:paraId="1E501DE1" w14:textId="77777777" w:rsidTr="00156973">
        <w:trPr>
          <w:jc w:val="center"/>
        </w:trPr>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5C20EAB4" w14:textId="77777777" w:rsidR="00156973" w:rsidRPr="004412AD" w:rsidRDefault="00156973" w:rsidP="00156973">
            <w:pPr>
              <w:widowControl w:val="0"/>
              <w:spacing w:line="276" w:lineRule="auto"/>
              <w:jc w:val="center"/>
              <w:rPr>
                <w:rFonts w:ascii="Times New Roman" w:hAnsi="Times New Roman" w:cs="Times New Roman"/>
                <w:sz w:val="20"/>
                <w:szCs w:val="20"/>
              </w:rPr>
            </w:pPr>
            <w:r w:rsidRPr="004412AD">
              <w:rPr>
                <w:rFonts w:ascii="Times New Roman" w:hAnsi="Times New Roman" w:cs="Times New Roman"/>
                <w:sz w:val="20"/>
                <w:szCs w:val="20"/>
              </w:rPr>
              <w:t>ОБЩО: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5D8EEDA" w14:textId="77777777" w:rsidR="00156973" w:rsidRPr="004412AD" w:rsidRDefault="00156973" w:rsidP="00156973">
            <w:pPr>
              <w:widowControl w:val="0"/>
              <w:spacing w:line="276" w:lineRule="auto"/>
              <w:jc w:val="center"/>
              <w:rPr>
                <w:rFonts w:ascii="Times New Roman" w:hAnsi="Times New Roman" w:cs="Times New Roman"/>
                <w:sz w:val="20"/>
                <w:szCs w:val="20"/>
              </w:rPr>
            </w:pPr>
            <w:r w:rsidRPr="004412AD">
              <w:rPr>
                <w:rFonts w:ascii="Times New Roman" w:hAnsi="Times New Roman" w:cs="Times New Roman"/>
                <w:sz w:val="20"/>
                <w:szCs w:val="20"/>
              </w:rPr>
              <w:t>100%</w:t>
            </w:r>
          </w:p>
        </w:tc>
      </w:tr>
    </w:tbl>
    <w:p w14:paraId="3C0EC32C" w14:textId="77777777" w:rsidR="00156973" w:rsidRPr="00586A10" w:rsidRDefault="00156973" w:rsidP="00156973">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 xml:space="preserve">Проектът допринася за целите </w:t>
      </w:r>
      <w:bookmarkStart w:id="7" w:name="_Hlk121304454"/>
      <w:r w:rsidRPr="00586A10">
        <w:rPr>
          <w:rFonts w:ascii="Times New Roman" w:hAnsi="Times New Roman" w:cs="Times New Roman"/>
          <w:sz w:val="24"/>
          <w:szCs w:val="24"/>
        </w:rPr>
        <w:t>Националната програма за развитие България 2030</w:t>
      </w:r>
      <w:bookmarkEnd w:id="7"/>
      <w:r w:rsidRPr="00586A10">
        <w:rPr>
          <w:rFonts w:ascii="Times New Roman" w:hAnsi="Times New Roman" w:cs="Times New Roman"/>
          <w:sz w:val="24"/>
          <w:szCs w:val="24"/>
        </w:rPr>
        <w:t xml:space="preserve">: </w:t>
      </w:r>
    </w:p>
    <w:p w14:paraId="1D623173" w14:textId="77777777" w:rsidR="00156973" w:rsidRPr="00586A10" w:rsidRDefault="00156973" w:rsidP="00156973">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 xml:space="preserve">1. Проектът допринася пряко за ос на развитие 2: „Зелена и устойчива България“, Приоритет 4 „Кръгова и нисковъглеродна икономика“, като подпомага по-голяма </w:t>
      </w:r>
      <w:r w:rsidRPr="00586A10">
        <w:rPr>
          <w:rFonts w:ascii="Times New Roman" w:hAnsi="Times New Roman" w:cs="Times New Roman"/>
          <w:sz w:val="24"/>
          <w:szCs w:val="24"/>
        </w:rPr>
        <w:lastRenderedPageBreak/>
        <w:t xml:space="preserve">енергийна ефективност на енергийните компании и на потребителите, намаляване на разходването на енергия от бизнеса и създаването на предпоставки за разпространението и ефективното управление на </w:t>
      </w:r>
      <w:proofErr w:type="spellStart"/>
      <w:r w:rsidRPr="00586A10">
        <w:rPr>
          <w:rFonts w:ascii="Times New Roman" w:hAnsi="Times New Roman" w:cs="Times New Roman"/>
          <w:sz w:val="24"/>
          <w:szCs w:val="24"/>
        </w:rPr>
        <w:t>микромрежи</w:t>
      </w:r>
      <w:proofErr w:type="spellEnd"/>
      <w:r w:rsidRPr="00586A10">
        <w:rPr>
          <w:rFonts w:ascii="Times New Roman" w:hAnsi="Times New Roman" w:cs="Times New Roman"/>
          <w:sz w:val="24"/>
          <w:szCs w:val="24"/>
        </w:rPr>
        <w:t xml:space="preserve"> за възобновяема енергия.</w:t>
      </w:r>
    </w:p>
    <w:p w14:paraId="5B0FC0AC" w14:textId="77777777" w:rsidR="00156973" w:rsidRPr="00586A10" w:rsidRDefault="00156973" w:rsidP="00156973">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2. Проектът допринася пряко за ос на развитие 1: „Иновативна и интелигентна България“, Приоритет</w:t>
      </w:r>
      <w:r w:rsidRPr="00156973">
        <w:rPr>
          <w:rFonts w:ascii="Times New Roman" w:hAnsi="Times New Roman" w:cs="Times New Roman"/>
          <w:sz w:val="24"/>
          <w:szCs w:val="24"/>
        </w:rPr>
        <w:t xml:space="preserve"> 3</w:t>
      </w:r>
      <w:r w:rsidRPr="00586A10">
        <w:rPr>
          <w:rFonts w:ascii="Times New Roman" w:hAnsi="Times New Roman" w:cs="Times New Roman"/>
          <w:sz w:val="24"/>
          <w:szCs w:val="24"/>
        </w:rPr>
        <w:t xml:space="preserve"> „Интелигентна индустрия“, като подпомага разработването и въвеждането на иновативни продукти, процеси и бизнес модели, целящи повишаване на ресурсната ефективност на икономиката, както и подпомагането и внедряването на иновации, адресиращи все още високата </w:t>
      </w:r>
      <w:proofErr w:type="spellStart"/>
      <w:r w:rsidRPr="00586A10">
        <w:rPr>
          <w:rFonts w:ascii="Times New Roman" w:hAnsi="Times New Roman" w:cs="Times New Roman"/>
          <w:sz w:val="24"/>
          <w:szCs w:val="24"/>
        </w:rPr>
        <w:t>въглеродо</w:t>
      </w:r>
      <w:proofErr w:type="spellEnd"/>
      <w:r w:rsidRPr="00586A10">
        <w:rPr>
          <w:rFonts w:ascii="Times New Roman" w:hAnsi="Times New Roman" w:cs="Times New Roman"/>
          <w:sz w:val="24"/>
          <w:szCs w:val="24"/>
        </w:rPr>
        <w:t>-интензивност на икономиката.</w:t>
      </w:r>
    </w:p>
    <w:p w14:paraId="065F73A9" w14:textId="77777777" w:rsidR="00156973" w:rsidRPr="00586A10" w:rsidRDefault="00156973" w:rsidP="00156973">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Видно е, че по ПВУ не са предвидени средства, свързани с реализацията на общински проекти на база ползването на минерални води.</w:t>
      </w:r>
    </w:p>
    <w:p w14:paraId="4CF263DC" w14:textId="2C602FD4" w:rsidR="00156973" w:rsidRPr="00156973" w:rsidRDefault="00156973" w:rsidP="00156973">
      <w:pPr>
        <w:pStyle w:val="Heading2"/>
      </w:pPr>
      <w:bookmarkStart w:id="8" w:name="_Toc123825797"/>
      <w:r w:rsidRPr="00156973">
        <w:t>1.</w:t>
      </w:r>
      <w:r>
        <w:rPr>
          <w:lang w:val="en-GB"/>
        </w:rPr>
        <w:t>3</w:t>
      </w:r>
      <w:r w:rsidRPr="00156973">
        <w:t xml:space="preserve">. </w:t>
      </w:r>
      <w:r>
        <w:t>Програма „Околна среда“ 2021-2027 г.</w:t>
      </w:r>
      <w:bookmarkEnd w:id="8"/>
    </w:p>
    <w:p w14:paraId="42F9F132" w14:textId="77777777" w:rsidR="00156973" w:rsidRPr="00156973" w:rsidRDefault="00156973" w:rsidP="00156973">
      <w:pPr>
        <w:spacing w:before="120" w:after="120" w:line="276" w:lineRule="auto"/>
        <w:ind w:firstLine="425"/>
        <w:jc w:val="both"/>
        <w:rPr>
          <w:rFonts w:ascii="Times New Roman" w:hAnsi="Times New Roman" w:cs="Times New Roman"/>
          <w:sz w:val="24"/>
          <w:szCs w:val="24"/>
        </w:rPr>
      </w:pPr>
      <w:r w:rsidRPr="00156973">
        <w:rPr>
          <w:rFonts w:ascii="Times New Roman" w:hAnsi="Times New Roman" w:cs="Times New Roman"/>
          <w:sz w:val="24"/>
          <w:szCs w:val="24"/>
        </w:rPr>
        <w:t>На 07.10.2022 г. </w:t>
      </w:r>
      <w:hyperlink r:id="rId8" w:history="1">
        <w:r w:rsidRPr="00156973">
          <w:rPr>
            <w:rStyle w:val="Hyperlink"/>
            <w:rFonts w:ascii="Times New Roman" w:hAnsi="Times New Roman" w:cs="Times New Roman"/>
            <w:color w:val="auto"/>
            <w:sz w:val="24"/>
            <w:szCs w:val="24"/>
            <w:u w:val="none"/>
          </w:rPr>
          <w:t>Програма „Околна среда“ 2021 – 2027</w:t>
        </w:r>
      </w:hyperlink>
      <w:r w:rsidRPr="00156973">
        <w:rPr>
          <w:rFonts w:ascii="Times New Roman" w:hAnsi="Times New Roman" w:cs="Times New Roman"/>
          <w:sz w:val="24"/>
          <w:szCs w:val="24"/>
        </w:rPr>
        <w:t> (ПОС) беше официално одобрена от Европейската комисия с Решение за изпълнение на Комисията № С(2022)7279.</w:t>
      </w:r>
    </w:p>
    <w:p w14:paraId="09A6E53B" w14:textId="77777777" w:rsidR="00156973" w:rsidRPr="00156973" w:rsidRDefault="00156973" w:rsidP="00156973">
      <w:pPr>
        <w:spacing w:before="120" w:after="120" w:line="276" w:lineRule="auto"/>
        <w:ind w:firstLine="425"/>
        <w:jc w:val="both"/>
        <w:rPr>
          <w:rFonts w:ascii="Times New Roman" w:hAnsi="Times New Roman" w:cs="Times New Roman"/>
          <w:sz w:val="24"/>
          <w:szCs w:val="24"/>
        </w:rPr>
      </w:pPr>
      <w:r w:rsidRPr="00156973">
        <w:rPr>
          <w:rFonts w:ascii="Times New Roman" w:hAnsi="Times New Roman" w:cs="Times New Roman"/>
          <w:sz w:val="24"/>
          <w:szCs w:val="24"/>
        </w:rPr>
        <w:t>Бюджетът на програмата е 3 565 881 509 лв. и е съфинансирана от Европейския фонд за регионално развитие, Кохезионния фонд и държавния бюджет на Република България.</w:t>
      </w:r>
    </w:p>
    <w:p w14:paraId="62B4C8A5" w14:textId="77777777" w:rsidR="00156973" w:rsidRPr="00156973" w:rsidRDefault="00156973" w:rsidP="00156973">
      <w:pPr>
        <w:spacing w:before="120" w:after="120" w:line="276" w:lineRule="auto"/>
        <w:ind w:firstLine="425"/>
        <w:jc w:val="both"/>
        <w:rPr>
          <w:rFonts w:ascii="Times New Roman" w:hAnsi="Times New Roman" w:cs="Times New Roman"/>
          <w:sz w:val="24"/>
          <w:szCs w:val="24"/>
        </w:rPr>
      </w:pPr>
      <w:r w:rsidRPr="00156973">
        <w:rPr>
          <w:rFonts w:ascii="Times New Roman" w:hAnsi="Times New Roman" w:cs="Times New Roman"/>
          <w:sz w:val="24"/>
          <w:szCs w:val="24"/>
        </w:rPr>
        <w:t>Програмата е основен инструмент за подкрепа за устойчиво развитие и утвърждаване целта за съхраняване, опазване и подобряване на качеството на околната среда.</w:t>
      </w:r>
    </w:p>
    <w:p w14:paraId="4C825555" w14:textId="77777777" w:rsidR="00156973" w:rsidRPr="00156973" w:rsidRDefault="00156973" w:rsidP="00156973">
      <w:pPr>
        <w:spacing w:before="120" w:after="120" w:line="276" w:lineRule="auto"/>
        <w:ind w:firstLine="425"/>
        <w:jc w:val="both"/>
        <w:rPr>
          <w:rFonts w:ascii="Times New Roman" w:hAnsi="Times New Roman" w:cs="Times New Roman"/>
          <w:sz w:val="24"/>
          <w:szCs w:val="24"/>
        </w:rPr>
      </w:pPr>
      <w:r w:rsidRPr="00156973">
        <w:rPr>
          <w:rFonts w:ascii="Times New Roman" w:hAnsi="Times New Roman" w:cs="Times New Roman"/>
          <w:sz w:val="24"/>
          <w:szCs w:val="24"/>
        </w:rPr>
        <w:t>Основните цели са свързани с подобряване на ВиК инфраструктурата и качеството на атмосферния въздух, екологосъобразно управление на отпадъците и опазване на богатото  биоразнообразие на България, както и превенция и управление на риска от наводнения, свлачища и горски пожари. Подкрепата за тези цели е разпределена в 5 основни приоритета:</w:t>
      </w:r>
    </w:p>
    <w:p w14:paraId="3F106D3A" w14:textId="77777777" w:rsidR="00156973" w:rsidRPr="00156973" w:rsidRDefault="00156973" w:rsidP="00156973">
      <w:pPr>
        <w:spacing w:before="120" w:after="120" w:line="276" w:lineRule="auto"/>
        <w:ind w:firstLine="425"/>
        <w:jc w:val="both"/>
        <w:rPr>
          <w:rFonts w:ascii="Times New Roman" w:hAnsi="Times New Roman" w:cs="Times New Roman"/>
          <w:sz w:val="24"/>
          <w:szCs w:val="24"/>
        </w:rPr>
      </w:pPr>
      <w:r w:rsidRPr="00156973">
        <w:rPr>
          <w:rFonts w:ascii="Times New Roman" w:hAnsi="Times New Roman" w:cs="Times New Roman"/>
          <w:b/>
          <w:bCs/>
          <w:sz w:val="24"/>
          <w:szCs w:val="24"/>
        </w:rPr>
        <w:t>Приоритет 1 „Води“</w:t>
      </w:r>
      <w:r w:rsidRPr="00156973">
        <w:rPr>
          <w:rFonts w:ascii="Times New Roman" w:hAnsi="Times New Roman" w:cs="Times New Roman"/>
          <w:sz w:val="24"/>
          <w:szCs w:val="24"/>
        </w:rPr>
        <w:t> с бюджет от 1 399,23 млн. лв. подкрепя инфраструктурни мерки за събиране, отвеждане и пречистване на отпадъчни води, за водоснабдяване, както и  дейности за подобряване мониторинга и оценката на качеството на водите за питейно-битово водоснабдяване.</w:t>
      </w:r>
    </w:p>
    <w:p w14:paraId="743B319E" w14:textId="77777777" w:rsidR="00156973" w:rsidRPr="00156973" w:rsidRDefault="00156973" w:rsidP="00156973">
      <w:pPr>
        <w:spacing w:before="120" w:after="120" w:line="276" w:lineRule="auto"/>
        <w:ind w:firstLine="425"/>
        <w:jc w:val="both"/>
        <w:rPr>
          <w:rFonts w:ascii="Times New Roman" w:hAnsi="Times New Roman" w:cs="Times New Roman"/>
          <w:sz w:val="24"/>
          <w:szCs w:val="24"/>
        </w:rPr>
      </w:pPr>
      <w:r w:rsidRPr="00156973">
        <w:rPr>
          <w:rFonts w:ascii="Times New Roman" w:hAnsi="Times New Roman" w:cs="Times New Roman"/>
          <w:b/>
          <w:bCs/>
          <w:sz w:val="24"/>
          <w:szCs w:val="24"/>
        </w:rPr>
        <w:t>Приоритет 2 „Отпадъци“</w:t>
      </w:r>
      <w:r w:rsidRPr="00156973">
        <w:rPr>
          <w:rFonts w:ascii="Times New Roman" w:hAnsi="Times New Roman" w:cs="Times New Roman"/>
          <w:sz w:val="24"/>
          <w:szCs w:val="24"/>
        </w:rPr>
        <w:t xml:space="preserve"> с бюджет от 611,49 млн. лв. инвестира в системи за разделно събиране и рециклиране на </w:t>
      </w:r>
      <w:proofErr w:type="spellStart"/>
      <w:r w:rsidRPr="00156973">
        <w:rPr>
          <w:rFonts w:ascii="Times New Roman" w:hAnsi="Times New Roman" w:cs="Times New Roman"/>
          <w:sz w:val="24"/>
          <w:szCs w:val="24"/>
        </w:rPr>
        <w:t>биоразградими</w:t>
      </w:r>
      <w:proofErr w:type="spellEnd"/>
      <w:r w:rsidRPr="00156973">
        <w:rPr>
          <w:rFonts w:ascii="Times New Roman" w:hAnsi="Times New Roman" w:cs="Times New Roman"/>
          <w:sz w:val="24"/>
          <w:szCs w:val="24"/>
        </w:rPr>
        <w:t xml:space="preserve"> отпадъци, модели за оптимизиране на процеса на управление на битовите отпадъци, рекултивация на депа, както и в системи/центрове за разделно събиране и подготовка за повторна употреба и поправка.</w:t>
      </w:r>
    </w:p>
    <w:p w14:paraId="1DEB7BA7" w14:textId="77777777" w:rsidR="00156973" w:rsidRPr="00156973" w:rsidRDefault="00156973" w:rsidP="00156973">
      <w:pPr>
        <w:spacing w:before="120" w:after="120" w:line="276" w:lineRule="auto"/>
        <w:ind w:firstLine="425"/>
        <w:jc w:val="both"/>
        <w:rPr>
          <w:rFonts w:ascii="Times New Roman" w:hAnsi="Times New Roman" w:cs="Times New Roman"/>
          <w:sz w:val="24"/>
          <w:szCs w:val="24"/>
        </w:rPr>
      </w:pPr>
      <w:r w:rsidRPr="00156973">
        <w:rPr>
          <w:rFonts w:ascii="Times New Roman" w:hAnsi="Times New Roman" w:cs="Times New Roman"/>
          <w:b/>
          <w:bCs/>
          <w:sz w:val="24"/>
          <w:szCs w:val="24"/>
        </w:rPr>
        <w:t>Приоритет 3 „Биологично разнообразие“</w:t>
      </w:r>
      <w:r w:rsidRPr="00156973">
        <w:rPr>
          <w:rFonts w:ascii="Times New Roman" w:hAnsi="Times New Roman" w:cs="Times New Roman"/>
          <w:sz w:val="24"/>
          <w:szCs w:val="24"/>
        </w:rPr>
        <w:t xml:space="preserve"> с  бюджет от 259,09 млн. лв. финансира дейности за развитие на мрежата Натура 2000, за подобряване природозащитното </w:t>
      </w:r>
      <w:r w:rsidRPr="00156973">
        <w:rPr>
          <w:rFonts w:ascii="Times New Roman" w:hAnsi="Times New Roman" w:cs="Times New Roman"/>
          <w:sz w:val="24"/>
          <w:szCs w:val="24"/>
        </w:rPr>
        <w:lastRenderedPageBreak/>
        <w:t>състояние на природни местообитания и видове, за опазване/възстановяване на екосистемите извън Натура 2000.</w:t>
      </w:r>
    </w:p>
    <w:p w14:paraId="6DF375E1" w14:textId="77777777" w:rsidR="00156973" w:rsidRPr="00156973" w:rsidRDefault="00156973" w:rsidP="00156973">
      <w:pPr>
        <w:spacing w:before="120" w:after="120" w:line="276" w:lineRule="auto"/>
        <w:ind w:firstLine="425"/>
        <w:jc w:val="both"/>
        <w:rPr>
          <w:rFonts w:ascii="Times New Roman" w:hAnsi="Times New Roman" w:cs="Times New Roman"/>
          <w:sz w:val="24"/>
          <w:szCs w:val="24"/>
        </w:rPr>
      </w:pPr>
      <w:r w:rsidRPr="00156973">
        <w:rPr>
          <w:rFonts w:ascii="Times New Roman" w:hAnsi="Times New Roman" w:cs="Times New Roman"/>
          <w:b/>
          <w:bCs/>
          <w:sz w:val="24"/>
          <w:szCs w:val="24"/>
        </w:rPr>
        <w:t>Приоритет 4 „Риск и изменение на климата“</w:t>
      </w:r>
      <w:r w:rsidRPr="00156973">
        <w:rPr>
          <w:rFonts w:ascii="Times New Roman" w:hAnsi="Times New Roman" w:cs="Times New Roman"/>
          <w:sz w:val="24"/>
          <w:szCs w:val="24"/>
        </w:rPr>
        <w:t> с бюджет от 441,31 млн. лв. е насочен към мерки за повишаване готовността на населението за адекватна реакция и осигуряване на наземен капацитет за борба с горските пожари; за превенция и управление на риска от наводнения и засушаване и за изграждане на Национална система за управление на водите в реално време.</w:t>
      </w:r>
    </w:p>
    <w:p w14:paraId="2FFE2C21" w14:textId="77777777" w:rsidR="00156973" w:rsidRPr="00156973" w:rsidRDefault="00156973" w:rsidP="00156973">
      <w:pPr>
        <w:spacing w:before="120" w:after="120" w:line="276" w:lineRule="auto"/>
        <w:ind w:firstLine="425"/>
        <w:jc w:val="both"/>
        <w:rPr>
          <w:rFonts w:ascii="Times New Roman" w:hAnsi="Times New Roman" w:cs="Times New Roman"/>
          <w:sz w:val="24"/>
          <w:szCs w:val="24"/>
        </w:rPr>
      </w:pPr>
      <w:r w:rsidRPr="00156973">
        <w:rPr>
          <w:rFonts w:ascii="Times New Roman" w:hAnsi="Times New Roman" w:cs="Times New Roman"/>
          <w:b/>
          <w:bCs/>
          <w:sz w:val="24"/>
          <w:szCs w:val="24"/>
        </w:rPr>
        <w:t>Приоритет 5 „Въздух“</w:t>
      </w:r>
      <w:r w:rsidRPr="00156973">
        <w:rPr>
          <w:rFonts w:ascii="Times New Roman" w:hAnsi="Times New Roman" w:cs="Times New Roman"/>
          <w:sz w:val="24"/>
          <w:szCs w:val="24"/>
        </w:rPr>
        <w:t xml:space="preserve"> с бюджет 773,47 млн. лв. ще инвестира в подобряване на качеството на атмосферния въздух чрез безвъзмездна подмяна на </w:t>
      </w:r>
      <w:proofErr w:type="spellStart"/>
      <w:r w:rsidRPr="00156973">
        <w:rPr>
          <w:rFonts w:ascii="Times New Roman" w:hAnsi="Times New Roman" w:cs="Times New Roman"/>
          <w:sz w:val="24"/>
          <w:szCs w:val="24"/>
        </w:rPr>
        <w:t>топлоуреди</w:t>
      </w:r>
      <w:proofErr w:type="spellEnd"/>
      <w:r w:rsidRPr="00156973">
        <w:rPr>
          <w:rFonts w:ascii="Times New Roman" w:hAnsi="Times New Roman" w:cs="Times New Roman"/>
          <w:sz w:val="24"/>
          <w:szCs w:val="24"/>
        </w:rPr>
        <w:t xml:space="preserve"> на твърдо гориво с екологични алтернативи за домакинствата, увеличаване на зелените площи в градска среда и въвеждане на зони за ниски емисии от транспорт.</w:t>
      </w:r>
    </w:p>
    <w:p w14:paraId="44EFBD56" w14:textId="77777777" w:rsidR="00156973" w:rsidRPr="00156973" w:rsidRDefault="00156973" w:rsidP="00156973">
      <w:pPr>
        <w:spacing w:before="120" w:after="120" w:line="276" w:lineRule="auto"/>
        <w:ind w:firstLine="425"/>
        <w:jc w:val="both"/>
        <w:rPr>
          <w:rFonts w:ascii="Times New Roman" w:hAnsi="Times New Roman" w:cs="Times New Roman"/>
          <w:sz w:val="24"/>
          <w:szCs w:val="24"/>
        </w:rPr>
      </w:pPr>
      <w:r w:rsidRPr="00156973">
        <w:rPr>
          <w:rFonts w:ascii="Times New Roman" w:hAnsi="Times New Roman" w:cs="Times New Roman"/>
          <w:sz w:val="24"/>
          <w:szCs w:val="24"/>
        </w:rPr>
        <w:t>Конкретни възможности за финансиране на проекти по ПОС следва да се публикуват в годишните индикативни програми.</w:t>
      </w:r>
    </w:p>
    <w:p w14:paraId="718B5DF7" w14:textId="24DFCEB5" w:rsidR="00156973" w:rsidRPr="00156973" w:rsidRDefault="00156973" w:rsidP="00156973">
      <w:pPr>
        <w:pStyle w:val="Heading2"/>
      </w:pPr>
      <w:bookmarkStart w:id="9" w:name="_Toc123825798"/>
      <w:r w:rsidRPr="00156973">
        <w:t>1.</w:t>
      </w:r>
      <w:r>
        <w:rPr>
          <w:lang w:val="en-GB"/>
        </w:rPr>
        <w:t>4</w:t>
      </w:r>
      <w:r w:rsidRPr="00156973">
        <w:t xml:space="preserve">. </w:t>
      </w:r>
      <w:r>
        <w:t>Норвежкият финансов механизъм и Финансовия механизъм на Европейското икономическо пространство</w:t>
      </w:r>
      <w:bookmarkEnd w:id="9"/>
    </w:p>
    <w:p w14:paraId="4A0390DA" w14:textId="77777777" w:rsidR="00156973" w:rsidRPr="00586A10" w:rsidRDefault="00156973" w:rsidP="00156973">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След като на 30 април 2021 г. изтече срокът на прилагане на финансовите механизми за периода 2014-2021 г., Съветът на ЕС прие указания за водене на преговорите за новия период 2021-2027 г.</w:t>
      </w:r>
      <w:r w:rsidRPr="00156973">
        <w:rPr>
          <w:rFonts w:ascii="Times New Roman" w:hAnsi="Times New Roman" w:cs="Times New Roman"/>
          <w:sz w:val="24"/>
          <w:szCs w:val="24"/>
        </w:rPr>
        <w:t xml:space="preserve"> </w:t>
      </w:r>
    </w:p>
    <w:p w14:paraId="05D8C4EE" w14:textId="77777777" w:rsidR="00156973" w:rsidRPr="00586A10" w:rsidRDefault="00156973" w:rsidP="00156973">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Въз основа на този мандат преговорите следва да се проведат и да приключат бързо, за да се гарантира, че инструментите за финансова подкрепа ще влязат в сила във възможно най-кратък срок, като се има предвид графикът за следващия седемгодишен период за инструментите на политиката на сближаване на ЕС. Новият механизъм за финансовите вноски от трите страни партньори (Република Исландия, Княжество Лихтенщайн и Кралство Норвегия) ще бъде насочен към намаляване на социалните и икономическите различия в Европейското икономическо пространство.</w:t>
      </w:r>
    </w:p>
    <w:p w14:paraId="680787BF" w14:textId="43C4B032" w:rsidR="00156973" w:rsidRDefault="00156973" w:rsidP="00156973">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Норвежкият финансов механизъм е създаден заедно с Финансовия механизъм на Европейското икономическо пространство, като фонд за подпомагане и намаляване на икономическите и социални различия в Европейското икономическо пространство и укрепване на двустранните отношения между страните донори и страните бенефициенти. Въпреки значителният прогрес в Европа все още съществуват драстични несъответствия в стандарта на живот и икономическо развитие в отделните страни.</w:t>
      </w:r>
    </w:p>
    <w:p w14:paraId="00E58E0B" w14:textId="77777777" w:rsidR="00156973" w:rsidRPr="00586A10" w:rsidRDefault="00156973" w:rsidP="00156973">
      <w:pPr>
        <w:spacing w:line="276" w:lineRule="auto"/>
        <w:ind w:firstLine="425"/>
        <w:jc w:val="both"/>
        <w:rPr>
          <w:rFonts w:ascii="Times New Roman" w:hAnsi="Times New Roman" w:cs="Times New Roman"/>
          <w:b/>
          <w:bCs/>
          <w:i/>
          <w:iCs/>
          <w:sz w:val="24"/>
          <w:szCs w:val="24"/>
        </w:rPr>
      </w:pPr>
      <w:r w:rsidRPr="00586A10">
        <w:rPr>
          <w:rFonts w:ascii="Times New Roman" w:hAnsi="Times New Roman" w:cs="Times New Roman"/>
          <w:b/>
          <w:bCs/>
          <w:i/>
          <w:iCs/>
          <w:sz w:val="24"/>
          <w:szCs w:val="24"/>
        </w:rPr>
        <w:t>Норвежки фонд – Цели и Мисия</w:t>
      </w:r>
    </w:p>
    <w:p w14:paraId="78670BA6" w14:textId="6670E02F" w:rsidR="00156973" w:rsidRDefault="00156973" w:rsidP="00156973">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 xml:space="preserve">Разширяването на Европейския съюз доведе до увеличаване на населението в него с 20%, докато в същото време БВП се повиши само с 5%. В този контекст основната цел на Фонда е укрепване на двустранните отношения и разнообразяване на </w:t>
      </w:r>
      <w:r w:rsidRPr="00586A10">
        <w:rPr>
          <w:rFonts w:ascii="Times New Roman" w:hAnsi="Times New Roman" w:cs="Times New Roman"/>
          <w:sz w:val="24"/>
          <w:szCs w:val="24"/>
        </w:rPr>
        <w:lastRenderedPageBreak/>
        <w:t>сътрудничеството, което носи полза за институциите и организациите от двете страни. Изпълнението на програми и проекти в рамките на Норвежкия финансов механизъм способства за разширяване на обмена на знания и опит, поощрява партньорството и взаимопомощта. Неговата финансова подкрепа е насочена към области с ясно изразени нужди в страните-бенефициенти и отразяващи националните и общоевропейски приоритети и цели.</w:t>
      </w:r>
    </w:p>
    <w:p w14:paraId="2AB67F76" w14:textId="77777777" w:rsidR="00156973" w:rsidRPr="00586A10" w:rsidRDefault="00156973" w:rsidP="00156973">
      <w:pPr>
        <w:spacing w:line="276" w:lineRule="auto"/>
        <w:ind w:firstLine="425"/>
        <w:jc w:val="both"/>
        <w:rPr>
          <w:rFonts w:ascii="Times New Roman" w:hAnsi="Times New Roman" w:cs="Times New Roman"/>
          <w:b/>
          <w:bCs/>
          <w:i/>
          <w:iCs/>
          <w:sz w:val="24"/>
          <w:szCs w:val="24"/>
        </w:rPr>
      </w:pPr>
      <w:r w:rsidRPr="00586A10">
        <w:rPr>
          <w:rFonts w:ascii="Times New Roman" w:hAnsi="Times New Roman" w:cs="Times New Roman"/>
          <w:b/>
          <w:bCs/>
          <w:i/>
          <w:iCs/>
          <w:sz w:val="24"/>
          <w:szCs w:val="24"/>
        </w:rPr>
        <w:t>Норвежки механизъм – Кой може да кандидатства за финансиране?</w:t>
      </w:r>
    </w:p>
    <w:p w14:paraId="1BD37CAC" w14:textId="77777777" w:rsidR="00156973" w:rsidRPr="00586A10" w:rsidRDefault="00156973" w:rsidP="00156973">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Също както и Структурните фондове на ЕС, този фонд предоставя подпомагане на държавите-членки, чийто брутен национален продукт на глава от населението е под 90% от средния за ЕС. Механизмът отразява приоритетите на ЕС за зелена, конкурентноспособна и приобщаваща Европа. България подписа меморандуми за разбирателство за изпълнението на Финансовия механизъм на Европейско икономическо пространство и на Норвежкия финансов механизъм за периода 2014-2021 г. Страната ни е сред първите от общо 15 държави, която подписва меморандумите за разбирателство.</w:t>
      </w:r>
    </w:p>
    <w:p w14:paraId="1B62A4D5" w14:textId="77777777" w:rsidR="00156973" w:rsidRPr="00586A10" w:rsidRDefault="00156973" w:rsidP="00156973">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По тази линия през програмния период 2014-2021 г. България имаше достъп до безвъзмездно финансиране в размер на 210.1 млн. евро, разпределени в 10 направления в ключови сектори. Във важни области за цялото общество средствата бяха съсредоточени в инициативи, където има недостатъчно финансиране от Кохезионната политика. Имахме възможност да използваме опита и иновативните решения на страните-донори Исландия, Лихтенщайн и Норвегия. Реализираните проекти допринесоха за растеж и работни места, за справяне с изменението на климата и енергийната зависимост, като същевременно намалиха бедността и социалното изключване. Те също така насърчиха двустранното и международното сътрудничество.</w:t>
      </w:r>
    </w:p>
    <w:p w14:paraId="325A4AC2" w14:textId="77777777" w:rsidR="00156973" w:rsidRDefault="00156973" w:rsidP="00156973">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Очаква се продължаване на Програмата "Възобновяема енергия, енергийна ефективност, енергийна сигурност" или подобна и през новия програмен период, предвид успешната реализация на редица проекти, свързани с използване на геотермална енергия.</w:t>
      </w:r>
    </w:p>
    <w:p w14:paraId="13555FBE" w14:textId="77777777" w:rsidR="00156973" w:rsidRPr="00586A10" w:rsidRDefault="00156973" w:rsidP="00156973">
      <w:pPr>
        <w:spacing w:before="120" w:after="120" w:line="276" w:lineRule="auto"/>
        <w:ind w:firstLine="425"/>
        <w:jc w:val="both"/>
        <w:rPr>
          <w:rFonts w:ascii="Times New Roman" w:hAnsi="Times New Roman" w:cs="Times New Roman"/>
          <w:sz w:val="24"/>
          <w:szCs w:val="24"/>
        </w:rPr>
      </w:pPr>
    </w:p>
    <w:p w14:paraId="6BA854D0" w14:textId="77777777" w:rsidR="00156973" w:rsidRPr="00586A10" w:rsidRDefault="00156973" w:rsidP="00156973">
      <w:pPr>
        <w:spacing w:before="120" w:after="120" w:line="276" w:lineRule="auto"/>
        <w:ind w:firstLine="425"/>
        <w:jc w:val="both"/>
        <w:rPr>
          <w:rFonts w:ascii="Times New Roman" w:hAnsi="Times New Roman" w:cs="Times New Roman"/>
          <w:sz w:val="24"/>
          <w:szCs w:val="24"/>
        </w:rPr>
      </w:pPr>
    </w:p>
    <w:p w14:paraId="635A45D7" w14:textId="77777777" w:rsidR="00156973" w:rsidRPr="00156973" w:rsidRDefault="00156973" w:rsidP="00156973">
      <w:pPr>
        <w:widowControl w:val="0"/>
        <w:pBdr>
          <w:top w:val="nil"/>
          <w:left w:val="nil"/>
          <w:bottom w:val="nil"/>
          <w:right w:val="nil"/>
          <w:between w:val="nil"/>
        </w:pBdr>
        <w:spacing w:before="120" w:after="120" w:line="276" w:lineRule="auto"/>
        <w:ind w:firstLine="425"/>
        <w:jc w:val="both"/>
        <w:rPr>
          <w:rFonts w:ascii="Times New Roman" w:hAnsi="Times New Roman" w:cs="Times New Roman"/>
          <w:b/>
          <w:sz w:val="24"/>
          <w:szCs w:val="24"/>
        </w:rPr>
      </w:pPr>
    </w:p>
    <w:p w14:paraId="5BB12202" w14:textId="77777777" w:rsidR="00156973" w:rsidRPr="00156973" w:rsidRDefault="00156973" w:rsidP="00156973">
      <w:pPr>
        <w:spacing w:before="120" w:after="120" w:line="276" w:lineRule="auto"/>
        <w:jc w:val="both"/>
        <w:rPr>
          <w:rFonts w:ascii="Times New Roman" w:hAnsi="Times New Roman" w:cs="Times New Roman"/>
          <w:sz w:val="24"/>
          <w:szCs w:val="24"/>
        </w:rPr>
      </w:pPr>
    </w:p>
    <w:p w14:paraId="4404B04B" w14:textId="77777777" w:rsidR="00156973" w:rsidRPr="00156973" w:rsidRDefault="00156973" w:rsidP="00156973">
      <w:pPr>
        <w:spacing w:before="120" w:after="120" w:line="276" w:lineRule="auto"/>
        <w:ind w:firstLine="425"/>
        <w:jc w:val="both"/>
        <w:rPr>
          <w:rFonts w:ascii="Times New Roman" w:hAnsi="Times New Roman" w:cs="Times New Roman"/>
          <w:sz w:val="24"/>
          <w:szCs w:val="24"/>
        </w:rPr>
      </w:pPr>
    </w:p>
    <w:p w14:paraId="148B951E" w14:textId="77777777" w:rsidR="00156973" w:rsidRPr="00156973" w:rsidRDefault="00156973" w:rsidP="00156973">
      <w:pPr>
        <w:spacing w:before="120" w:after="120" w:line="276" w:lineRule="auto"/>
        <w:jc w:val="both"/>
        <w:rPr>
          <w:rFonts w:ascii="Times New Roman" w:hAnsi="Times New Roman" w:cs="Times New Roman"/>
          <w:sz w:val="24"/>
          <w:szCs w:val="24"/>
        </w:rPr>
      </w:pPr>
    </w:p>
    <w:bookmarkEnd w:id="5"/>
    <w:p w14:paraId="6664DF5E" w14:textId="77777777" w:rsidR="00156973" w:rsidRPr="00156973" w:rsidRDefault="00156973" w:rsidP="00156973">
      <w:pPr>
        <w:spacing w:before="120" w:after="120" w:line="276" w:lineRule="auto"/>
        <w:ind w:firstLine="425"/>
        <w:jc w:val="both"/>
        <w:rPr>
          <w:rFonts w:ascii="Times New Roman" w:hAnsi="Times New Roman" w:cs="Times New Roman"/>
          <w:sz w:val="24"/>
          <w:szCs w:val="24"/>
        </w:rPr>
      </w:pPr>
    </w:p>
    <w:sectPr w:rsidR="00156973" w:rsidRPr="00156973" w:rsidSect="009E3BB5">
      <w:headerReference w:type="default" r:id="rId9"/>
      <w:footerReference w:type="default" r:id="rId10"/>
      <w:headerReference w:type="first" r:id="rId11"/>
      <w:footerReference w:type="first" r:id="rId12"/>
      <w:pgSz w:w="11906" w:h="16838"/>
      <w:pgMar w:top="1440" w:right="1440" w:bottom="851" w:left="1440" w:header="708" w:footer="6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A7722" w14:textId="77777777" w:rsidR="00827E8F" w:rsidRDefault="00827E8F" w:rsidP="003A6016">
      <w:pPr>
        <w:spacing w:after="0" w:line="240" w:lineRule="auto"/>
      </w:pPr>
      <w:r>
        <w:separator/>
      </w:r>
    </w:p>
  </w:endnote>
  <w:endnote w:type="continuationSeparator" w:id="0">
    <w:p w14:paraId="4787FEDA" w14:textId="77777777" w:rsidR="00827E8F" w:rsidRDefault="00827E8F" w:rsidP="003A6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7B1FF" w14:textId="57B781EF" w:rsidR="009E3BB5" w:rsidRPr="00325CB0" w:rsidRDefault="00000000" w:rsidP="009E3BB5">
    <w:pPr>
      <w:pStyle w:val="Footer"/>
      <w:jc w:val="center"/>
      <w:rPr>
        <w:rFonts w:ascii="Georgia" w:hAnsi="Georgia"/>
        <w:iCs/>
        <w:sz w:val="20"/>
        <w:szCs w:val="20"/>
      </w:rPr>
    </w:pPr>
    <w:hyperlink r:id="rId1" w:history="1">
      <w:r w:rsidR="009E3BB5" w:rsidRPr="0077140E">
        <w:rPr>
          <w:rStyle w:val="Hyperlink"/>
          <w:rFonts w:ascii="Georgia" w:hAnsi="Georgia"/>
          <w:i/>
          <w:iCs/>
          <w:sz w:val="20"/>
          <w:szCs w:val="20"/>
          <w:lang w:val="en-US"/>
        </w:rPr>
        <w:t>www.eufunds.bg</w:t>
      </w:r>
    </w:hyperlink>
  </w:p>
  <w:p w14:paraId="0364730F" w14:textId="11B88E64" w:rsidR="009E3BB5" w:rsidRPr="00512B61" w:rsidRDefault="009E3BB5" w:rsidP="009E3BB5">
    <w:pPr>
      <w:spacing w:after="0" w:line="240" w:lineRule="auto"/>
      <w:ind w:right="-144"/>
      <w:jc w:val="center"/>
      <w:rPr>
        <w:rFonts w:ascii="Georgia" w:hAnsi="Georgia"/>
        <w:iCs/>
        <w:sz w:val="20"/>
        <w:szCs w:val="20"/>
      </w:rPr>
    </w:pPr>
    <w:r w:rsidRPr="00325CB0">
      <w:rPr>
        <w:rFonts w:ascii="Georgia" w:hAnsi="Georgia"/>
        <w:i/>
        <w:iCs/>
        <w:sz w:val="20"/>
        <w:szCs w:val="20"/>
      </w:rPr>
      <w:t>Този документ е създаден съгласно Административен договор № BG05SFOP001-2.015-0001-C0</w:t>
    </w:r>
    <w:r w:rsidR="00162DB3">
      <w:rPr>
        <w:rFonts w:ascii="Georgia" w:hAnsi="Georgia"/>
        <w:i/>
        <w:iCs/>
        <w:sz w:val="20"/>
        <w:szCs w:val="20"/>
        <w:lang w:val="en-GB"/>
      </w:rPr>
      <w:t>2</w:t>
    </w:r>
    <w:r w:rsidRPr="00325CB0">
      <w:rPr>
        <w:rFonts w:ascii="Georgia" w:hAnsi="Georgia"/>
        <w:i/>
        <w:iCs/>
        <w:sz w:val="20"/>
        <w:szCs w:val="20"/>
      </w:rPr>
      <w:t>, проект „Повишаване на знанията, уменията и квалификацията на общинските служители, за предоставяне на безвъзмездна финансова помощ по Оперативна програма „Добро управление“, съфинансирана от Европейския съюз чрез Европейския социален фонд.</w:t>
    </w:r>
  </w:p>
  <w:sdt>
    <w:sdtPr>
      <w:id w:val="-1386415739"/>
      <w:docPartObj>
        <w:docPartGallery w:val="Page Numbers (Bottom of Page)"/>
        <w:docPartUnique/>
      </w:docPartObj>
    </w:sdtPr>
    <w:sdtEndPr>
      <w:rPr>
        <w:rFonts w:ascii="Times New Roman" w:hAnsi="Times New Roman" w:cs="Times New Roman"/>
        <w:b/>
        <w:bCs/>
        <w:noProof/>
        <w:sz w:val="20"/>
        <w:szCs w:val="20"/>
      </w:rPr>
    </w:sdtEndPr>
    <w:sdtContent>
      <w:p w14:paraId="5880D04B" w14:textId="37D90345" w:rsidR="003A6016" w:rsidRPr="009E3BB5" w:rsidRDefault="009E3BB5" w:rsidP="009E3BB5">
        <w:pPr>
          <w:pStyle w:val="Footer"/>
          <w:jc w:val="right"/>
          <w:rPr>
            <w:rFonts w:ascii="Times New Roman" w:hAnsi="Times New Roman" w:cs="Times New Roman"/>
            <w:b/>
            <w:bCs/>
            <w:sz w:val="20"/>
            <w:szCs w:val="20"/>
          </w:rPr>
        </w:pPr>
        <w:r w:rsidRPr="009E3BB5">
          <w:rPr>
            <w:rFonts w:ascii="Times New Roman" w:hAnsi="Times New Roman" w:cs="Times New Roman"/>
            <w:b/>
            <w:bCs/>
            <w:sz w:val="20"/>
            <w:szCs w:val="20"/>
          </w:rPr>
          <w:fldChar w:fldCharType="begin"/>
        </w:r>
        <w:r w:rsidRPr="009E3BB5">
          <w:rPr>
            <w:rFonts w:ascii="Times New Roman" w:hAnsi="Times New Roman" w:cs="Times New Roman"/>
            <w:b/>
            <w:bCs/>
            <w:sz w:val="20"/>
            <w:szCs w:val="20"/>
          </w:rPr>
          <w:instrText xml:space="preserve"> PAGE   \* MERGEFORMAT </w:instrText>
        </w:r>
        <w:r w:rsidRPr="009E3BB5">
          <w:rPr>
            <w:rFonts w:ascii="Times New Roman" w:hAnsi="Times New Roman" w:cs="Times New Roman"/>
            <w:b/>
            <w:bCs/>
            <w:sz w:val="20"/>
            <w:szCs w:val="20"/>
          </w:rPr>
          <w:fldChar w:fldCharType="separate"/>
        </w:r>
        <w:r w:rsidRPr="009E3BB5">
          <w:rPr>
            <w:rFonts w:ascii="Times New Roman" w:hAnsi="Times New Roman" w:cs="Times New Roman"/>
            <w:b/>
            <w:bCs/>
            <w:noProof/>
            <w:sz w:val="20"/>
            <w:szCs w:val="20"/>
          </w:rPr>
          <w:t>2</w:t>
        </w:r>
        <w:r w:rsidRPr="009E3BB5">
          <w:rPr>
            <w:rFonts w:ascii="Times New Roman" w:hAnsi="Times New Roman" w:cs="Times New Roman"/>
            <w:b/>
            <w:bCs/>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3B88D" w14:textId="77777777" w:rsidR="009E3BB5" w:rsidRPr="00325CB0" w:rsidRDefault="00000000" w:rsidP="009E3BB5">
    <w:pPr>
      <w:pStyle w:val="Footer"/>
      <w:jc w:val="center"/>
      <w:rPr>
        <w:rFonts w:ascii="Georgia" w:hAnsi="Georgia"/>
        <w:iCs/>
        <w:sz w:val="20"/>
        <w:szCs w:val="20"/>
      </w:rPr>
    </w:pPr>
    <w:hyperlink r:id="rId1" w:history="1">
      <w:r w:rsidR="009E3BB5" w:rsidRPr="00426EFB">
        <w:rPr>
          <w:rStyle w:val="Hyperlink"/>
          <w:rFonts w:ascii="Georgia" w:hAnsi="Georgia"/>
          <w:i/>
          <w:iCs/>
          <w:sz w:val="20"/>
          <w:szCs w:val="20"/>
          <w:lang w:val="en-US"/>
        </w:rPr>
        <w:t>www.eufunds.bg</w:t>
      </w:r>
    </w:hyperlink>
  </w:p>
  <w:p w14:paraId="3BF48273" w14:textId="0B1304CA" w:rsidR="009E3BB5" w:rsidRPr="009E3BB5" w:rsidRDefault="009E3BB5" w:rsidP="009E3BB5">
    <w:pPr>
      <w:spacing w:after="0" w:line="240" w:lineRule="auto"/>
      <w:ind w:right="-144"/>
      <w:jc w:val="center"/>
      <w:rPr>
        <w:rFonts w:ascii="Georgia" w:hAnsi="Georgia"/>
        <w:iCs/>
        <w:sz w:val="20"/>
        <w:szCs w:val="20"/>
      </w:rPr>
    </w:pPr>
    <w:r w:rsidRPr="00325CB0">
      <w:rPr>
        <w:rFonts w:ascii="Georgia" w:hAnsi="Georgia"/>
        <w:i/>
        <w:iCs/>
        <w:sz w:val="20"/>
        <w:szCs w:val="20"/>
      </w:rPr>
      <w:t>Този документ е създаден съгласно Административен договор № BG05SFOP001-2.015-0001-C0</w:t>
    </w:r>
    <w:r w:rsidR="00162DB3">
      <w:rPr>
        <w:rFonts w:ascii="Georgia" w:hAnsi="Georgia"/>
        <w:i/>
        <w:iCs/>
        <w:sz w:val="20"/>
        <w:szCs w:val="20"/>
        <w:lang w:val="en-GB"/>
      </w:rPr>
      <w:t>2</w:t>
    </w:r>
    <w:r w:rsidRPr="00325CB0">
      <w:rPr>
        <w:rFonts w:ascii="Georgia" w:hAnsi="Georgia"/>
        <w:i/>
        <w:iCs/>
        <w:sz w:val="20"/>
        <w:szCs w:val="20"/>
      </w:rPr>
      <w:t>, проект „Повишаване на знанията, уменията и квалификацията на общинските служители, за предоставяне на безвъзмездна финансова помощ по Оперативна програма „Добро управление“, съфинансирана от Европейския съюз чрез Европейския социален фонд.</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1BD87" w14:textId="77777777" w:rsidR="00827E8F" w:rsidRDefault="00827E8F" w:rsidP="003A6016">
      <w:pPr>
        <w:spacing w:after="0" w:line="240" w:lineRule="auto"/>
      </w:pPr>
      <w:r>
        <w:separator/>
      </w:r>
    </w:p>
  </w:footnote>
  <w:footnote w:type="continuationSeparator" w:id="0">
    <w:p w14:paraId="3EEEB0B7" w14:textId="77777777" w:rsidR="00827E8F" w:rsidRDefault="00827E8F" w:rsidP="003A6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1"/>
      <w:gridCol w:w="2235"/>
      <w:gridCol w:w="3280"/>
    </w:tblGrid>
    <w:tr w:rsidR="009E3BB5" w14:paraId="7928E19B" w14:textId="77777777" w:rsidTr="00C77A64">
      <w:trPr>
        <w:jc w:val="center"/>
      </w:trPr>
      <w:tc>
        <w:tcPr>
          <w:tcW w:w="3005" w:type="dxa"/>
          <w:vAlign w:val="center"/>
        </w:tcPr>
        <w:p w14:paraId="0791EC98" w14:textId="77777777" w:rsidR="009E3BB5" w:rsidRDefault="009E3BB5" w:rsidP="009E3BB5">
          <w:pPr>
            <w:pStyle w:val="Header"/>
            <w:jc w:val="center"/>
            <w:rPr>
              <w:rFonts w:ascii="Times New Roman" w:hAnsi="Times New Roman"/>
              <w:b/>
              <w:noProof/>
              <w:sz w:val="20"/>
              <w:szCs w:val="23"/>
            </w:rPr>
          </w:pPr>
          <w:r>
            <w:rPr>
              <w:rFonts w:ascii="Times New Roman" w:hAnsi="Times New Roman"/>
              <w:b/>
              <w:noProof/>
              <w:sz w:val="20"/>
              <w:szCs w:val="23"/>
              <w:lang w:val="en-US"/>
            </w:rPr>
            <w:drawing>
              <wp:inline distT="0" distB="0" distL="0" distR="0" wp14:anchorId="3063E06F" wp14:editId="02A5D62C">
                <wp:extent cx="2092325"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2325" cy="723900"/>
                        </a:xfrm>
                        <a:prstGeom prst="rect">
                          <a:avLst/>
                        </a:prstGeom>
                        <a:noFill/>
                        <a:ln>
                          <a:noFill/>
                        </a:ln>
                      </pic:spPr>
                    </pic:pic>
                  </a:graphicData>
                </a:graphic>
              </wp:inline>
            </w:drawing>
          </w:r>
        </w:p>
      </w:tc>
      <w:tc>
        <w:tcPr>
          <w:tcW w:w="3005" w:type="dxa"/>
          <w:vAlign w:val="center"/>
        </w:tcPr>
        <w:p w14:paraId="042E43BC" w14:textId="77777777" w:rsidR="009E3BB5" w:rsidRDefault="009E3BB5" w:rsidP="009E3BB5">
          <w:pPr>
            <w:pStyle w:val="Header"/>
            <w:jc w:val="center"/>
            <w:rPr>
              <w:rFonts w:ascii="Times New Roman" w:hAnsi="Times New Roman"/>
              <w:b/>
              <w:noProof/>
              <w:sz w:val="20"/>
              <w:szCs w:val="23"/>
            </w:rPr>
          </w:pPr>
          <w:r>
            <w:rPr>
              <w:noProof/>
            </w:rPr>
            <w:drawing>
              <wp:inline distT="0" distB="0" distL="0" distR="0" wp14:anchorId="2F161347" wp14:editId="7CEE5499">
                <wp:extent cx="989739" cy="629729"/>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2289" cy="694977"/>
                        </a:xfrm>
                        <a:prstGeom prst="rect">
                          <a:avLst/>
                        </a:prstGeom>
                        <a:noFill/>
                      </pic:spPr>
                    </pic:pic>
                  </a:graphicData>
                </a:graphic>
              </wp:inline>
            </w:drawing>
          </w:r>
        </w:p>
      </w:tc>
      <w:tc>
        <w:tcPr>
          <w:tcW w:w="3006" w:type="dxa"/>
          <w:vAlign w:val="center"/>
        </w:tcPr>
        <w:p w14:paraId="7DE945D4" w14:textId="77777777" w:rsidR="009E3BB5" w:rsidRDefault="009E3BB5" w:rsidP="009E3BB5">
          <w:pPr>
            <w:pStyle w:val="Header"/>
            <w:jc w:val="center"/>
            <w:rPr>
              <w:rFonts w:ascii="Times New Roman" w:hAnsi="Times New Roman"/>
              <w:b/>
              <w:noProof/>
              <w:sz w:val="20"/>
              <w:szCs w:val="23"/>
            </w:rPr>
          </w:pPr>
          <w:r>
            <w:rPr>
              <w:rFonts w:ascii="Times New Roman" w:hAnsi="Times New Roman"/>
              <w:b/>
              <w:noProof/>
              <w:sz w:val="20"/>
              <w:szCs w:val="23"/>
              <w:lang w:val="en-US"/>
            </w:rPr>
            <w:drawing>
              <wp:inline distT="0" distB="0" distL="0" distR="0" wp14:anchorId="5E305F33" wp14:editId="00C11DD8">
                <wp:extent cx="1945640" cy="7975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45640" cy="797560"/>
                        </a:xfrm>
                        <a:prstGeom prst="rect">
                          <a:avLst/>
                        </a:prstGeom>
                        <a:noFill/>
                        <a:ln>
                          <a:noFill/>
                        </a:ln>
                      </pic:spPr>
                    </pic:pic>
                  </a:graphicData>
                </a:graphic>
              </wp:inline>
            </w:drawing>
          </w:r>
        </w:p>
      </w:tc>
    </w:tr>
  </w:tbl>
  <w:p w14:paraId="2F115BDF" w14:textId="19FAC152" w:rsidR="003A6016" w:rsidRPr="009E3BB5" w:rsidRDefault="003A6016" w:rsidP="009E3B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1"/>
      <w:gridCol w:w="2235"/>
      <w:gridCol w:w="3280"/>
    </w:tblGrid>
    <w:tr w:rsidR="009E3BB5" w14:paraId="51F86275" w14:textId="77777777" w:rsidTr="00C77A64">
      <w:trPr>
        <w:jc w:val="center"/>
      </w:trPr>
      <w:tc>
        <w:tcPr>
          <w:tcW w:w="3005" w:type="dxa"/>
          <w:vAlign w:val="center"/>
        </w:tcPr>
        <w:p w14:paraId="4BF39474" w14:textId="77777777" w:rsidR="009E3BB5" w:rsidRDefault="009E3BB5" w:rsidP="009E3BB5">
          <w:pPr>
            <w:pStyle w:val="Header"/>
            <w:jc w:val="center"/>
            <w:rPr>
              <w:rFonts w:ascii="Times New Roman" w:hAnsi="Times New Roman"/>
              <w:b/>
              <w:noProof/>
              <w:sz w:val="20"/>
              <w:szCs w:val="23"/>
            </w:rPr>
          </w:pPr>
          <w:r>
            <w:rPr>
              <w:rFonts w:ascii="Times New Roman" w:hAnsi="Times New Roman"/>
              <w:b/>
              <w:noProof/>
              <w:sz w:val="20"/>
              <w:szCs w:val="23"/>
              <w:lang w:val="en-US"/>
            </w:rPr>
            <w:drawing>
              <wp:inline distT="0" distB="0" distL="0" distR="0" wp14:anchorId="40E604E3" wp14:editId="53563EE6">
                <wp:extent cx="2092325" cy="723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2325" cy="723900"/>
                        </a:xfrm>
                        <a:prstGeom prst="rect">
                          <a:avLst/>
                        </a:prstGeom>
                        <a:noFill/>
                        <a:ln>
                          <a:noFill/>
                        </a:ln>
                      </pic:spPr>
                    </pic:pic>
                  </a:graphicData>
                </a:graphic>
              </wp:inline>
            </w:drawing>
          </w:r>
        </w:p>
      </w:tc>
      <w:tc>
        <w:tcPr>
          <w:tcW w:w="3005" w:type="dxa"/>
          <w:vAlign w:val="center"/>
        </w:tcPr>
        <w:p w14:paraId="5A92F4AA" w14:textId="77777777" w:rsidR="009E3BB5" w:rsidRDefault="009E3BB5" w:rsidP="009E3BB5">
          <w:pPr>
            <w:pStyle w:val="Header"/>
            <w:jc w:val="center"/>
            <w:rPr>
              <w:rFonts w:ascii="Times New Roman" w:hAnsi="Times New Roman"/>
              <w:b/>
              <w:noProof/>
              <w:sz w:val="20"/>
              <w:szCs w:val="23"/>
            </w:rPr>
          </w:pPr>
          <w:r>
            <w:rPr>
              <w:noProof/>
            </w:rPr>
            <w:drawing>
              <wp:inline distT="0" distB="0" distL="0" distR="0" wp14:anchorId="2EB7CD81" wp14:editId="5C53A06F">
                <wp:extent cx="989739" cy="629729"/>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2289" cy="694977"/>
                        </a:xfrm>
                        <a:prstGeom prst="rect">
                          <a:avLst/>
                        </a:prstGeom>
                        <a:noFill/>
                      </pic:spPr>
                    </pic:pic>
                  </a:graphicData>
                </a:graphic>
              </wp:inline>
            </w:drawing>
          </w:r>
        </w:p>
      </w:tc>
      <w:tc>
        <w:tcPr>
          <w:tcW w:w="3006" w:type="dxa"/>
          <w:vAlign w:val="center"/>
        </w:tcPr>
        <w:p w14:paraId="52C10562" w14:textId="77777777" w:rsidR="009E3BB5" w:rsidRDefault="009E3BB5" w:rsidP="009E3BB5">
          <w:pPr>
            <w:pStyle w:val="Header"/>
            <w:jc w:val="center"/>
            <w:rPr>
              <w:rFonts w:ascii="Times New Roman" w:hAnsi="Times New Roman"/>
              <w:b/>
              <w:noProof/>
              <w:sz w:val="20"/>
              <w:szCs w:val="23"/>
            </w:rPr>
          </w:pPr>
          <w:r>
            <w:rPr>
              <w:rFonts w:ascii="Times New Roman" w:hAnsi="Times New Roman"/>
              <w:b/>
              <w:noProof/>
              <w:sz w:val="20"/>
              <w:szCs w:val="23"/>
              <w:lang w:val="en-US"/>
            </w:rPr>
            <w:drawing>
              <wp:inline distT="0" distB="0" distL="0" distR="0" wp14:anchorId="0F3EA29C" wp14:editId="70F0FDCE">
                <wp:extent cx="1945640" cy="79756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45640" cy="797560"/>
                        </a:xfrm>
                        <a:prstGeom prst="rect">
                          <a:avLst/>
                        </a:prstGeom>
                        <a:noFill/>
                        <a:ln>
                          <a:noFill/>
                        </a:ln>
                      </pic:spPr>
                    </pic:pic>
                  </a:graphicData>
                </a:graphic>
              </wp:inline>
            </w:drawing>
          </w:r>
        </w:p>
      </w:tc>
    </w:tr>
  </w:tbl>
  <w:p w14:paraId="2E259016" w14:textId="77777777" w:rsidR="009E3BB5" w:rsidRDefault="009E3B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36AE"/>
    <w:multiLevelType w:val="hybridMultilevel"/>
    <w:tmpl w:val="CBEE1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D42B62"/>
    <w:multiLevelType w:val="hybridMultilevel"/>
    <w:tmpl w:val="A49680B8"/>
    <w:lvl w:ilvl="0" w:tplc="49DA8546">
      <w:start w:val="1"/>
      <w:numFmt w:val="bullet"/>
      <w:suff w:val="space"/>
      <w:lvlText w:val=""/>
      <w:lvlJc w:val="left"/>
      <w:pPr>
        <w:ind w:left="0" w:firstLine="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95F24"/>
    <w:multiLevelType w:val="hybridMultilevel"/>
    <w:tmpl w:val="3F4EE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461B3"/>
    <w:multiLevelType w:val="hybridMultilevel"/>
    <w:tmpl w:val="AE02301A"/>
    <w:lvl w:ilvl="0" w:tplc="B6AA17E8">
      <w:start w:val="1"/>
      <w:numFmt w:val="bullet"/>
      <w:suff w:val="space"/>
      <w:lvlText w:val=""/>
      <w:lvlJc w:val="left"/>
      <w:pPr>
        <w:ind w:left="0" w:firstLine="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B4432F"/>
    <w:multiLevelType w:val="hybridMultilevel"/>
    <w:tmpl w:val="2000FCCC"/>
    <w:lvl w:ilvl="0" w:tplc="7924EA60">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 w15:restartNumberingAfterBreak="0">
    <w:nsid w:val="2A44347A"/>
    <w:multiLevelType w:val="hybridMultilevel"/>
    <w:tmpl w:val="ACFA83D8"/>
    <w:lvl w:ilvl="0" w:tplc="DAAC99D6">
      <w:start w:val="1"/>
      <w:numFmt w:val="bullet"/>
      <w:suff w:val="space"/>
      <w:lvlText w:val=""/>
      <w:lvlJc w:val="left"/>
      <w:pPr>
        <w:ind w:left="0" w:firstLine="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F82D79"/>
    <w:multiLevelType w:val="hybridMultilevel"/>
    <w:tmpl w:val="685E7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7070F60"/>
    <w:multiLevelType w:val="hybridMultilevel"/>
    <w:tmpl w:val="027A4C08"/>
    <w:lvl w:ilvl="0" w:tplc="B1DE170C">
      <w:start w:val="1"/>
      <w:numFmt w:val="bullet"/>
      <w:suff w:val="space"/>
      <w:lvlText w:val=""/>
      <w:lvlJc w:val="left"/>
      <w:pPr>
        <w:ind w:left="0" w:firstLine="425"/>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8" w15:restartNumberingAfterBreak="0">
    <w:nsid w:val="7F2913C4"/>
    <w:multiLevelType w:val="hybridMultilevel"/>
    <w:tmpl w:val="D0527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8743567">
    <w:abstractNumId w:val="1"/>
  </w:num>
  <w:num w:numId="2" w16cid:durableId="1426415447">
    <w:abstractNumId w:val="3"/>
  </w:num>
  <w:num w:numId="3" w16cid:durableId="149909411">
    <w:abstractNumId w:val="2"/>
  </w:num>
  <w:num w:numId="4" w16cid:durableId="1037661590">
    <w:abstractNumId w:val="8"/>
  </w:num>
  <w:num w:numId="5" w16cid:durableId="2082481423">
    <w:abstractNumId w:val="5"/>
  </w:num>
  <w:num w:numId="6" w16cid:durableId="1740251714">
    <w:abstractNumId w:val="7"/>
  </w:num>
  <w:num w:numId="7" w16cid:durableId="955023293">
    <w:abstractNumId w:val="4"/>
  </w:num>
  <w:num w:numId="8" w16cid:durableId="1710573482">
    <w:abstractNumId w:val="0"/>
  </w:num>
  <w:num w:numId="9" w16cid:durableId="197999254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E66"/>
    <w:rsid w:val="00042D0B"/>
    <w:rsid w:val="00052720"/>
    <w:rsid w:val="000907C3"/>
    <w:rsid w:val="000D143D"/>
    <w:rsid w:val="00122760"/>
    <w:rsid w:val="00140E75"/>
    <w:rsid w:val="0014600C"/>
    <w:rsid w:val="00156973"/>
    <w:rsid w:val="00162DB3"/>
    <w:rsid w:val="001744BC"/>
    <w:rsid w:val="00186A4D"/>
    <w:rsid w:val="001D3387"/>
    <w:rsid w:val="001D702E"/>
    <w:rsid w:val="001E02A8"/>
    <w:rsid w:val="001E1B7B"/>
    <w:rsid w:val="0020497B"/>
    <w:rsid w:val="00230B79"/>
    <w:rsid w:val="00235D3E"/>
    <w:rsid w:val="00241BE2"/>
    <w:rsid w:val="00243460"/>
    <w:rsid w:val="00247001"/>
    <w:rsid w:val="00251782"/>
    <w:rsid w:val="002644EA"/>
    <w:rsid w:val="0026746D"/>
    <w:rsid w:val="002D424D"/>
    <w:rsid w:val="002F0CA4"/>
    <w:rsid w:val="0031301D"/>
    <w:rsid w:val="00325CB0"/>
    <w:rsid w:val="00344596"/>
    <w:rsid w:val="003446D2"/>
    <w:rsid w:val="003533F2"/>
    <w:rsid w:val="00366156"/>
    <w:rsid w:val="003742B5"/>
    <w:rsid w:val="00375A64"/>
    <w:rsid w:val="003846CC"/>
    <w:rsid w:val="003945E3"/>
    <w:rsid w:val="00395DF9"/>
    <w:rsid w:val="00396E4C"/>
    <w:rsid w:val="003A18BF"/>
    <w:rsid w:val="003A6016"/>
    <w:rsid w:val="003E7B49"/>
    <w:rsid w:val="00413CA8"/>
    <w:rsid w:val="004544FE"/>
    <w:rsid w:val="004747C8"/>
    <w:rsid w:val="004811F8"/>
    <w:rsid w:val="004970D1"/>
    <w:rsid w:val="004A3204"/>
    <w:rsid w:val="004B4900"/>
    <w:rsid w:val="004C0EB6"/>
    <w:rsid w:val="004F2EF3"/>
    <w:rsid w:val="00512B61"/>
    <w:rsid w:val="00521B6D"/>
    <w:rsid w:val="0052229A"/>
    <w:rsid w:val="00525825"/>
    <w:rsid w:val="00525E02"/>
    <w:rsid w:val="005270B1"/>
    <w:rsid w:val="00540DF8"/>
    <w:rsid w:val="00554BEB"/>
    <w:rsid w:val="00557151"/>
    <w:rsid w:val="00594D6E"/>
    <w:rsid w:val="005B2972"/>
    <w:rsid w:val="005C214C"/>
    <w:rsid w:val="005D1D4E"/>
    <w:rsid w:val="005E11D6"/>
    <w:rsid w:val="005E279B"/>
    <w:rsid w:val="00625DBC"/>
    <w:rsid w:val="0063764E"/>
    <w:rsid w:val="00652FB4"/>
    <w:rsid w:val="00663ACE"/>
    <w:rsid w:val="00670DCD"/>
    <w:rsid w:val="00695384"/>
    <w:rsid w:val="006A42C3"/>
    <w:rsid w:val="006C15EF"/>
    <w:rsid w:val="006D2053"/>
    <w:rsid w:val="006E06A4"/>
    <w:rsid w:val="006E4721"/>
    <w:rsid w:val="006E7ABB"/>
    <w:rsid w:val="006F7AB2"/>
    <w:rsid w:val="00711ED3"/>
    <w:rsid w:val="007246D4"/>
    <w:rsid w:val="0074035A"/>
    <w:rsid w:val="007515B4"/>
    <w:rsid w:val="0076411A"/>
    <w:rsid w:val="00771349"/>
    <w:rsid w:val="0079682F"/>
    <w:rsid w:val="007C371B"/>
    <w:rsid w:val="007C7C8F"/>
    <w:rsid w:val="007D1739"/>
    <w:rsid w:val="007E692B"/>
    <w:rsid w:val="008138BF"/>
    <w:rsid w:val="00827E8F"/>
    <w:rsid w:val="008615D0"/>
    <w:rsid w:val="008647F7"/>
    <w:rsid w:val="0086730B"/>
    <w:rsid w:val="00896416"/>
    <w:rsid w:val="008A128D"/>
    <w:rsid w:val="008B34FC"/>
    <w:rsid w:val="008C61F8"/>
    <w:rsid w:val="008D7651"/>
    <w:rsid w:val="008E57F5"/>
    <w:rsid w:val="008E6A29"/>
    <w:rsid w:val="008E77BF"/>
    <w:rsid w:val="008F5D02"/>
    <w:rsid w:val="009247B6"/>
    <w:rsid w:val="00944B3E"/>
    <w:rsid w:val="00961ED3"/>
    <w:rsid w:val="009874B3"/>
    <w:rsid w:val="009A7190"/>
    <w:rsid w:val="009C73AE"/>
    <w:rsid w:val="009E345A"/>
    <w:rsid w:val="009E3BB5"/>
    <w:rsid w:val="009F624F"/>
    <w:rsid w:val="00A0413E"/>
    <w:rsid w:val="00A201EC"/>
    <w:rsid w:val="00A331D0"/>
    <w:rsid w:val="00A45B2C"/>
    <w:rsid w:val="00A47E14"/>
    <w:rsid w:val="00A51117"/>
    <w:rsid w:val="00AA4A68"/>
    <w:rsid w:val="00AB0E66"/>
    <w:rsid w:val="00AD58D8"/>
    <w:rsid w:val="00AF5AA9"/>
    <w:rsid w:val="00B11A5F"/>
    <w:rsid w:val="00B1593E"/>
    <w:rsid w:val="00B20D73"/>
    <w:rsid w:val="00B30003"/>
    <w:rsid w:val="00B66625"/>
    <w:rsid w:val="00B676BA"/>
    <w:rsid w:val="00B83796"/>
    <w:rsid w:val="00BA134F"/>
    <w:rsid w:val="00BC5FA0"/>
    <w:rsid w:val="00C01D7E"/>
    <w:rsid w:val="00C46182"/>
    <w:rsid w:val="00C76780"/>
    <w:rsid w:val="00CB0ABD"/>
    <w:rsid w:val="00CC4A9E"/>
    <w:rsid w:val="00CD519E"/>
    <w:rsid w:val="00D00549"/>
    <w:rsid w:val="00D26355"/>
    <w:rsid w:val="00D719CC"/>
    <w:rsid w:val="00D770F5"/>
    <w:rsid w:val="00D92FA6"/>
    <w:rsid w:val="00DE1143"/>
    <w:rsid w:val="00DE65B2"/>
    <w:rsid w:val="00DF7CAB"/>
    <w:rsid w:val="00E176AD"/>
    <w:rsid w:val="00E238C4"/>
    <w:rsid w:val="00E23A1A"/>
    <w:rsid w:val="00E929E4"/>
    <w:rsid w:val="00E9383D"/>
    <w:rsid w:val="00E94792"/>
    <w:rsid w:val="00EA1333"/>
    <w:rsid w:val="00EB078E"/>
    <w:rsid w:val="00EB66A0"/>
    <w:rsid w:val="00EC7D74"/>
    <w:rsid w:val="00ED2BE3"/>
    <w:rsid w:val="00F11D0A"/>
    <w:rsid w:val="00F33E04"/>
    <w:rsid w:val="00F60260"/>
    <w:rsid w:val="00F61F55"/>
    <w:rsid w:val="00FA79D1"/>
    <w:rsid w:val="00FC5062"/>
    <w:rsid w:val="00FD368F"/>
    <w:rsid w:val="00FD581F"/>
    <w:rsid w:val="00FF1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7EA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paragraph" w:styleId="Heading1">
    <w:name w:val="heading 1"/>
    <w:basedOn w:val="Normal"/>
    <w:next w:val="Normal"/>
    <w:link w:val="Heading1Char"/>
    <w:autoRedefine/>
    <w:qFormat/>
    <w:rsid w:val="00366156"/>
    <w:pPr>
      <w:widowControl w:val="0"/>
      <w:pBdr>
        <w:top w:val="single" w:sz="4" w:space="1" w:color="auto"/>
        <w:left w:val="single" w:sz="4" w:space="4" w:color="auto"/>
        <w:bottom w:val="single" w:sz="4" w:space="1" w:color="auto"/>
        <w:right w:val="single" w:sz="4" w:space="4" w:color="auto"/>
      </w:pBdr>
      <w:shd w:val="clear" w:color="auto" w:fill="B7DFA8"/>
      <w:spacing w:after="0" w:line="276" w:lineRule="auto"/>
      <w:jc w:val="both"/>
      <w:outlineLvl w:val="0"/>
    </w:pPr>
    <w:rPr>
      <w:rFonts w:ascii="Arial" w:eastAsia="Calibri" w:hAnsi="Arial" w:cs="Arial"/>
      <w:b/>
      <w:sz w:val="24"/>
      <w:szCs w:val="24"/>
      <w:lang w:eastAsia="x-none"/>
    </w:rPr>
  </w:style>
  <w:style w:type="paragraph" w:styleId="Heading2">
    <w:name w:val="heading 2"/>
    <w:basedOn w:val="Normal"/>
    <w:next w:val="Normal"/>
    <w:link w:val="Heading2Char"/>
    <w:autoRedefine/>
    <w:qFormat/>
    <w:rsid w:val="00ED2BE3"/>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EFD9" w:themeFill="accent6" w:themeFillTint="33"/>
      <w:spacing w:before="120" w:after="120" w:line="276" w:lineRule="auto"/>
      <w:jc w:val="center"/>
      <w:outlineLvl w:val="1"/>
    </w:pPr>
    <w:rPr>
      <w:rFonts w:ascii="Times New Roman" w:eastAsia="Calibri" w:hAnsi="Times New Roman" w:cs="Times New Roman"/>
      <w:b/>
      <w:bCs/>
      <w:sz w:val="28"/>
      <w:szCs w:val="28"/>
      <w:lang w:eastAsia="x-none"/>
    </w:rPr>
  </w:style>
  <w:style w:type="paragraph" w:styleId="Heading3">
    <w:name w:val="heading 3"/>
    <w:basedOn w:val="Normal"/>
    <w:next w:val="Normal"/>
    <w:link w:val="Heading3Char"/>
    <w:uiPriority w:val="9"/>
    <w:semiHidden/>
    <w:unhideWhenUsed/>
    <w:qFormat/>
    <w:rsid w:val="008A12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60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016"/>
    <w:rPr>
      <w:lang w:val="bg-BG"/>
    </w:rPr>
  </w:style>
  <w:style w:type="paragraph" w:styleId="Footer">
    <w:name w:val="footer"/>
    <w:basedOn w:val="Normal"/>
    <w:link w:val="FooterChar"/>
    <w:uiPriority w:val="99"/>
    <w:unhideWhenUsed/>
    <w:rsid w:val="003A60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016"/>
    <w:rPr>
      <w:lang w:val="bg-BG"/>
    </w:rPr>
  </w:style>
  <w:style w:type="character" w:styleId="Hyperlink">
    <w:name w:val="Hyperlink"/>
    <w:basedOn w:val="DefaultParagraphFont"/>
    <w:uiPriority w:val="99"/>
    <w:unhideWhenUsed/>
    <w:rsid w:val="00E929E4"/>
    <w:rPr>
      <w:color w:val="0563C1" w:themeColor="hyperlink"/>
      <w:u w:val="single"/>
    </w:rPr>
  </w:style>
  <w:style w:type="character" w:styleId="UnresolvedMention">
    <w:name w:val="Unresolved Mention"/>
    <w:basedOn w:val="DefaultParagraphFont"/>
    <w:uiPriority w:val="99"/>
    <w:semiHidden/>
    <w:unhideWhenUsed/>
    <w:rsid w:val="00325CB0"/>
    <w:rPr>
      <w:color w:val="605E5C"/>
      <w:shd w:val="clear" w:color="auto" w:fill="E1DFDD"/>
    </w:rPr>
  </w:style>
  <w:style w:type="table" w:styleId="TableGrid">
    <w:name w:val="Table Grid"/>
    <w:basedOn w:val="TableNormal"/>
    <w:uiPriority w:val="39"/>
    <w:qFormat/>
    <w:rsid w:val="009C7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66A0"/>
    <w:pPr>
      <w:ind w:left="720"/>
      <w:contextualSpacing/>
    </w:pPr>
  </w:style>
  <w:style w:type="character" w:customStyle="1" w:styleId="Heading1Char">
    <w:name w:val="Heading 1 Char"/>
    <w:basedOn w:val="DefaultParagraphFont"/>
    <w:link w:val="Heading1"/>
    <w:rsid w:val="00366156"/>
    <w:rPr>
      <w:rFonts w:ascii="Arial" w:eastAsia="Calibri" w:hAnsi="Arial" w:cs="Arial"/>
      <w:b/>
      <w:sz w:val="24"/>
      <w:szCs w:val="24"/>
      <w:shd w:val="clear" w:color="auto" w:fill="B7DFA8"/>
      <w:lang w:val="bg-BG" w:eastAsia="x-none"/>
    </w:rPr>
  </w:style>
  <w:style w:type="character" w:customStyle="1" w:styleId="Heading2Char">
    <w:name w:val="Heading 2 Char"/>
    <w:basedOn w:val="DefaultParagraphFont"/>
    <w:link w:val="Heading2"/>
    <w:rsid w:val="00ED2BE3"/>
    <w:rPr>
      <w:rFonts w:ascii="Times New Roman" w:eastAsia="Calibri" w:hAnsi="Times New Roman" w:cs="Times New Roman"/>
      <w:b/>
      <w:bCs/>
      <w:sz w:val="28"/>
      <w:szCs w:val="28"/>
      <w:shd w:val="clear" w:color="auto" w:fill="E2EFD9" w:themeFill="accent6" w:themeFillTint="33"/>
      <w:lang w:val="bg-BG" w:eastAsia="x-none"/>
    </w:rPr>
  </w:style>
  <w:style w:type="paragraph" w:styleId="NormalWeb">
    <w:name w:val="Normal (Web)"/>
    <w:basedOn w:val="Normal"/>
    <w:uiPriority w:val="99"/>
    <w:rsid w:val="00366156"/>
    <w:pPr>
      <w:spacing w:after="100" w:afterAutospacing="1" w:line="240" w:lineRule="auto"/>
    </w:pPr>
    <w:rPr>
      <w:rFonts w:ascii="Times New Roman" w:eastAsia="Times New Roman" w:hAnsi="Times New Roman" w:cs="Times New Roman"/>
      <w:sz w:val="24"/>
      <w:szCs w:val="24"/>
      <w:lang w:eastAsia="bg-BG"/>
    </w:rPr>
  </w:style>
  <w:style w:type="character" w:customStyle="1" w:styleId="apple-converted-space">
    <w:name w:val="apple-converted-space"/>
    <w:basedOn w:val="DefaultParagraphFont"/>
    <w:rsid w:val="00366156"/>
  </w:style>
  <w:style w:type="paragraph" w:styleId="TOCHeading">
    <w:name w:val="TOC Heading"/>
    <w:basedOn w:val="Heading1"/>
    <w:next w:val="Normal"/>
    <w:uiPriority w:val="39"/>
    <w:unhideWhenUsed/>
    <w:qFormat/>
    <w:rsid w:val="00366156"/>
    <w:pPr>
      <w:keepNext/>
      <w:keepLines/>
      <w:widowControl/>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2">
    <w:name w:val="toc 2"/>
    <w:basedOn w:val="Normal"/>
    <w:next w:val="Normal"/>
    <w:autoRedefine/>
    <w:uiPriority w:val="39"/>
    <w:unhideWhenUsed/>
    <w:rsid w:val="003846CC"/>
    <w:pPr>
      <w:pBdr>
        <w:between w:val="single" w:sz="4" w:space="1" w:color="auto"/>
        <w:bar w:val="single" w:sz="4" w:color="auto"/>
      </w:pBdr>
      <w:tabs>
        <w:tab w:val="right" w:leader="dot" w:pos="8800"/>
      </w:tabs>
      <w:spacing w:after="0" w:line="240" w:lineRule="auto"/>
      <w:ind w:left="-110"/>
      <w:jc w:val="both"/>
    </w:pPr>
  </w:style>
  <w:style w:type="paragraph" w:styleId="TOC1">
    <w:name w:val="toc 1"/>
    <w:basedOn w:val="Normal"/>
    <w:next w:val="Normal"/>
    <w:autoRedefine/>
    <w:uiPriority w:val="39"/>
    <w:unhideWhenUsed/>
    <w:rsid w:val="00366156"/>
    <w:pPr>
      <w:spacing w:after="100"/>
    </w:pPr>
  </w:style>
  <w:style w:type="character" w:customStyle="1" w:styleId="Heading3Char">
    <w:name w:val="Heading 3 Char"/>
    <w:basedOn w:val="DefaultParagraphFont"/>
    <w:link w:val="Heading3"/>
    <w:uiPriority w:val="9"/>
    <w:semiHidden/>
    <w:rsid w:val="008A128D"/>
    <w:rPr>
      <w:rFonts w:asciiTheme="majorHAnsi" w:eastAsiaTheme="majorEastAsia" w:hAnsiTheme="majorHAnsi" w:cstheme="majorBidi"/>
      <w:color w:val="1F3763" w:themeColor="accent1" w:themeShade="7F"/>
      <w:sz w:val="24"/>
      <w:szCs w:val="24"/>
      <w:lang w:val="bg-BG"/>
    </w:rPr>
  </w:style>
  <w:style w:type="paragraph" w:styleId="TOC3">
    <w:name w:val="toc 3"/>
    <w:basedOn w:val="Normal"/>
    <w:next w:val="Normal"/>
    <w:autoRedefine/>
    <w:uiPriority w:val="39"/>
    <w:unhideWhenUsed/>
    <w:rsid w:val="009E345A"/>
    <w:pPr>
      <w:spacing w:after="100"/>
      <w:ind w:left="440"/>
    </w:pPr>
    <w:rPr>
      <w:rFonts w:eastAsiaTheme="minorEastAsia" w:cs="Times New Roman"/>
      <w:lang w:val="en-US"/>
    </w:rPr>
  </w:style>
  <w:style w:type="paragraph" w:customStyle="1" w:styleId="m">
    <w:name w:val="m"/>
    <w:basedOn w:val="Normal"/>
    <w:rsid w:val="004B490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unhideWhenUsed/>
    <w:rsid w:val="004B4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4B4900"/>
    <w:rPr>
      <w:rFonts w:ascii="Courier New" w:eastAsia="Times New Roman" w:hAnsi="Courier New" w:cs="Courier New"/>
      <w:sz w:val="20"/>
      <w:szCs w:val="20"/>
      <w:lang w:val="en-US"/>
    </w:rPr>
  </w:style>
  <w:style w:type="paragraph" w:customStyle="1" w:styleId="Default">
    <w:name w:val="Default"/>
    <w:rsid w:val="003945E3"/>
    <w:pPr>
      <w:autoSpaceDE w:val="0"/>
      <w:autoSpaceDN w:val="0"/>
      <w:adjustRightInd w:val="0"/>
      <w:spacing w:after="0" w:line="240" w:lineRule="auto"/>
    </w:pPr>
    <w:rPr>
      <w:rFonts w:ascii="Calibri" w:hAnsi="Calibri" w:cs="Calibri"/>
      <w:color w:val="000000"/>
      <w:sz w:val="24"/>
      <w:szCs w:val="24"/>
      <w:lang w:val="en-US"/>
    </w:rPr>
  </w:style>
  <w:style w:type="character" w:customStyle="1" w:styleId="1">
    <w:name w:val="Основен текст + Удебелен1"/>
    <w:uiPriority w:val="99"/>
    <w:rsid w:val="005E11D6"/>
    <w:rPr>
      <w:rFonts w:ascii="Times New Roman" w:hAnsi="Times New Roman" w:cs="Times New Roman"/>
      <w:b/>
      <w:bCs/>
      <w:sz w:val="22"/>
      <w:szCs w:val="22"/>
      <w:u w:val="none"/>
      <w:shd w:val="clear" w:color="auto" w:fill="FFFFFF"/>
    </w:rPr>
  </w:style>
  <w:style w:type="character" w:customStyle="1" w:styleId="Bodytext2">
    <w:name w:val="Body text (2)"/>
    <w:rsid w:val="0015697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bg-BG" w:eastAsia="bg-BG" w:bidi="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funds.bg/sites/default/files/uploads/opos/editor/POS%202021-2027_BG%2010102022.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B07EF-2E89-4131-B296-CDC7714D1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3394</Words>
  <Characters>19347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2021-08-08T14:23:00Z</dcterms:created>
  <dcterms:modified xsi:type="dcterms:W3CDTF">2023-01-05T13:44:00Z</dcterms:modified>
</cp:coreProperties>
</file>