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8C17" w14:textId="255E9835" w:rsidR="006E7ABB" w:rsidRPr="005E11D6" w:rsidRDefault="006E7ABB" w:rsidP="006E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1D6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74035A" w:rsidRPr="005E11D6">
        <w:rPr>
          <w:rFonts w:ascii="Times New Roman" w:hAnsi="Times New Roman"/>
          <w:b/>
          <w:bCs/>
          <w:sz w:val="24"/>
          <w:szCs w:val="24"/>
        </w:rPr>
        <w:t>5</w:t>
      </w:r>
      <w:r w:rsidRPr="005E11D6">
        <w:rPr>
          <w:rFonts w:ascii="Times New Roman" w:hAnsi="Times New Roman"/>
          <w:b/>
          <w:bCs/>
          <w:sz w:val="24"/>
          <w:szCs w:val="24"/>
        </w:rPr>
        <w:t>:</w:t>
      </w:r>
    </w:p>
    <w:p w14:paraId="414B23D9" w14:textId="16B4B692" w:rsidR="006E7ABB" w:rsidRPr="005E11D6" w:rsidRDefault="00FC5062" w:rsidP="006E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1D6">
        <w:rPr>
          <w:rFonts w:ascii="Times New Roman" w:hAnsi="Times New Roman"/>
          <w:b/>
          <w:bCs/>
          <w:sz w:val="24"/>
          <w:szCs w:val="24"/>
        </w:rPr>
        <w:t>„</w:t>
      </w:r>
      <w:r w:rsidR="0074035A" w:rsidRPr="005E11D6">
        <w:rPr>
          <w:rFonts w:ascii="Times New Roman" w:hAnsi="Times New Roman"/>
          <w:b/>
          <w:bCs/>
          <w:sz w:val="24"/>
          <w:szCs w:val="24"/>
        </w:rPr>
        <w:t>ТАРИФИ И ВЪЗМОЖНОСТИ ЗА РАЗХОДВАНЕ НА СРЕДСТВАТА СЪБИРАНИ ОТ ТАКСИТЕ ЗА ВОДОВЗЕМАНЕ ОТ МИНЕРАЛНА ВОДА.”</w:t>
      </w:r>
    </w:p>
    <w:p w14:paraId="674D1CFC" w14:textId="4A3D9EA8" w:rsidR="00A201EC" w:rsidRPr="005E11D6" w:rsidRDefault="00A201EC" w:rsidP="006E7ABB">
      <w:pPr>
        <w:spacing w:before="120" w:after="120" w:line="276" w:lineRule="auto"/>
        <w:rPr>
          <w:rFonts w:ascii="Times New Roman" w:hAnsi="Times New Roman" w:cs="Times New Roman"/>
          <w:sz w:val="48"/>
          <w:szCs w:val="4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bg-BG"/>
        </w:rPr>
        <w:id w:val="-71435482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CF26FF" w14:textId="17DDADBE" w:rsidR="009E345A" w:rsidRPr="005E11D6" w:rsidRDefault="00C01D7E" w:rsidP="003846CC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lang w:val="bg-BG"/>
            </w:rPr>
          </w:pPr>
          <w:r w:rsidRPr="005E11D6">
            <w:rPr>
              <w:rFonts w:ascii="Times New Roman" w:hAnsi="Times New Roman" w:cs="Times New Roman"/>
              <w:b/>
              <w:bCs/>
              <w:color w:val="auto"/>
              <w:lang w:val="bg-BG"/>
            </w:rPr>
            <w:t>СЪДЪРЖАНИЕ</w:t>
          </w:r>
        </w:p>
        <w:p w14:paraId="70940659" w14:textId="362042AF" w:rsidR="00F11D0A" w:rsidRPr="00F11D0A" w:rsidRDefault="009E345A" w:rsidP="00F11D0A">
          <w:pPr>
            <w:pStyle w:val="TOC2"/>
            <w:pBdr>
              <w:between w:val="none" w:sz="0" w:space="0" w:color="auto"/>
              <w:bar w:val="none" w:sz="0" w:color="auto"/>
            </w:pBdr>
            <w:spacing w:before="120" w:after="120" w:line="276" w:lineRule="auto"/>
            <w:ind w:right="237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r w:rsidRPr="00F11D0A">
            <w:rPr>
              <w:rFonts w:ascii="Times New Roman" w:hAnsi="Times New Roman" w:cs="Times New Roman"/>
            </w:rPr>
            <w:fldChar w:fldCharType="begin"/>
          </w:r>
          <w:r w:rsidRPr="00F11D0A">
            <w:rPr>
              <w:rFonts w:ascii="Times New Roman" w:hAnsi="Times New Roman" w:cs="Times New Roman"/>
            </w:rPr>
            <w:instrText xml:space="preserve"> TOC \o "1-3" \h \z \u </w:instrText>
          </w:r>
          <w:r w:rsidRPr="00F11D0A">
            <w:rPr>
              <w:rFonts w:ascii="Times New Roman" w:hAnsi="Times New Roman" w:cs="Times New Roman"/>
            </w:rPr>
            <w:fldChar w:fldCharType="separate"/>
          </w:r>
          <w:hyperlink w:anchor="_Toc123824257" w:history="1">
            <w:r w:rsidR="00F11D0A" w:rsidRPr="00F11D0A">
              <w:rPr>
                <w:rStyle w:val="Hyperlink"/>
                <w:rFonts w:ascii="Times New Roman" w:hAnsi="Times New Roman" w:cs="Times New Roman"/>
                <w:noProof/>
              </w:rPr>
              <w:t>1. Общи положения</w:t>
            </w:r>
            <w:r w:rsidR="00F11D0A" w:rsidRPr="00F11D0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11D0A" w:rsidRPr="00F11D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1D0A" w:rsidRPr="00F11D0A">
              <w:rPr>
                <w:rFonts w:ascii="Times New Roman" w:hAnsi="Times New Roman" w:cs="Times New Roman"/>
                <w:noProof/>
                <w:webHidden/>
              </w:rPr>
              <w:instrText xml:space="preserve"> PAGEREF _Toc123824257 \h </w:instrText>
            </w:r>
            <w:r w:rsidR="00F11D0A" w:rsidRPr="00F11D0A">
              <w:rPr>
                <w:rFonts w:ascii="Times New Roman" w:hAnsi="Times New Roman" w:cs="Times New Roman"/>
                <w:noProof/>
                <w:webHidden/>
              </w:rPr>
            </w:r>
            <w:r w:rsidR="00F11D0A" w:rsidRPr="00F11D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647F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F11D0A" w:rsidRPr="00F11D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C47ADE" w14:textId="7A7F5573" w:rsidR="00F11D0A" w:rsidRPr="00F11D0A" w:rsidRDefault="00F11D0A" w:rsidP="00F11D0A">
          <w:pPr>
            <w:pStyle w:val="TOC2"/>
            <w:pBdr>
              <w:between w:val="none" w:sz="0" w:space="0" w:color="auto"/>
              <w:bar w:val="none" w:sz="0" w:color="auto"/>
            </w:pBdr>
            <w:spacing w:before="120" w:after="120" w:line="276" w:lineRule="auto"/>
            <w:ind w:right="237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23824258" w:history="1">
            <w:r w:rsidRPr="00F11D0A">
              <w:rPr>
                <w:rStyle w:val="Hyperlink"/>
                <w:rFonts w:ascii="Times New Roman" w:hAnsi="Times New Roman" w:cs="Times New Roman"/>
                <w:noProof/>
              </w:rPr>
              <w:t>1.2. Практика на общините при опреде</w:t>
            </w:r>
            <w:r w:rsidRPr="00F11D0A">
              <w:rPr>
                <w:rStyle w:val="Hyperlink"/>
                <w:rFonts w:ascii="Times New Roman" w:hAnsi="Times New Roman" w:cs="Times New Roman"/>
                <w:noProof/>
              </w:rPr>
              <w:t>л</w:t>
            </w:r>
            <w:r w:rsidRPr="00F11D0A">
              <w:rPr>
                <w:rStyle w:val="Hyperlink"/>
                <w:rFonts w:ascii="Times New Roman" w:hAnsi="Times New Roman" w:cs="Times New Roman"/>
                <w:noProof/>
              </w:rPr>
              <w:t>яне на таксите за водовземане</w:t>
            </w:r>
            <w:r w:rsidRPr="00F11D0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11D0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11D0A">
              <w:rPr>
                <w:rFonts w:ascii="Times New Roman" w:hAnsi="Times New Roman" w:cs="Times New Roman"/>
                <w:noProof/>
                <w:webHidden/>
              </w:rPr>
              <w:instrText xml:space="preserve"> PAGEREF _Toc123824258 \h </w:instrText>
            </w:r>
            <w:r w:rsidRPr="00F11D0A">
              <w:rPr>
                <w:rFonts w:ascii="Times New Roman" w:hAnsi="Times New Roman" w:cs="Times New Roman"/>
                <w:noProof/>
                <w:webHidden/>
              </w:rPr>
            </w:r>
            <w:r w:rsidRPr="00F11D0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647F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F11D0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17D376" w14:textId="01AA7E47" w:rsidR="009E345A" w:rsidRPr="005E11D6" w:rsidRDefault="009E345A" w:rsidP="00F11D0A">
          <w:pPr>
            <w:tabs>
              <w:tab w:val="right" w:leader="dot" w:pos="8800"/>
            </w:tabs>
            <w:spacing w:before="120" w:after="120" w:line="276" w:lineRule="auto"/>
            <w:ind w:right="237"/>
            <w:jc w:val="both"/>
          </w:pPr>
          <w:r w:rsidRPr="00F11D0A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E745082" w14:textId="4F4187E8" w:rsidR="00366156" w:rsidRPr="005E11D6" w:rsidRDefault="00366156" w:rsidP="00366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A1292" w14:textId="71172748" w:rsidR="00366156" w:rsidRPr="005E11D6" w:rsidRDefault="00366156">
      <w:pP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</w:pPr>
      <w:bookmarkStart w:id="0" w:name="_Toc71462637"/>
      <w:r w:rsidRPr="005E11D6">
        <w:rPr>
          <w:rFonts w:ascii="Times New Roman" w:hAnsi="Times New Roman" w:cs="Times New Roman"/>
        </w:rPr>
        <w:br w:type="page"/>
      </w:r>
    </w:p>
    <w:p w14:paraId="504C0CD3" w14:textId="10D0173A" w:rsidR="00366156" w:rsidRPr="005E11D6" w:rsidRDefault="00366156" w:rsidP="00ED2BE3">
      <w:pPr>
        <w:pStyle w:val="Heading2"/>
      </w:pPr>
      <w:bookmarkStart w:id="1" w:name="_Toc122352239"/>
      <w:bookmarkStart w:id="2" w:name="_Toc122352778"/>
      <w:bookmarkStart w:id="3" w:name="_Toc123824257"/>
      <w:r w:rsidRPr="005E11D6">
        <w:lastRenderedPageBreak/>
        <w:t xml:space="preserve">1. </w:t>
      </w:r>
      <w:bookmarkEnd w:id="0"/>
      <w:bookmarkEnd w:id="1"/>
      <w:bookmarkEnd w:id="2"/>
      <w:r w:rsidR="0074035A" w:rsidRPr="005E11D6">
        <w:t>Общи положения</w:t>
      </w:r>
      <w:bookmarkEnd w:id="3"/>
    </w:p>
    <w:p w14:paraId="36D58EF0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По отношение на дължимите такси за водовземане от минерални води – изключителна държавна собственост, ползвани при условията на разрешителен режим, е приложима Тарифа за таксите за водовземане, за ползване на воден обект и за замърсяване, Приета с </w:t>
      </w:r>
      <w:hyperlink r:id="rId8" w:tgtFrame="_blank" w:history="1">
        <w:r w:rsidRPr="005E11D6">
          <w:rPr>
            <w:rFonts w:ascii="Times New Roman" w:hAnsi="Times New Roman" w:cs="Times New Roman"/>
            <w:sz w:val="24"/>
            <w:szCs w:val="24"/>
          </w:rPr>
          <w:t>ПМС № 383</w:t>
        </w:r>
      </w:hyperlink>
      <w:r w:rsidRPr="005E11D6">
        <w:rPr>
          <w:rFonts w:ascii="Times New Roman" w:hAnsi="Times New Roman" w:cs="Times New Roman"/>
          <w:sz w:val="24"/>
          <w:szCs w:val="24"/>
        </w:rPr>
        <w:t xml:space="preserve"> от 29.12.2016 г.,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., ДВ, </w:t>
      </w:r>
      <w:hyperlink r:id="rId9" w:tgtFrame="_blank" w:history="1">
        <w:r w:rsidRPr="005E11D6">
          <w:rPr>
            <w:rFonts w:ascii="Times New Roman" w:hAnsi="Times New Roman" w:cs="Times New Roman"/>
            <w:sz w:val="24"/>
            <w:szCs w:val="24"/>
          </w:rPr>
          <w:t>бр. 2</w:t>
        </w:r>
      </w:hyperlink>
      <w:r w:rsidRPr="005E11D6">
        <w:rPr>
          <w:rFonts w:ascii="Times New Roman" w:hAnsi="Times New Roman" w:cs="Times New Roman"/>
          <w:sz w:val="24"/>
          <w:szCs w:val="24"/>
        </w:rPr>
        <w:t> от 6.01.2017 г., която се прилага при различни ставки в зависимост от целта на използване на минералната вода, при следната формула за определяне на единичния размер на таксата:</w:t>
      </w: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351"/>
        <w:gridCol w:w="2024"/>
        <w:gridCol w:w="2160"/>
        <w:gridCol w:w="1530"/>
      </w:tblGrid>
      <w:tr w:rsidR="0074035A" w:rsidRPr="005E11D6" w14:paraId="4E19B6E7" w14:textId="77777777" w:rsidTr="0074035A">
        <w:trPr>
          <w:jc w:val="center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FB39" w14:textId="77777777" w:rsidR="0074035A" w:rsidRPr="005E11D6" w:rsidRDefault="0074035A" w:rsidP="007818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</w:t>
            </w: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ред</w:t>
            </w:r>
          </w:p>
        </w:tc>
        <w:tc>
          <w:tcPr>
            <w:tcW w:w="335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A2E8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A7906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Цел на използване на минералната вода</w:t>
            </w:r>
          </w:p>
        </w:tc>
        <w:tc>
          <w:tcPr>
            <w:tcW w:w="5714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8D61" w14:textId="77777777" w:rsidR="0074035A" w:rsidRPr="005E11D6" w:rsidRDefault="0074035A" w:rsidP="00781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hAnsi="Times New Roman" w:cs="Times New Roman"/>
                <w:sz w:val="24"/>
                <w:szCs w:val="24"/>
              </w:rPr>
              <w:t>Размер на таксата – Е</w:t>
            </w:r>
            <w:r w:rsidRPr="005E11D6">
              <w:rPr>
                <w:rFonts w:ascii="Times New Roman" w:hAnsi="Times New Roman" w:cs="Times New Roman"/>
                <w:sz w:val="24"/>
                <w:szCs w:val="24"/>
              </w:rPr>
              <w:br/>
              <w:t>(в лв./куб. м)</w:t>
            </w:r>
          </w:p>
        </w:tc>
      </w:tr>
      <w:tr w:rsidR="0074035A" w:rsidRPr="005E11D6" w14:paraId="408C3D7F" w14:textId="77777777" w:rsidTr="0074035A">
        <w:trPr>
          <w:jc w:val="center"/>
        </w:trPr>
        <w:tc>
          <w:tcPr>
            <w:tcW w:w="56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A8EA3" w14:textId="77777777" w:rsidR="0074035A" w:rsidRPr="005E11D6" w:rsidRDefault="0074035A" w:rsidP="007818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EF170" w14:textId="77777777" w:rsidR="0074035A" w:rsidRPr="005E11D6" w:rsidRDefault="0074035A" w:rsidP="007818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1096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t&lt;30 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F520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30 °С&lt;t&lt;50 °С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B406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t&gt;50 °С</w:t>
            </w:r>
          </w:p>
        </w:tc>
      </w:tr>
      <w:tr w:rsidR="0074035A" w:rsidRPr="005E11D6" w14:paraId="00EED167" w14:textId="77777777" w:rsidTr="0074035A">
        <w:trPr>
          <w:jc w:val="center"/>
        </w:trPr>
        <w:tc>
          <w:tcPr>
            <w:tcW w:w="56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F984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289F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Питейно-битово водоснабдяване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5CA3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C33C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D5D2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0,029</w:t>
            </w:r>
          </w:p>
        </w:tc>
      </w:tr>
      <w:tr w:rsidR="0074035A" w:rsidRPr="005E11D6" w14:paraId="0E93C6CD" w14:textId="77777777" w:rsidTr="0074035A">
        <w:trPr>
          <w:jc w:val="center"/>
        </w:trPr>
        <w:tc>
          <w:tcPr>
            <w:tcW w:w="56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167C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8A7C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Лечебни цели в специализирани болници за лечение и рехабилитация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8A85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D120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BD66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4035A" w:rsidRPr="005E11D6" w14:paraId="6664D6F9" w14:textId="77777777" w:rsidTr="0074035A">
        <w:trPr>
          <w:jc w:val="center"/>
        </w:trPr>
        <w:tc>
          <w:tcPr>
            <w:tcW w:w="5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6AA8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941C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Всички други цели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4D148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B291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E72" w14:textId="77777777" w:rsidR="0074035A" w:rsidRPr="005E11D6" w:rsidRDefault="0074035A" w:rsidP="00781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D6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14:paraId="09FB9A40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1303583"/>
      <w:r w:rsidRPr="005E11D6">
        <w:rPr>
          <w:rFonts w:ascii="Times New Roman" w:hAnsi="Times New Roman" w:cs="Times New Roman"/>
          <w:sz w:val="24"/>
          <w:szCs w:val="24"/>
        </w:rPr>
        <w:t xml:space="preserve">По отношение на минералните води – изключителна държавна собственост, предоставени за безвъзмездно ползване и управление на основание §133 от ПЗР на ЗИД на ЗВ, законодателят е предвидил възможност за приемане на Тарифа от Общинския съвет или безвъзмездно ползване на минералните води, което също изисква решение на Общинския съвет. </w:t>
      </w:r>
      <w:bookmarkEnd w:id="4"/>
    </w:p>
    <w:p w14:paraId="145939CE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При определяне на размера на таксите:</w:t>
      </w:r>
    </w:p>
    <w:p w14:paraId="3E0B6249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а) се прилага принципът за възстановяване на разходите;</w:t>
      </w:r>
    </w:p>
    <w:p w14:paraId="55C66B2D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б) за находищата на минерална вода, в които са обособени участъци, таксите за съответните цели на водовземане са еднакви в отделните участъци; в случай че общините не постигнат съгласие по отношение размера на таксите, се прилага тарифата на МОСВ;</w:t>
      </w:r>
    </w:p>
    <w:p w14:paraId="380A8353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в) за находищата на минерална вода, определени като водни тела в плановете за управление на речните басейни:</w:t>
      </w:r>
    </w:p>
    <w:p w14:paraId="065CE92A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целите на водовземане се определят в съответствие с водните услуги, дефинирани в икономическия анализ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;</w:t>
      </w:r>
    </w:p>
    <w:p w14:paraId="356993DA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размерът на таксите се съобразява с определеното целево ниво на възстановяване на разходите за съответната услуга в плановете за управление на речните басейни;</w:t>
      </w:r>
    </w:p>
    <w:p w14:paraId="2E59D063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69C36AA" w14:textId="77777777" w:rsidR="0074035A" w:rsidRPr="005E11D6" w:rsidRDefault="0074035A" w:rsidP="0074035A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lastRenderedPageBreak/>
        <w:t>Таксите се превеждат по сметка на съответната община, публикувана на интернет страницата на общината.</w:t>
      </w:r>
    </w:p>
    <w:p w14:paraId="0ADF8320" w14:textId="500FA894" w:rsidR="0074035A" w:rsidRPr="005E11D6" w:rsidRDefault="0074035A" w:rsidP="0074035A">
      <w:pPr>
        <w:pStyle w:val="NormalWeb"/>
        <w:spacing w:before="120" w:after="120" w:afterAutospacing="0" w:line="276" w:lineRule="auto"/>
        <w:ind w:firstLine="425"/>
        <w:jc w:val="both"/>
        <w:rPr>
          <w:b/>
          <w:bCs/>
        </w:rPr>
      </w:pPr>
      <w:r w:rsidRPr="005E11D6">
        <w:rPr>
          <w:b/>
          <w:bCs/>
        </w:rPr>
        <w:t>Кметът на общината:</w:t>
      </w:r>
    </w:p>
    <w:p w14:paraId="4F9F97F8" w14:textId="77777777" w:rsidR="0074035A" w:rsidRPr="005E11D6" w:rsidRDefault="0074035A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събира таксите за водовземане от минерални води;</w:t>
      </w:r>
    </w:p>
    <w:p w14:paraId="3895E767" w14:textId="77777777" w:rsidR="0074035A" w:rsidRPr="005E11D6" w:rsidRDefault="0074035A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разходва събраните такси за водовземане от минерални води от находищата или участъците по ал. 1 за целите, изрично определени в ЗВ.</w:t>
      </w:r>
    </w:p>
    <w:p w14:paraId="0ECF8FDE" w14:textId="77777777" w:rsidR="005E11D6" w:rsidRPr="005E11D6" w:rsidRDefault="005E11D6" w:rsidP="005E11D6">
      <w:pPr>
        <w:pStyle w:val="NormalWeb"/>
        <w:spacing w:before="120" w:after="120" w:afterAutospacing="0" w:line="276" w:lineRule="auto"/>
        <w:ind w:firstLine="425"/>
        <w:jc w:val="both"/>
        <w:rPr>
          <w:b/>
          <w:bCs/>
        </w:rPr>
      </w:pPr>
      <w:r w:rsidRPr="005E11D6">
        <w:rPr>
          <w:b/>
          <w:bCs/>
        </w:rPr>
        <w:t>Средствата, събирани от таксите за водовземане:</w:t>
      </w:r>
    </w:p>
    <w:p w14:paraId="05A06453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1. постъпват в приход на общинските бюджети;</w:t>
      </w:r>
    </w:p>
    <w:p w14:paraId="7535838A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2. се разходват за:</w:t>
      </w:r>
    </w:p>
    <w:p w14:paraId="21043899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а) опазване и ефективно използване на минералната вода;</w:t>
      </w:r>
    </w:p>
    <w:p w14:paraId="39FC1BFA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б) изпълнение на планираните в ПУРБ мерки за постигане и поддържане на добро количествено и химично състояние на водното тяло на територията на общината – когато находището на минерална вода е определено като водно тяло в съответния план за управление на речните басейни.</w:t>
      </w:r>
    </w:p>
    <w:p w14:paraId="17CA09DC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От влизането в сила на §133 от ПЗР на ЗИД на ЗВ, считано от 01.01.2011 г. общините възприеха различен подход по отношение приемането на тарифи за определяне таксите за водовземане.</w:t>
      </w:r>
    </w:p>
    <w:p w14:paraId="3CE8EDB3" w14:textId="79F5C99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Някои от тях запазиха цените, установени в държавната тарифа, други значително намалиха приложимите ставки, трети обобщиха приложимите разпоредби по процедурите и дължимите такси в общински наредби.</w:t>
      </w:r>
    </w:p>
    <w:p w14:paraId="0994C46B" w14:textId="2071BCD0" w:rsidR="00B676BA" w:rsidRPr="005E11D6" w:rsidRDefault="005E11D6" w:rsidP="00B676BA">
      <w:pPr>
        <w:pStyle w:val="Heading2"/>
      </w:pPr>
      <w:bookmarkStart w:id="5" w:name="_Toc123824258"/>
      <w:r w:rsidRPr="005E11D6">
        <w:t>1</w:t>
      </w:r>
      <w:r w:rsidR="00B676BA" w:rsidRPr="005E11D6">
        <w:t xml:space="preserve">.2. </w:t>
      </w:r>
      <w:r w:rsidRPr="005E11D6">
        <w:t>Практика на общините при определяне на таксите за водовземане</w:t>
      </w:r>
      <w:bookmarkEnd w:id="5"/>
    </w:p>
    <w:p w14:paraId="725B8090" w14:textId="20F37904" w:rsidR="005E11D6" w:rsidRPr="005E11D6" w:rsidRDefault="005E11D6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21296280"/>
      <w:r w:rsidRPr="005E11D6">
        <w:rPr>
          <w:rFonts w:ascii="Times New Roman" w:hAnsi="Times New Roman" w:cs="Times New Roman"/>
          <w:b/>
          <w:bCs/>
          <w:sz w:val="24"/>
          <w:szCs w:val="24"/>
        </w:rPr>
        <w:t>Община Гърмен</w:t>
      </w:r>
    </w:p>
    <w:p w14:paraId="45E67C44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Таксите за водовземане от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. „Огняново – Гърмен“ се определят от Община Гърмен с Наредба за управление и ползване на минералните води от находище „Огняново-Гърмен”, Приета с Решение № 51 на Протокол № 4 от 28.12.2011 г.</w:t>
      </w:r>
    </w:p>
    <w:p w14:paraId="363A200F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С наредбата се определя редът и условията за издаване на Разрешителни за водовземане на минерална вода от община Гърмен от предоставените й за срок от 25 години, безвъзмездно, за управление и ползване находища за минерална вода, изключителна държавна собственост № 53 от Приложение № 2 на Закона за водите, „Огняново – Гърмен” с. Огняново и с. Гърмен, община Гърмен, област Благоевград.</w:t>
      </w:r>
    </w:p>
    <w:p w14:paraId="6EECB3BE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Наредбата предвижда следните такси, свързани с процедурите по водовземане: </w:t>
      </w:r>
    </w:p>
    <w:p w14:paraId="09B86721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1. за издаване на разрешително – 250 лв. </w:t>
      </w:r>
    </w:p>
    <w:p w14:paraId="02590E12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lastRenderedPageBreak/>
        <w:t xml:space="preserve">2. за продължаване на разрешителното – 100 лева. </w:t>
      </w:r>
    </w:p>
    <w:p w14:paraId="2D7D7B0B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Таксата за водовземане от минерални води е : </w:t>
      </w:r>
    </w:p>
    <w:p w14:paraId="41E618CF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1. всички други цели – 1,20 лв./м3 </w:t>
      </w:r>
    </w:p>
    <w:p w14:paraId="33529671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2. при надвишаване на разрешеното количество – 2 лв./ м3</w:t>
      </w:r>
    </w:p>
    <w:p w14:paraId="02622D58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Съгласно наредбата, таксата за водовземане се внася текущо на три вноски за текущата година (след края на всяко четиримесечие), като изравнителната вноска е не по-късно от 31 март на следващата година.</w:t>
      </w:r>
    </w:p>
    <w:p w14:paraId="3776643F" w14:textId="3FC59D68" w:rsidR="005E11D6" w:rsidRPr="005E11D6" w:rsidRDefault="005E11D6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6">
        <w:rPr>
          <w:rFonts w:ascii="Times New Roman" w:hAnsi="Times New Roman" w:cs="Times New Roman"/>
          <w:b/>
          <w:bCs/>
          <w:sz w:val="24"/>
          <w:szCs w:val="24"/>
        </w:rPr>
        <w:t>Община Велинград</w:t>
      </w:r>
    </w:p>
    <w:p w14:paraId="6F2A656F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Община Велинград също определя таксите за водовземане с Наредба за условията и реда за издаване на разрешителни за водовземане, извършване на услуга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водопренос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водоподаване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по общински водопроводи за минерална вода и учредяване сервитутни права и право на прокарване на водопроводи за минерална вода на територията на община Велинград</w:t>
      </w:r>
    </w:p>
    <w:p w14:paraId="48825121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За водовземане и ползване на водните обекти с цел стопанска дейност се заплаща такса за използването на природния ресурс като гаранция за създаване на еднакви правни условия за стопанска дейност на всички граждани и юридически лица.</w:t>
      </w:r>
    </w:p>
    <w:p w14:paraId="4A6F37EE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Общинският съвет определя таксите, които се плащат за минералната вода от Разрешителните за водовземане на минерална вода в съответствие с:</w:t>
      </w:r>
    </w:p>
    <w:p w14:paraId="641D9DAD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 xml:space="preserve">чл. 10, ал. 3 от Тарифа за таксите за водовземане  за ползване на воден обект и за замърсяване обнародвана в ДВ, бр. 50 от 04.07.2011г. в сила от 01.01.2012 г.  и </w:t>
      </w:r>
    </w:p>
    <w:p w14:paraId="5F36DAB3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 xml:space="preserve">чл.1, ал.1, т. 2 буква „б” и ал.2 от Тарифа за таксите, които се събират в системата на Министерството на околната среда и водите, приета с ПМС № 253 от 20.09.2004 г., </w:t>
      </w:r>
      <w:proofErr w:type="spellStart"/>
      <w:r w:rsidRPr="005E11D6">
        <w:t>обн</w:t>
      </w:r>
      <w:proofErr w:type="spellEnd"/>
      <w:r w:rsidRPr="005E11D6">
        <w:t xml:space="preserve">., ДВ, бр. 86 от 1.10.2004 г., в сила от 15.10.2004 г. и </w:t>
      </w:r>
    </w:p>
    <w:p w14:paraId="5670F199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при условията на предоставените за това права от Министъра на околната среда и водите с Решения № 27 от 04.02.2011 г. и Решение № 28 от 04.02.2011 г.</w:t>
      </w:r>
    </w:p>
    <w:p w14:paraId="6C202A64" w14:textId="7727382F" w:rsidR="005E11D6" w:rsidRPr="005E11D6" w:rsidRDefault="005E11D6" w:rsidP="0026746D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6">
        <w:rPr>
          <w:rFonts w:ascii="Times New Roman" w:hAnsi="Times New Roman" w:cs="Times New Roman"/>
          <w:b/>
          <w:bCs/>
          <w:sz w:val="24"/>
          <w:szCs w:val="24"/>
        </w:rPr>
        <w:t>Община Сапарева баня</w:t>
      </w:r>
    </w:p>
    <w:p w14:paraId="2BA16EF3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Таксите за водовземане от минерална вода на територията на община Сапарева баня  се определят с Тарифа, изготвена на основание чл.21, ал.2 във връзка с чл.21, ал.1, т.7 от ЗМСМА и §133, ал.7, т.1,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б.»в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» от ПЗР към ЗИД на ЗВ, приета с Решение №463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по Протокол №39/31.07.2018 г.</w:t>
      </w:r>
    </w:p>
    <w:p w14:paraId="6B2A1C98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За издаване на разрешително за водовземане, се заплаща такса в размер на 500 лева.</w:t>
      </w:r>
    </w:p>
    <w:p w14:paraId="4997D586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За изменение на разрешително за водовземане се заплаща такса в размер на 350 лева.</w:t>
      </w:r>
    </w:p>
    <w:p w14:paraId="60E75B81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lastRenderedPageBreak/>
        <w:t>Тарифата предвижда да не се заплаща такса за водовземане от обществени чешми за лични нужди на гражданите и др., в случай на общо водовземане, определено по реда и при условията на Решение №25/02.02.2011 г. на Министъра на околната среда и водите.</w:t>
      </w:r>
    </w:p>
    <w:p w14:paraId="26AE5E4C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Таксите за водовземане и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водопренос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от минералните води се определят на база отнетия обем вода, в зависимост от целта на използване на водата и температурата на минералната вода.</w:t>
      </w:r>
    </w:p>
    <w:p w14:paraId="0A645BCF" w14:textId="1099260E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В тарифата са предвидени различни размери на таксита в зависимост от целта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, която може да бъде:</w:t>
      </w:r>
    </w:p>
    <w:p w14:paraId="05E6FEEA" w14:textId="06505E9B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Лечебни цели</w:t>
      </w:r>
      <w:r w:rsidRPr="005E11D6">
        <w:t>;</w:t>
      </w:r>
    </w:p>
    <w:p w14:paraId="09CE102F" w14:textId="544A1A9A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 xml:space="preserve">За спорт, отдих, хигиенни нужди и </w:t>
      </w:r>
      <w:proofErr w:type="spellStart"/>
      <w:r w:rsidRPr="005E11D6">
        <w:t>водоползване</w:t>
      </w:r>
      <w:proofErr w:type="spellEnd"/>
      <w:r w:rsidRPr="005E11D6">
        <w:t xml:space="preserve"> за </w:t>
      </w:r>
      <w:proofErr w:type="spellStart"/>
      <w:r w:rsidRPr="005E11D6">
        <w:t>профилактитка</w:t>
      </w:r>
      <w:proofErr w:type="spellEnd"/>
      <w:r w:rsidRPr="005E11D6">
        <w:t xml:space="preserve">, когато минералните води се ползват чрез лечебни и </w:t>
      </w:r>
      <w:proofErr w:type="spellStart"/>
      <w:r w:rsidRPr="005E11D6">
        <w:t>рахабилитационни</w:t>
      </w:r>
      <w:proofErr w:type="spellEnd"/>
      <w:r w:rsidRPr="005E11D6">
        <w:t xml:space="preserve"> съоръжения в обект, който не е регистриран  по Закона за лечебните заведения</w:t>
      </w:r>
      <w:r w:rsidRPr="005E11D6">
        <w:t>;</w:t>
      </w:r>
    </w:p>
    <w:p w14:paraId="414F7EE4" w14:textId="39EB6BEC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За спорт, отдих, отопление и хигиенни нужди в учебни заведения</w:t>
      </w:r>
      <w:r w:rsidRPr="005E11D6">
        <w:t>;</w:t>
      </w:r>
    </w:p>
    <w:p w14:paraId="21C3C3ED" w14:textId="17981EBE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Всички други цели</w:t>
      </w:r>
      <w:r w:rsidRPr="005E11D6">
        <w:t>;</w:t>
      </w:r>
    </w:p>
    <w:p w14:paraId="6E401F6E" w14:textId="41E028FA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Водовземане с цистерни  от посочено място</w:t>
      </w:r>
      <w:r w:rsidRPr="005E11D6">
        <w:t>;</w:t>
      </w:r>
    </w:p>
    <w:p w14:paraId="2D02B1FA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Лечебни цели в специализирани болници за лечение и рехабилитация.</w:t>
      </w:r>
    </w:p>
    <w:p w14:paraId="5E559ADC" w14:textId="2702F3CB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Размерът на таксите варира от 0,60 лв. за 1 куб. м до 4 лв. за 1 куб. м, като най-масовата ставка е 1,20 лв. за 1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.</w:t>
      </w:r>
    </w:p>
    <w:p w14:paraId="374F87A4" w14:textId="165B0A16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6">
        <w:rPr>
          <w:rFonts w:ascii="Times New Roman" w:hAnsi="Times New Roman" w:cs="Times New Roman"/>
          <w:b/>
          <w:bCs/>
          <w:sz w:val="24"/>
          <w:szCs w:val="24"/>
        </w:rPr>
        <w:t>Столична община</w:t>
      </w:r>
    </w:p>
    <w:p w14:paraId="5FE13D81" w14:textId="019802E2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Тарифата за таксите за водовземане е приета с решение №714 от 24.11.2016 г. от СОС и касае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от находищата – изключителна държавна собственост, предоставени на СО за управление и стопанисване за срок до 25 години по реда на §133 от ЗИД на ЗВ, а именно:</w:t>
      </w:r>
    </w:p>
    <w:p w14:paraId="72614E27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Център";</w:t>
      </w:r>
    </w:p>
    <w:p w14:paraId="1A001040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 xml:space="preserve">находище „София - </w:t>
      </w:r>
      <w:proofErr w:type="spellStart"/>
      <w:r w:rsidRPr="005E11D6">
        <w:t>Баталова</w:t>
      </w:r>
      <w:proofErr w:type="spellEnd"/>
      <w:r w:rsidRPr="005E11D6">
        <w:t xml:space="preserve"> воденица";</w:t>
      </w:r>
    </w:p>
    <w:p w14:paraId="0F7C3840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Лозенец";</w:t>
      </w:r>
    </w:p>
    <w:p w14:paraId="2B86B04A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Овча купел";</w:t>
      </w:r>
    </w:p>
    <w:p w14:paraId="6925D3D5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Надежда";</w:t>
      </w:r>
    </w:p>
    <w:p w14:paraId="6B3C811F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Свобода";</w:t>
      </w:r>
    </w:p>
    <w:p w14:paraId="0B326DF0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Панчарево";</w:t>
      </w:r>
    </w:p>
    <w:p w14:paraId="28B0446A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находище „София - Железница".</w:t>
      </w:r>
    </w:p>
    <w:p w14:paraId="3FB35BD6" w14:textId="5DB525FD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lastRenderedPageBreak/>
        <w:t>Съгласно тарифата:</w:t>
      </w:r>
    </w:p>
    <w:p w14:paraId="608709E8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За издаване на разрешително за водовземане се събира такса в размер на 300 лева.</w:t>
      </w:r>
    </w:p>
    <w:p w14:paraId="3793F45B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За изменение и/или допълнение на разрешително за водовземане се събира такса в размер на 150 лева.</w:t>
      </w:r>
    </w:p>
    <w:p w14:paraId="42121030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За продължаване срока на разрешителното се събира такса в размер на 100 лв.</w:t>
      </w:r>
    </w:p>
    <w:p w14:paraId="097F3CFF" w14:textId="4F7C61C4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Тарифата предвижда да не се заплаща такса за водовземане:</w:t>
      </w:r>
    </w:p>
    <w:p w14:paraId="171BCBF5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с цел отводняване;</w:t>
      </w:r>
    </w:p>
    <w:p w14:paraId="206C2B21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от обществени чешми за лични нужди на гражданите и др., в случай на общо водовземане, определено по реда и при условията на чл. 41 от Закона за водите.</w:t>
      </w:r>
    </w:p>
    <w:p w14:paraId="3AA0377A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Таксите за водовземане от минерални води се определят на база разрешения обем вода, температурата на минералната вода и в зависимост от целта на използване на водата.</w:t>
      </w:r>
    </w:p>
    <w:p w14:paraId="2F7D1AFD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Предвидено е ежегодно, към 31 януари на следващата година, титулярите на разрешителни представят информация за изчисляване на дължимата такса по образец, утвърден от министъра на околната среда и водите и обявен на интернет страниците на БД и на МОСВ.</w:t>
      </w:r>
    </w:p>
    <w:p w14:paraId="6D812350" w14:textId="789C032F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Тарифата предвижда различни ставки на такси, дължими според целта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и температурата на минералната вода (под 30 градуса, между 30 и 50 градуса и над 50 градуса), като размерите варират от 0,08 лв. до 1,10 лв. за 1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.</w:t>
      </w:r>
    </w:p>
    <w:p w14:paraId="03DE233E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b/>
          <w:bCs/>
          <w:sz w:val="24"/>
          <w:szCs w:val="24"/>
        </w:rPr>
      </w:pPr>
      <w:r w:rsidRPr="005E11D6">
        <w:rPr>
          <w:rFonts w:ascii="Times New Roman" w:hAnsi="Times New Roman" w:cs="Times New Roman"/>
          <w:b/>
          <w:bCs/>
          <w:sz w:val="24"/>
          <w:szCs w:val="24"/>
        </w:rPr>
        <w:t>Община Минерални бани, област Хасково</w:t>
      </w:r>
    </w:p>
    <w:p w14:paraId="467E9F6F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С Тарифата за таксите за водовземане  и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водоподаване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на минерална вода на територията на община Минерални бани се определя размерът на таксите за издаване на разрешително, таксите за водовземане, таксите за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водоподаване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по общински водопроводи на минерална вода от  находище на минерална вода „Хасковски минерални бани”, област Хасково, община Минерални бани, с. Минерални бани - №92 в списъка на находищата на минералните води – изключителна държавна собственост по Приложение №2 към чл. 14, т. 2 от Закона за водите, предоставено безвъзмездно за управление и ползване с Решение № 96/09.03.2011 г. на Министъра на околната среда и водите, съгласно §133, ал. 4 от ПЗР на ЗИД на ЗВ, на Община Минерални бани за срок от 25 години.</w:t>
      </w:r>
    </w:p>
    <w:p w14:paraId="02B74D41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Тарифата предвижда:</w:t>
      </w:r>
    </w:p>
    <w:p w14:paraId="281C6C4A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 xml:space="preserve">За издаване на разрешително за водовземане - такса в размер на 300 лева. </w:t>
      </w:r>
    </w:p>
    <w:p w14:paraId="657311D2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t>За изменение на разрешително за водовземане - такса в размер на 200 лева.</w:t>
      </w:r>
    </w:p>
    <w:p w14:paraId="0A7F954F" w14:textId="77777777" w:rsidR="005E11D6" w:rsidRPr="005E11D6" w:rsidRDefault="005E11D6">
      <w:pPr>
        <w:pStyle w:val="NormalWeb"/>
        <w:numPr>
          <w:ilvl w:val="0"/>
          <w:numId w:val="1"/>
        </w:numPr>
        <w:spacing w:before="120" w:after="120" w:afterAutospacing="0" w:line="276" w:lineRule="auto"/>
        <w:jc w:val="both"/>
      </w:pPr>
      <w:r w:rsidRPr="005E11D6">
        <w:lastRenderedPageBreak/>
        <w:t>За удължаване на разрешително за водовземане - такса в размер на 100 лева.</w:t>
      </w:r>
    </w:p>
    <w:p w14:paraId="4B6BA67E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Таксите за водовземане от минерални води се определят на базата на разрешения обем вода, температурата на минералната вода и в зависимост от целта на използване на водата. Отнетият при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водовземането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обем вода се измерва чрез отговарящи на нормативните изисквания измервателни устройства. В случаите на повреда на измервателните устройства за изчисляване на таксата за водовземане се вземат разрешените в разрешителното за водовземане количества.</w:t>
      </w:r>
    </w:p>
    <w:p w14:paraId="7BDF1D77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Тарифата предвижда различни ставки на такси, дължими според целта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и температурата на минералната вода (под 30 градуса, между 30 и 50 градуса и над 50 градуса), като размерите варират от 0,03 лв. до 0,50 лв. за 1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.</w:t>
      </w:r>
    </w:p>
    <w:p w14:paraId="14332115" w14:textId="49C558DD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D6">
        <w:rPr>
          <w:rFonts w:ascii="Times New Roman" w:hAnsi="Times New Roman" w:cs="Times New Roman"/>
          <w:b/>
          <w:bCs/>
          <w:sz w:val="24"/>
          <w:szCs w:val="24"/>
        </w:rPr>
        <w:t>Община Елин Пелин</w:t>
      </w:r>
    </w:p>
    <w:p w14:paraId="249428D8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Тарифата за таксите за водовземане на минерална вода от участък „Равно поле“ е приета с Решение №813 по Протокол №38 от 26.05.2022 г. определя размера им за издаване на разрешително за водовземане и таксите за водовземане от участък „Равно поле – Софийска област, община Елин Пелин“ от находище на минерална вода „Казичене – Равно поле“ - №31 от Списъка по чл.14, т.2 от Закона за водите – изключителна държавна собственост. </w:t>
      </w:r>
    </w:p>
    <w:p w14:paraId="62EFB298" w14:textId="4AB9AEF8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Участък „Равно поле – Софийска област, община Елина Пелин“, като част от находище на минерална вода „Казичене – Равно поле“ - изключителна държавна собственост, съгласно Приложение №2 към чл.14, т.2 от Закона за водите, е предоставен безвъзмездно на Община Елин Пелин, Софийска област, за управление и ползване с Решение №45 от 07.02.2019 г. на Министъра на околната среда и водите, съгласно §133 от ПЗР на ЗИД на ЗВ.</w:t>
      </w:r>
    </w:p>
    <w:p w14:paraId="5EA74C63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Тарифата има за цел:</w:t>
      </w:r>
    </w:p>
    <w:p w14:paraId="532A5E63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1. да осигури условия за възстановяване на разходите за водни услуги чрез регламентиране приноса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водоползвателите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;</w:t>
      </w:r>
    </w:p>
    <w:p w14:paraId="1B73CF70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2. да осигури икономически стимули за ефективно използване на минералната вода от участъка, предоставен за ползване и управление на общината;</w:t>
      </w:r>
    </w:p>
    <w:p w14:paraId="44E9BC80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3. да създаде условия за планиране на разходите, свързани с реализация на инвестиции в ползването на минералната вода от находището.</w:t>
      </w:r>
    </w:p>
    <w:p w14:paraId="55F158E9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Таксите за водовземане от минералните води на участък „Равно поле – Софийска област, община Елин Пелин“ по тази тарифа се определят въз основа на разрешения обем вода и температурата на минералната вода, при отчитане на данните за геоложките и хидрогеоложки характеристики на водата, нейния състав и свойства, отразени в </w:t>
      </w:r>
      <w:r w:rsidRPr="005E11D6">
        <w:rPr>
          <w:rFonts w:ascii="Times New Roman" w:hAnsi="Times New Roman" w:cs="Times New Roman"/>
          <w:sz w:val="24"/>
          <w:szCs w:val="24"/>
        </w:rPr>
        <w:lastRenderedPageBreak/>
        <w:t>Балнеологична оценка №183 от 16.10.2020 г. за Сондаж №46хг, издадена от Министъра на здравеопазването.</w:t>
      </w:r>
    </w:p>
    <w:p w14:paraId="26ECB764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ab/>
        <w:t xml:space="preserve">Съгласно </w:t>
      </w:r>
      <w:bookmarkStart w:id="7" w:name="_Hlk87951270"/>
      <w:proofErr w:type="spellStart"/>
      <w:r w:rsidRPr="005E11D6">
        <w:rPr>
          <w:rFonts w:ascii="Times New Roman" w:hAnsi="Times New Roman" w:cs="Times New Roman"/>
          <w:sz w:val="24"/>
          <w:szCs w:val="24"/>
        </w:rPr>
        <w:t>Балнеологичната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оценка №183 от 16.10.2020 г., издадена от Министъра на здравеопазването</w:t>
      </w:r>
      <w:bookmarkEnd w:id="7"/>
      <w:r w:rsidRPr="005E11D6">
        <w:rPr>
          <w:rFonts w:ascii="Times New Roman" w:hAnsi="Times New Roman" w:cs="Times New Roman"/>
          <w:sz w:val="24"/>
          <w:szCs w:val="24"/>
        </w:rPr>
        <w:t>, водата от Сондаж №46хг на участък „Равно поле – Софийска област, община Елин Пелин“ - част от находище на минерална вода „Казичене – Равно поле“:</w:t>
      </w:r>
    </w:p>
    <w:p w14:paraId="62443B83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1. не е подходяща за използване за питейно-битови и за спортно-рекреационни цели;</w:t>
      </w:r>
    </w:p>
    <w:p w14:paraId="6EABF5AA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ab/>
      </w:r>
      <w:r w:rsidRPr="005E11D6">
        <w:rPr>
          <w:rFonts w:ascii="Times New Roman" w:hAnsi="Times New Roman" w:cs="Times New Roman"/>
          <w:sz w:val="24"/>
          <w:szCs w:val="24"/>
        </w:rPr>
        <w:tab/>
        <w:t xml:space="preserve">2. може да се използва за </w:t>
      </w:r>
      <w:bookmarkStart w:id="8" w:name="_Hlk87951260"/>
      <w:r w:rsidRPr="005E11D6">
        <w:rPr>
          <w:rFonts w:ascii="Times New Roman" w:hAnsi="Times New Roman" w:cs="Times New Roman"/>
          <w:sz w:val="24"/>
          <w:szCs w:val="24"/>
        </w:rPr>
        <w:t xml:space="preserve">питейно балнеолечение и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балнеопрофилактика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(след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темпериране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до 35-37</w:t>
      </w:r>
      <w:r w:rsidRPr="005E11D6">
        <w:rPr>
          <w:b/>
          <w:bCs/>
        </w:rPr>
        <w:t xml:space="preserve">° </w:t>
      </w:r>
      <w:r w:rsidRPr="005E11D6">
        <w:rPr>
          <w:rFonts w:ascii="Times New Roman" w:hAnsi="Times New Roman" w:cs="Times New Roman"/>
          <w:sz w:val="24"/>
          <w:szCs w:val="24"/>
        </w:rPr>
        <w:t>С) по лекарско назначение, при спазване на строго определени методики и дозировки;</w:t>
      </w:r>
    </w:p>
    <w:p w14:paraId="55FC7C3C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ab/>
      </w:r>
      <w:r w:rsidRPr="005E11D6">
        <w:rPr>
          <w:rFonts w:ascii="Times New Roman" w:hAnsi="Times New Roman" w:cs="Times New Roman"/>
          <w:sz w:val="24"/>
          <w:szCs w:val="24"/>
        </w:rPr>
        <w:tab/>
        <w:t xml:space="preserve">3. може да се използва за външно балнеолечение и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балнеопрофилактика</w:t>
      </w:r>
      <w:bookmarkEnd w:id="8"/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(след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темпериране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до 35-37◦ С) при определени заболявания и след отчитане на противопоказанията по отношение на някои специфични заболявания, съгласно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балнеологичната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оценка.</w:t>
      </w:r>
    </w:p>
    <w:p w14:paraId="5236DED7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>За разглеждане на заявление и издаване на разрешително за водовземане, на Община Елин Пелин се заплаща такса в размер на 200 (двеста) лева.</w:t>
      </w:r>
    </w:p>
    <w:p w14:paraId="1E0FBE2A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ab/>
      </w:r>
      <w:r w:rsidRPr="005E11D6">
        <w:rPr>
          <w:rFonts w:ascii="Times New Roman" w:hAnsi="Times New Roman" w:cs="Times New Roman"/>
          <w:sz w:val="24"/>
          <w:szCs w:val="24"/>
        </w:rPr>
        <w:tab/>
        <w:t>За разглеждане на искане за изменение на разрешително за водовземане на Община Елин Пелин се заплаща такса в размер на 150 лева.</w:t>
      </w:r>
    </w:p>
    <w:p w14:paraId="5CFF25DA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Тарифата предвижда различни ставки на такси, дължими според целта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водоползването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и температурата на минералната вода (над 50 градуса), като размерите варират от 0,05 лв. до 0,50 лв. за 1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>.</w:t>
      </w:r>
    </w:p>
    <w:p w14:paraId="435BF8CF" w14:textId="77777777" w:rsidR="005E11D6" w:rsidRPr="005E11D6" w:rsidRDefault="005E11D6" w:rsidP="005E11D6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11D6">
        <w:rPr>
          <w:rFonts w:ascii="Times New Roman" w:hAnsi="Times New Roman" w:cs="Times New Roman"/>
          <w:sz w:val="24"/>
          <w:szCs w:val="24"/>
        </w:rPr>
        <w:t xml:space="preserve">Предвидени са отделни ставки и за ползване на Отработени води с понижен температурен потенциал без съществена промяна на </w:t>
      </w:r>
      <w:proofErr w:type="spellStart"/>
      <w:r w:rsidRPr="005E11D6">
        <w:rPr>
          <w:rFonts w:ascii="Times New Roman" w:hAnsi="Times New Roman" w:cs="Times New Roman"/>
          <w:sz w:val="24"/>
          <w:szCs w:val="24"/>
        </w:rPr>
        <w:t>хидрохимичните</w:t>
      </w:r>
      <w:proofErr w:type="spellEnd"/>
      <w:r w:rsidRPr="005E11D6">
        <w:rPr>
          <w:rFonts w:ascii="Times New Roman" w:hAnsi="Times New Roman" w:cs="Times New Roman"/>
          <w:sz w:val="24"/>
          <w:szCs w:val="24"/>
        </w:rPr>
        <w:t xml:space="preserve"> им качества, като тук размерът на таксата варира от 0,10 до 0,30 лв. за 1 куб. м.</w:t>
      </w:r>
    </w:p>
    <w:bookmarkEnd w:id="6"/>
    <w:p w14:paraId="7F309309" w14:textId="77777777" w:rsidR="00E94792" w:rsidRPr="005E11D6" w:rsidRDefault="00E94792" w:rsidP="005E11D6">
      <w:pPr>
        <w:pStyle w:val="NormalWeb"/>
        <w:shd w:val="clear" w:color="auto" w:fill="FFFFFF"/>
        <w:spacing w:before="120" w:after="120" w:afterAutospacing="0" w:line="276" w:lineRule="auto"/>
        <w:jc w:val="both"/>
        <w:rPr>
          <w:rFonts w:eastAsiaTheme="minorHAnsi"/>
          <w:lang w:eastAsia="en-US"/>
        </w:rPr>
      </w:pPr>
    </w:p>
    <w:sectPr w:rsidR="00E94792" w:rsidRPr="005E11D6" w:rsidSect="009E3B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25E5" w14:textId="77777777" w:rsidR="00B30003" w:rsidRDefault="00B30003" w:rsidP="003A6016">
      <w:pPr>
        <w:spacing w:after="0" w:line="240" w:lineRule="auto"/>
      </w:pPr>
      <w:r>
        <w:separator/>
      </w:r>
    </w:p>
  </w:endnote>
  <w:endnote w:type="continuationSeparator" w:id="0">
    <w:p w14:paraId="6B917485" w14:textId="77777777" w:rsidR="00B30003" w:rsidRDefault="00B30003" w:rsidP="003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B1FF" w14:textId="57B781EF" w:rsidR="009E3BB5" w:rsidRPr="00325CB0" w:rsidRDefault="00000000" w:rsidP="009E3BB5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9E3BB5" w:rsidRPr="0077140E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0364730F" w14:textId="11B88E64" w:rsidR="009E3BB5" w:rsidRPr="00512B61" w:rsidRDefault="009E3BB5" w:rsidP="009E3BB5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162DB3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-1386415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0"/>
        <w:szCs w:val="20"/>
      </w:rPr>
    </w:sdtEndPr>
    <w:sdtContent>
      <w:p w14:paraId="5880D04B" w14:textId="37D90345" w:rsidR="003A6016" w:rsidRPr="009E3BB5" w:rsidRDefault="009E3BB5" w:rsidP="009E3BB5">
        <w:pPr>
          <w:pStyle w:val="Footer"/>
          <w:jc w:val="right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9E3BB5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9E3BB5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B88D" w14:textId="77777777" w:rsidR="009E3BB5" w:rsidRPr="00325CB0" w:rsidRDefault="00000000" w:rsidP="009E3BB5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9E3BB5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BF48273" w14:textId="0B1304CA" w:rsidR="009E3BB5" w:rsidRPr="009E3BB5" w:rsidRDefault="009E3BB5" w:rsidP="009E3BB5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162DB3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EC41" w14:textId="77777777" w:rsidR="00B30003" w:rsidRDefault="00B30003" w:rsidP="003A6016">
      <w:pPr>
        <w:spacing w:after="0" w:line="240" w:lineRule="auto"/>
      </w:pPr>
      <w:r>
        <w:separator/>
      </w:r>
    </w:p>
  </w:footnote>
  <w:footnote w:type="continuationSeparator" w:id="0">
    <w:p w14:paraId="0F14C0A3" w14:textId="77777777" w:rsidR="00B30003" w:rsidRDefault="00B30003" w:rsidP="003A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9E3BB5" w14:paraId="7928E19B" w14:textId="77777777" w:rsidTr="00C77A64">
      <w:trPr>
        <w:jc w:val="center"/>
      </w:trPr>
      <w:tc>
        <w:tcPr>
          <w:tcW w:w="3005" w:type="dxa"/>
          <w:vAlign w:val="center"/>
        </w:tcPr>
        <w:p w14:paraId="0791EC98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3063E06F" wp14:editId="02A5D62C">
                <wp:extent cx="2092325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42E43BC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</w:rPr>
            <w:drawing>
              <wp:inline distT="0" distB="0" distL="0" distR="0" wp14:anchorId="2F161347" wp14:editId="7CEE5499">
                <wp:extent cx="989739" cy="629729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E945D4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5E305F33" wp14:editId="00C11DD8">
                <wp:extent cx="1945640" cy="797560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15BDF" w14:textId="19FAC152" w:rsidR="003A6016" w:rsidRPr="009E3BB5" w:rsidRDefault="003A6016" w:rsidP="009E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9E3BB5" w14:paraId="51F86275" w14:textId="77777777" w:rsidTr="00C77A64">
      <w:trPr>
        <w:jc w:val="center"/>
      </w:trPr>
      <w:tc>
        <w:tcPr>
          <w:tcW w:w="3005" w:type="dxa"/>
          <w:vAlign w:val="center"/>
        </w:tcPr>
        <w:p w14:paraId="4BF39474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40E604E3" wp14:editId="53563EE6">
                <wp:extent cx="2092325" cy="7239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A92F4AA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</w:rPr>
            <w:drawing>
              <wp:inline distT="0" distB="0" distL="0" distR="0" wp14:anchorId="2EB7CD81" wp14:editId="5C53A06F">
                <wp:extent cx="989739" cy="629729"/>
                <wp:effectExtent l="0" t="0" r="127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52C10562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0F3EA29C" wp14:editId="70F0FDCE">
                <wp:extent cx="1945640" cy="797560"/>
                <wp:effectExtent l="0" t="0" r="0" b="254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259016" w14:textId="77777777" w:rsidR="009E3BB5" w:rsidRDefault="009E3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2B62"/>
    <w:multiLevelType w:val="hybridMultilevel"/>
    <w:tmpl w:val="A49680B8"/>
    <w:lvl w:ilvl="0" w:tplc="49DA8546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435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6"/>
    <w:rsid w:val="00042D0B"/>
    <w:rsid w:val="00052720"/>
    <w:rsid w:val="000907C3"/>
    <w:rsid w:val="000D143D"/>
    <w:rsid w:val="00122760"/>
    <w:rsid w:val="00140E75"/>
    <w:rsid w:val="0014600C"/>
    <w:rsid w:val="00162DB3"/>
    <w:rsid w:val="001744BC"/>
    <w:rsid w:val="00186A4D"/>
    <w:rsid w:val="001D3387"/>
    <w:rsid w:val="001D702E"/>
    <w:rsid w:val="001E02A8"/>
    <w:rsid w:val="001E1B7B"/>
    <w:rsid w:val="0020497B"/>
    <w:rsid w:val="00230B79"/>
    <w:rsid w:val="00235D3E"/>
    <w:rsid w:val="00241BE2"/>
    <w:rsid w:val="00243460"/>
    <w:rsid w:val="00247001"/>
    <w:rsid w:val="00251782"/>
    <w:rsid w:val="002644EA"/>
    <w:rsid w:val="0026746D"/>
    <w:rsid w:val="002D424D"/>
    <w:rsid w:val="002F0CA4"/>
    <w:rsid w:val="0031301D"/>
    <w:rsid w:val="00325CB0"/>
    <w:rsid w:val="00344596"/>
    <w:rsid w:val="003446D2"/>
    <w:rsid w:val="003533F2"/>
    <w:rsid w:val="00366156"/>
    <w:rsid w:val="003742B5"/>
    <w:rsid w:val="00375A64"/>
    <w:rsid w:val="003846CC"/>
    <w:rsid w:val="003945E3"/>
    <w:rsid w:val="00395DF9"/>
    <w:rsid w:val="00396E4C"/>
    <w:rsid w:val="003A18BF"/>
    <w:rsid w:val="003A6016"/>
    <w:rsid w:val="003E7B49"/>
    <w:rsid w:val="00413CA8"/>
    <w:rsid w:val="004544FE"/>
    <w:rsid w:val="004747C8"/>
    <w:rsid w:val="004811F8"/>
    <w:rsid w:val="004970D1"/>
    <w:rsid w:val="004A3204"/>
    <w:rsid w:val="004B4900"/>
    <w:rsid w:val="004C0EB6"/>
    <w:rsid w:val="004F2EF3"/>
    <w:rsid w:val="00512B61"/>
    <w:rsid w:val="0052229A"/>
    <w:rsid w:val="00525825"/>
    <w:rsid w:val="00525E02"/>
    <w:rsid w:val="005270B1"/>
    <w:rsid w:val="00540DF8"/>
    <w:rsid w:val="00554BEB"/>
    <w:rsid w:val="00557151"/>
    <w:rsid w:val="005B2972"/>
    <w:rsid w:val="005C214C"/>
    <w:rsid w:val="005D1D4E"/>
    <w:rsid w:val="005E11D6"/>
    <w:rsid w:val="00625DBC"/>
    <w:rsid w:val="0063764E"/>
    <w:rsid w:val="00652FB4"/>
    <w:rsid w:val="00663ACE"/>
    <w:rsid w:val="00670DCD"/>
    <w:rsid w:val="00695384"/>
    <w:rsid w:val="006A42C3"/>
    <w:rsid w:val="006C15EF"/>
    <w:rsid w:val="006D2053"/>
    <w:rsid w:val="006E06A4"/>
    <w:rsid w:val="006E4721"/>
    <w:rsid w:val="006E7ABB"/>
    <w:rsid w:val="006F7AB2"/>
    <w:rsid w:val="00711ED3"/>
    <w:rsid w:val="007246D4"/>
    <w:rsid w:val="0074035A"/>
    <w:rsid w:val="007515B4"/>
    <w:rsid w:val="0076411A"/>
    <w:rsid w:val="00771349"/>
    <w:rsid w:val="0079682F"/>
    <w:rsid w:val="007C371B"/>
    <w:rsid w:val="007C7C8F"/>
    <w:rsid w:val="007E692B"/>
    <w:rsid w:val="008138BF"/>
    <w:rsid w:val="008615D0"/>
    <w:rsid w:val="008647F7"/>
    <w:rsid w:val="0086730B"/>
    <w:rsid w:val="00896416"/>
    <w:rsid w:val="008A128D"/>
    <w:rsid w:val="008B34FC"/>
    <w:rsid w:val="008C61F8"/>
    <w:rsid w:val="008D7651"/>
    <w:rsid w:val="008E57F5"/>
    <w:rsid w:val="008E77BF"/>
    <w:rsid w:val="008F5D02"/>
    <w:rsid w:val="009247B6"/>
    <w:rsid w:val="00944B3E"/>
    <w:rsid w:val="00961ED3"/>
    <w:rsid w:val="009A7190"/>
    <w:rsid w:val="009C73AE"/>
    <w:rsid w:val="009E345A"/>
    <w:rsid w:val="009E3BB5"/>
    <w:rsid w:val="009F624F"/>
    <w:rsid w:val="00A0413E"/>
    <w:rsid w:val="00A201EC"/>
    <w:rsid w:val="00A331D0"/>
    <w:rsid w:val="00A45B2C"/>
    <w:rsid w:val="00A47E14"/>
    <w:rsid w:val="00A51117"/>
    <w:rsid w:val="00AA4A68"/>
    <w:rsid w:val="00AB0E66"/>
    <w:rsid w:val="00AD58D8"/>
    <w:rsid w:val="00AF5AA9"/>
    <w:rsid w:val="00B11A5F"/>
    <w:rsid w:val="00B1593E"/>
    <w:rsid w:val="00B20D73"/>
    <w:rsid w:val="00B30003"/>
    <w:rsid w:val="00B66625"/>
    <w:rsid w:val="00B676BA"/>
    <w:rsid w:val="00BA134F"/>
    <w:rsid w:val="00BC5FA0"/>
    <w:rsid w:val="00C01D7E"/>
    <w:rsid w:val="00C76780"/>
    <w:rsid w:val="00CB0ABD"/>
    <w:rsid w:val="00CC4A9E"/>
    <w:rsid w:val="00CD519E"/>
    <w:rsid w:val="00D00549"/>
    <w:rsid w:val="00D719CC"/>
    <w:rsid w:val="00D770F5"/>
    <w:rsid w:val="00D92FA6"/>
    <w:rsid w:val="00DE1143"/>
    <w:rsid w:val="00DF7CAB"/>
    <w:rsid w:val="00E176AD"/>
    <w:rsid w:val="00E238C4"/>
    <w:rsid w:val="00E23A1A"/>
    <w:rsid w:val="00E929E4"/>
    <w:rsid w:val="00E9383D"/>
    <w:rsid w:val="00E94792"/>
    <w:rsid w:val="00EA1333"/>
    <w:rsid w:val="00EB078E"/>
    <w:rsid w:val="00EB66A0"/>
    <w:rsid w:val="00EC7D74"/>
    <w:rsid w:val="00ED2BE3"/>
    <w:rsid w:val="00F11D0A"/>
    <w:rsid w:val="00F33E04"/>
    <w:rsid w:val="00F60260"/>
    <w:rsid w:val="00F61F55"/>
    <w:rsid w:val="00FA79D1"/>
    <w:rsid w:val="00FC5062"/>
    <w:rsid w:val="00FD368F"/>
    <w:rsid w:val="00FD581F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E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autoRedefine/>
    <w:qFormat/>
    <w:rsid w:val="0036615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7DFA8"/>
      <w:spacing w:after="0" w:line="276" w:lineRule="auto"/>
      <w:jc w:val="both"/>
      <w:outlineLvl w:val="0"/>
    </w:pPr>
    <w:rPr>
      <w:rFonts w:ascii="Arial" w:eastAsia="Calibri" w:hAnsi="Arial" w:cs="Arial"/>
      <w:b/>
      <w:sz w:val="24"/>
      <w:szCs w:val="24"/>
      <w:lang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ED2B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E2EFD9" w:themeFill="accent6" w:themeFillTint="33"/>
      <w:spacing w:before="120" w:after="120" w:line="276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16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3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16"/>
    <w:rPr>
      <w:lang w:val="bg-BG"/>
    </w:rPr>
  </w:style>
  <w:style w:type="character" w:styleId="Hyperlink">
    <w:name w:val="Hyperlink"/>
    <w:basedOn w:val="DefaultParagraphFont"/>
    <w:uiPriority w:val="99"/>
    <w:unhideWhenUsed/>
    <w:rsid w:val="00E9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C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9C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6156"/>
    <w:rPr>
      <w:rFonts w:ascii="Arial" w:eastAsia="Calibri" w:hAnsi="Arial" w:cs="Arial"/>
      <w:b/>
      <w:sz w:val="24"/>
      <w:szCs w:val="24"/>
      <w:shd w:val="clear" w:color="auto" w:fill="B7DFA8"/>
      <w:lang w:val="bg-BG" w:eastAsia="x-none"/>
    </w:rPr>
  </w:style>
  <w:style w:type="character" w:customStyle="1" w:styleId="Heading2Char">
    <w:name w:val="Heading 2 Char"/>
    <w:basedOn w:val="DefaultParagraphFont"/>
    <w:link w:val="Heading2"/>
    <w:rsid w:val="00ED2BE3"/>
    <w:rPr>
      <w:rFonts w:ascii="Times New Roman" w:eastAsia="Calibri" w:hAnsi="Times New Roman" w:cs="Times New Roman"/>
      <w:b/>
      <w:bCs/>
      <w:sz w:val="28"/>
      <w:szCs w:val="28"/>
      <w:shd w:val="clear" w:color="auto" w:fill="E2EFD9" w:themeFill="accent6" w:themeFillTint="33"/>
      <w:lang w:val="bg-BG" w:eastAsia="x-none"/>
    </w:rPr>
  </w:style>
  <w:style w:type="paragraph" w:styleId="NormalWeb">
    <w:name w:val="Normal (Web)"/>
    <w:basedOn w:val="Normal"/>
    <w:uiPriority w:val="99"/>
    <w:rsid w:val="003661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66156"/>
  </w:style>
  <w:style w:type="paragraph" w:styleId="TOCHeading">
    <w:name w:val="TOC Heading"/>
    <w:basedOn w:val="Heading1"/>
    <w:next w:val="Normal"/>
    <w:uiPriority w:val="39"/>
    <w:unhideWhenUsed/>
    <w:qFormat/>
    <w:rsid w:val="00366156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46CC"/>
    <w:pPr>
      <w:pBdr>
        <w:between w:val="single" w:sz="4" w:space="1" w:color="auto"/>
        <w:bar w:val="single" w:sz="4" w:color="auto"/>
      </w:pBdr>
      <w:tabs>
        <w:tab w:val="right" w:leader="dot" w:pos="8800"/>
      </w:tabs>
      <w:spacing w:after="0" w:line="240" w:lineRule="auto"/>
      <w:ind w:left="-110"/>
      <w:jc w:val="both"/>
    </w:pPr>
  </w:style>
  <w:style w:type="paragraph" w:styleId="TOC1">
    <w:name w:val="toc 1"/>
    <w:basedOn w:val="Normal"/>
    <w:next w:val="Normal"/>
    <w:autoRedefine/>
    <w:uiPriority w:val="39"/>
    <w:unhideWhenUsed/>
    <w:rsid w:val="00366156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paragraph" w:styleId="TOC3">
    <w:name w:val="toc 3"/>
    <w:basedOn w:val="Normal"/>
    <w:next w:val="Normal"/>
    <w:autoRedefine/>
    <w:uiPriority w:val="39"/>
    <w:unhideWhenUsed/>
    <w:rsid w:val="009E345A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m">
    <w:name w:val="m"/>
    <w:basedOn w:val="Normal"/>
    <w:rsid w:val="004B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4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490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394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1">
    <w:name w:val="Основен текст + Удебелен1"/>
    <w:uiPriority w:val="99"/>
    <w:rsid w:val="005E11D6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3005213&amp;b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3945251&amp;b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07EF-2E89-4131-B296-CDC7714D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2021-08-08T14:23:00Z</dcterms:created>
  <dcterms:modified xsi:type="dcterms:W3CDTF">2023-01-05T13:24:00Z</dcterms:modified>
</cp:coreProperties>
</file>