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E14A" w14:textId="2C12E036" w:rsidR="00E6090D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АНОТАЦИЯ</w:t>
      </w:r>
    </w:p>
    <w:p w14:paraId="2B16FDC9" w14:textId="77777777" w:rsidR="00C50495" w:rsidRPr="00EC2BE5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9B3A7F" w14:textId="6A5FB301" w:rsidR="00E6090D" w:rsidRPr="00EC2BE5" w:rsidRDefault="00F6524C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6F57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6090D" w:rsidRPr="00EC2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1FE525" w14:textId="7346B504" w:rsidR="00E6090D" w:rsidRPr="00EC2BE5" w:rsidRDefault="006F57FB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6F57FB">
        <w:rPr>
          <w:rFonts w:ascii="Times New Roman" w:hAnsi="Times New Roman" w:cs="Times New Roman"/>
          <w:b/>
          <w:bCs/>
          <w:sz w:val="24"/>
          <w:szCs w:val="24"/>
        </w:rPr>
        <w:t>ВЪЗМОЖНИ ИЗТОЧНИЦИ ЗА ФИНАНСОВА ПОДКРЕПА НА ОБЩИНСКИ ИНИЦИАТИВИ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1083E4E" w14:textId="77777777" w:rsidR="00147F18" w:rsidRDefault="00147F18" w:rsidP="003C0E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E552A9" w14:textId="73FE92F2" w:rsidR="001C666A" w:rsidRPr="003C0E66" w:rsidRDefault="00A50D62" w:rsidP="00FB0874">
      <w:pPr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Темата </w:t>
      </w:r>
      <w:r w:rsidR="001A2691" w:rsidRPr="003C0E66">
        <w:rPr>
          <w:rFonts w:ascii="Times New Roman" w:hAnsi="Times New Roman"/>
          <w:color w:val="000000" w:themeColor="text1"/>
          <w:sz w:val="24"/>
          <w:szCs w:val="24"/>
        </w:rPr>
        <w:t xml:space="preserve">представя </w:t>
      </w:r>
      <w:r w:rsidR="003C0E66" w:rsidRPr="003C0E66">
        <w:rPr>
          <w:rFonts w:ascii="Times New Roman" w:hAnsi="Times New Roman"/>
          <w:color w:val="000000" w:themeColor="text1"/>
          <w:sz w:val="24"/>
          <w:szCs w:val="24"/>
        </w:rPr>
        <w:t>възможни</w:t>
      </w:r>
      <w:r w:rsidR="00492DF3">
        <w:rPr>
          <w:rFonts w:ascii="Times New Roman" w:hAnsi="Times New Roman"/>
          <w:color w:val="000000" w:themeColor="text1"/>
          <w:sz w:val="24"/>
          <w:szCs w:val="24"/>
        </w:rPr>
        <w:t>те</w:t>
      </w:r>
      <w:r w:rsidR="003C0E66" w:rsidRPr="003C0E66">
        <w:rPr>
          <w:rFonts w:ascii="Times New Roman" w:hAnsi="Times New Roman"/>
          <w:color w:val="000000" w:themeColor="text1"/>
          <w:sz w:val="24"/>
          <w:szCs w:val="24"/>
        </w:rPr>
        <w:t xml:space="preserve"> източници за финансиране на дейностите, свързани с оползотворяването на наличния общински потенциал, както и примерен план за устойчивост на инвестиции</w:t>
      </w:r>
      <w:r w:rsidR="00492DF3">
        <w:rPr>
          <w:rFonts w:ascii="Times New Roman" w:hAnsi="Times New Roman"/>
          <w:color w:val="000000" w:themeColor="text1"/>
          <w:sz w:val="24"/>
          <w:szCs w:val="24"/>
        </w:rPr>
        <w:t>те</w:t>
      </w:r>
      <w:r w:rsidR="00FC2F1D">
        <w:rPr>
          <w:rFonts w:ascii="Times New Roman" w:hAnsi="Times New Roman"/>
          <w:color w:val="000000" w:themeColor="text1"/>
          <w:sz w:val="24"/>
          <w:szCs w:val="24"/>
        </w:rPr>
        <w:t xml:space="preserve"> във връзка с</w:t>
      </w:r>
      <w:r w:rsidR="003C0E66" w:rsidRPr="003C0E66">
        <w:rPr>
          <w:rFonts w:ascii="Times New Roman" w:hAnsi="Times New Roman"/>
          <w:color w:val="000000" w:themeColor="text1"/>
          <w:sz w:val="24"/>
          <w:szCs w:val="24"/>
        </w:rPr>
        <w:t xml:space="preserve"> използването на </w:t>
      </w:r>
      <w:r w:rsidR="003C0E66" w:rsidRPr="003C0E66">
        <w:rPr>
          <w:rFonts w:ascii="Times New Roman" w:hAnsi="Times New Roman"/>
          <w:bCs/>
          <w:color w:val="000000" w:themeColor="text1"/>
          <w:sz w:val="24"/>
          <w:szCs w:val="24"/>
        </w:rPr>
        <w:t>наличните ресурси за насърчаване на местното икономическо развитие</w:t>
      </w:r>
      <w:r w:rsidR="001A2691" w:rsidRPr="003C0E6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A4D9F3" w14:textId="275BCD95" w:rsidR="008C101E" w:rsidRPr="003C0E66" w:rsidRDefault="008C101E" w:rsidP="00FB0874">
      <w:pPr>
        <w:spacing w:before="120" w:after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 w:cs="Times New Roman"/>
          <w:color w:val="000000" w:themeColor="text1"/>
          <w:sz w:val="24"/>
          <w:szCs w:val="24"/>
        </w:rPr>
        <w:t>В темата подробно са разгледани:</w:t>
      </w:r>
    </w:p>
    <w:p w14:paraId="7A6119EA" w14:textId="0FBAB0F4" w:rsidR="001C666A" w:rsidRPr="003C0E66" w:rsidRDefault="003C0E66" w:rsidP="00FB0874">
      <w:pPr>
        <w:pStyle w:val="ListParagraph"/>
        <w:numPr>
          <w:ilvl w:val="0"/>
          <w:numId w:val="24"/>
        </w:numPr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Възможни източници на финансиране:</w:t>
      </w:r>
    </w:p>
    <w:p w14:paraId="7955CB53" w14:textId="611FE5EE" w:rsidR="003C0E66" w:rsidRPr="003C0E66" w:rsidRDefault="003C0E66" w:rsidP="00FB0874">
      <w:pPr>
        <w:pStyle w:val="ListParagraph"/>
        <w:numPr>
          <w:ilvl w:val="0"/>
          <w:numId w:val="25"/>
        </w:numPr>
        <w:spacing w:before="120" w:after="120"/>
        <w:ind w:left="1134" w:hanging="28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Държавен бюджет</w:t>
      </w:r>
      <w:r w:rsidR="00FB0874">
        <w:rPr>
          <w:rFonts w:ascii="Times New Roman" w:hAnsi="Times New Roman"/>
          <w:color w:val="000000" w:themeColor="text1"/>
          <w:sz w:val="24"/>
          <w:szCs w:val="24"/>
          <w:lang w:val="en-GB"/>
        </w:rPr>
        <w:t>;</w:t>
      </w:r>
    </w:p>
    <w:p w14:paraId="0C1E0E0B" w14:textId="1FC4B90C" w:rsidR="003C0E66" w:rsidRPr="003C0E66" w:rsidRDefault="003C0E66" w:rsidP="00FB0874">
      <w:pPr>
        <w:pStyle w:val="ListParagraph"/>
        <w:numPr>
          <w:ilvl w:val="0"/>
          <w:numId w:val="25"/>
        </w:numPr>
        <w:spacing w:before="120" w:after="120"/>
        <w:ind w:left="1134" w:hanging="28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Общински бюджет</w:t>
      </w:r>
      <w:r w:rsidR="00FB0874">
        <w:rPr>
          <w:rFonts w:ascii="Times New Roman" w:hAnsi="Times New Roman"/>
          <w:color w:val="000000" w:themeColor="text1"/>
          <w:sz w:val="24"/>
          <w:szCs w:val="24"/>
          <w:lang w:val="en-GB"/>
        </w:rPr>
        <w:t>;</w:t>
      </w:r>
    </w:p>
    <w:p w14:paraId="52F9BC42" w14:textId="58FBD62D" w:rsidR="003C0E66" w:rsidRPr="003C0E66" w:rsidRDefault="003C0E66" w:rsidP="00FB0874">
      <w:pPr>
        <w:pStyle w:val="ListParagraph"/>
        <w:numPr>
          <w:ilvl w:val="0"/>
          <w:numId w:val="25"/>
        </w:numPr>
        <w:spacing w:before="120" w:after="120"/>
        <w:ind w:left="1134" w:hanging="28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Частно финансиране</w:t>
      </w:r>
      <w:r w:rsidR="00FB0874">
        <w:rPr>
          <w:rFonts w:ascii="Times New Roman" w:hAnsi="Times New Roman"/>
          <w:color w:val="000000" w:themeColor="text1"/>
          <w:sz w:val="24"/>
          <w:szCs w:val="24"/>
          <w:lang w:val="en-GB"/>
        </w:rPr>
        <w:t>;</w:t>
      </w:r>
    </w:p>
    <w:p w14:paraId="027F2E89" w14:textId="50546DDD" w:rsidR="003C0E66" w:rsidRPr="003C0E66" w:rsidRDefault="003C0E66" w:rsidP="00FB0874">
      <w:pPr>
        <w:pStyle w:val="ListParagraph"/>
        <w:numPr>
          <w:ilvl w:val="0"/>
          <w:numId w:val="25"/>
        </w:numPr>
        <w:spacing w:before="120" w:after="120"/>
        <w:ind w:left="1134" w:hanging="28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План за възстановяване и устойчивост</w:t>
      </w:r>
      <w:r w:rsidR="00FB0874">
        <w:rPr>
          <w:rFonts w:ascii="Times New Roman" w:hAnsi="Times New Roman"/>
          <w:color w:val="000000" w:themeColor="text1"/>
          <w:sz w:val="24"/>
          <w:szCs w:val="24"/>
          <w:lang w:val="en-GB"/>
        </w:rPr>
        <w:t>;</w:t>
      </w:r>
    </w:p>
    <w:p w14:paraId="276162FD" w14:textId="5207983E" w:rsidR="003C0E66" w:rsidRPr="003C0E66" w:rsidRDefault="003C0E66" w:rsidP="00FB0874">
      <w:pPr>
        <w:pStyle w:val="ListParagraph"/>
        <w:numPr>
          <w:ilvl w:val="0"/>
          <w:numId w:val="25"/>
        </w:numPr>
        <w:spacing w:before="120" w:after="120"/>
        <w:ind w:left="1134" w:hanging="28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Национални програми, финансирани от Европейските структурни и инвестиционни фондове</w:t>
      </w:r>
      <w:r w:rsidR="00FB0874">
        <w:rPr>
          <w:rFonts w:ascii="Times New Roman" w:hAnsi="Times New Roman"/>
          <w:color w:val="000000" w:themeColor="text1"/>
          <w:sz w:val="24"/>
          <w:szCs w:val="24"/>
          <w:lang w:val="en-GB"/>
        </w:rPr>
        <w:t>;</w:t>
      </w:r>
    </w:p>
    <w:p w14:paraId="2CCB3B01" w14:textId="08685E04" w:rsidR="003C0E66" w:rsidRPr="003C0E66" w:rsidRDefault="003C0E66" w:rsidP="00FB0874">
      <w:pPr>
        <w:pStyle w:val="ListParagraph"/>
        <w:numPr>
          <w:ilvl w:val="0"/>
          <w:numId w:val="25"/>
        </w:numPr>
        <w:spacing w:before="120" w:after="120"/>
        <w:ind w:left="1134" w:hanging="28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Финансови инструменти</w:t>
      </w:r>
      <w:r w:rsidR="00FB0874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14:paraId="7B2003F8" w14:textId="212312D8" w:rsidR="003C0E66" w:rsidRPr="003C0E66" w:rsidRDefault="003C0E66" w:rsidP="00FB0874">
      <w:pPr>
        <w:pStyle w:val="ListParagraph"/>
        <w:numPr>
          <w:ilvl w:val="0"/>
          <w:numId w:val="24"/>
        </w:numPr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Примерен план за устойчивост на инвестициите:</w:t>
      </w:r>
    </w:p>
    <w:p w14:paraId="7A362FDC" w14:textId="26EB6A9D" w:rsidR="003C0E66" w:rsidRPr="003C0E66" w:rsidRDefault="003C0E66" w:rsidP="00FB0874">
      <w:pPr>
        <w:pStyle w:val="ListParagraph"/>
        <w:numPr>
          <w:ilvl w:val="0"/>
          <w:numId w:val="25"/>
        </w:numPr>
        <w:spacing w:before="120" w:after="120"/>
        <w:ind w:left="1134" w:hanging="28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Определяне на инвестиционни разходи</w:t>
      </w:r>
      <w:r w:rsidR="00FB0874">
        <w:rPr>
          <w:rFonts w:ascii="Times New Roman" w:hAnsi="Times New Roman"/>
          <w:color w:val="000000" w:themeColor="text1"/>
          <w:sz w:val="24"/>
          <w:szCs w:val="24"/>
          <w:lang w:val="en-GB"/>
        </w:rPr>
        <w:t>;</w:t>
      </w:r>
    </w:p>
    <w:p w14:paraId="366451BD" w14:textId="3065D47D" w:rsidR="003C0E66" w:rsidRPr="003C0E66" w:rsidRDefault="003C0E66" w:rsidP="00FB0874">
      <w:pPr>
        <w:pStyle w:val="ListParagraph"/>
        <w:numPr>
          <w:ilvl w:val="0"/>
          <w:numId w:val="25"/>
        </w:numPr>
        <w:spacing w:before="120" w:after="120"/>
        <w:ind w:left="1134" w:hanging="28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Определяне на прогнозни оперативни разходи (за експлоатация и поддръжка)</w:t>
      </w:r>
      <w:r w:rsidR="00FB0874">
        <w:rPr>
          <w:rFonts w:ascii="Times New Roman" w:hAnsi="Times New Roman"/>
          <w:color w:val="000000" w:themeColor="text1"/>
          <w:sz w:val="24"/>
          <w:szCs w:val="24"/>
          <w:lang w:val="en-GB"/>
        </w:rPr>
        <w:t>;</w:t>
      </w:r>
    </w:p>
    <w:p w14:paraId="1BCF2AC0" w14:textId="4D9595E0" w:rsidR="003C0E66" w:rsidRPr="003C0E66" w:rsidRDefault="003C0E66" w:rsidP="00FB0874">
      <w:pPr>
        <w:pStyle w:val="ListParagraph"/>
        <w:numPr>
          <w:ilvl w:val="0"/>
          <w:numId w:val="25"/>
        </w:numPr>
        <w:spacing w:before="120" w:after="120"/>
        <w:ind w:left="1134" w:hanging="28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Определяне на входящите и изходящите парични потоци</w:t>
      </w:r>
      <w:r w:rsidR="00FB0874">
        <w:rPr>
          <w:rFonts w:ascii="Times New Roman" w:hAnsi="Times New Roman"/>
          <w:color w:val="000000" w:themeColor="text1"/>
          <w:sz w:val="24"/>
          <w:szCs w:val="24"/>
          <w:lang w:val="en-GB"/>
        </w:rPr>
        <w:t>;</w:t>
      </w:r>
    </w:p>
    <w:p w14:paraId="0A2BC80B" w14:textId="7EA3A3BD" w:rsidR="003C0E66" w:rsidRPr="003C0E66" w:rsidRDefault="003C0E66" w:rsidP="00FB0874">
      <w:pPr>
        <w:pStyle w:val="ListParagraph"/>
        <w:numPr>
          <w:ilvl w:val="0"/>
          <w:numId w:val="25"/>
        </w:numPr>
        <w:spacing w:before="120" w:after="120"/>
        <w:ind w:left="1134" w:hanging="28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Основни параметри на финансовия анализ на инвестициите</w:t>
      </w:r>
      <w:r w:rsidR="00FB0874">
        <w:rPr>
          <w:rFonts w:ascii="Times New Roman" w:hAnsi="Times New Roman"/>
          <w:color w:val="000000" w:themeColor="text1"/>
          <w:sz w:val="24"/>
          <w:szCs w:val="24"/>
          <w:lang w:val="en-GB"/>
        </w:rPr>
        <w:t>;</w:t>
      </w:r>
    </w:p>
    <w:p w14:paraId="7FD1DEE2" w14:textId="66CD830B" w:rsidR="003C0E66" w:rsidRPr="003C0E66" w:rsidRDefault="003C0E66" w:rsidP="00FB0874">
      <w:pPr>
        <w:pStyle w:val="ListParagraph"/>
        <w:numPr>
          <w:ilvl w:val="0"/>
          <w:numId w:val="25"/>
        </w:numPr>
        <w:spacing w:before="120" w:after="120"/>
        <w:ind w:left="1134" w:hanging="28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E66">
        <w:rPr>
          <w:rFonts w:ascii="Times New Roman" w:hAnsi="Times New Roman"/>
          <w:color w:val="000000" w:themeColor="text1"/>
          <w:sz w:val="24"/>
          <w:szCs w:val="24"/>
        </w:rPr>
        <w:t>Стратегия за финансова устойчивост</w:t>
      </w:r>
      <w:r w:rsidR="00FB0874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14:paraId="60DE8956" w14:textId="77777777" w:rsidR="008B1378" w:rsidRDefault="008B1378" w:rsidP="008B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3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60A9" w14:textId="77777777" w:rsidR="00032FBA" w:rsidRDefault="00032FBA" w:rsidP="00E6090D">
      <w:pPr>
        <w:spacing w:after="0" w:line="240" w:lineRule="auto"/>
      </w:pPr>
      <w:r>
        <w:separator/>
      </w:r>
    </w:p>
  </w:endnote>
  <w:endnote w:type="continuationSeparator" w:id="0">
    <w:p w14:paraId="01B44C77" w14:textId="77777777" w:rsidR="00032FBA" w:rsidRDefault="00032FBA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1FC446CF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FB0874">
          <w:rPr>
            <w:rFonts w:ascii="Georgia" w:hAnsi="Georgia"/>
            <w:i/>
            <w:iCs/>
            <w:sz w:val="20"/>
            <w:szCs w:val="20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FA81" w14:textId="77777777" w:rsidR="00032FBA" w:rsidRDefault="00032FBA" w:rsidP="00E6090D">
      <w:pPr>
        <w:spacing w:after="0" w:line="240" w:lineRule="auto"/>
      </w:pPr>
      <w:r>
        <w:separator/>
      </w:r>
    </w:p>
  </w:footnote>
  <w:footnote w:type="continuationSeparator" w:id="0">
    <w:p w14:paraId="04F672E6" w14:textId="77777777" w:rsidR="00032FBA" w:rsidRDefault="00032FBA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280078" w14:paraId="18879E1F" w14:textId="77777777" w:rsidTr="00F5038A">
      <w:trPr>
        <w:jc w:val="center"/>
      </w:trPr>
      <w:tc>
        <w:tcPr>
          <w:tcW w:w="3005" w:type="dxa"/>
          <w:vAlign w:val="center"/>
        </w:tcPr>
        <w:p w14:paraId="407C0D02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5C9D60B" wp14:editId="4B25221C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720BCF87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6A9A7C43" wp14:editId="439E0C5A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A256B06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14CB5C2" wp14:editId="16E59DE2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4969A119" w:rsidR="006E0E69" w:rsidRPr="00280078" w:rsidRDefault="006E0E69" w:rsidP="00280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06CE"/>
    <w:multiLevelType w:val="hybridMultilevel"/>
    <w:tmpl w:val="199CD7CA"/>
    <w:lvl w:ilvl="0" w:tplc="AECA1774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4BEE"/>
    <w:multiLevelType w:val="hybridMultilevel"/>
    <w:tmpl w:val="A648B83E"/>
    <w:lvl w:ilvl="0" w:tplc="5C46807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4B877C"/>
        <w:sz w:val="16"/>
        <w:szCs w:val="16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3395"/>
    <w:multiLevelType w:val="hybridMultilevel"/>
    <w:tmpl w:val="2C7AAB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55DB5"/>
    <w:multiLevelType w:val="hybridMultilevel"/>
    <w:tmpl w:val="9A7C17F4"/>
    <w:lvl w:ilvl="0" w:tplc="AB989BCC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22DDC"/>
    <w:multiLevelType w:val="hybridMultilevel"/>
    <w:tmpl w:val="E586F94E"/>
    <w:lvl w:ilvl="0" w:tplc="96524FC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C7F1F"/>
    <w:multiLevelType w:val="hybridMultilevel"/>
    <w:tmpl w:val="346C6B12"/>
    <w:lvl w:ilvl="0" w:tplc="449201D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83E69"/>
    <w:multiLevelType w:val="hybridMultilevel"/>
    <w:tmpl w:val="95123D42"/>
    <w:lvl w:ilvl="0" w:tplc="E206B484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85074">
    <w:abstractNumId w:val="12"/>
  </w:num>
  <w:num w:numId="2" w16cid:durableId="1660694845">
    <w:abstractNumId w:val="4"/>
  </w:num>
  <w:num w:numId="3" w16cid:durableId="719744908">
    <w:abstractNumId w:val="14"/>
  </w:num>
  <w:num w:numId="4" w16cid:durableId="1140078211">
    <w:abstractNumId w:val="18"/>
  </w:num>
  <w:num w:numId="5" w16cid:durableId="1200049430">
    <w:abstractNumId w:val="20"/>
  </w:num>
  <w:num w:numId="6" w16cid:durableId="696933454">
    <w:abstractNumId w:val="22"/>
  </w:num>
  <w:num w:numId="7" w16cid:durableId="1543052119">
    <w:abstractNumId w:val="8"/>
  </w:num>
  <w:num w:numId="8" w16cid:durableId="470483492">
    <w:abstractNumId w:val="19"/>
  </w:num>
  <w:num w:numId="9" w16cid:durableId="1494949728">
    <w:abstractNumId w:val="0"/>
  </w:num>
  <w:num w:numId="10" w16cid:durableId="2043701648">
    <w:abstractNumId w:val="17"/>
  </w:num>
  <w:num w:numId="11" w16cid:durableId="295333734">
    <w:abstractNumId w:val="1"/>
  </w:num>
  <w:num w:numId="12" w16cid:durableId="357202112">
    <w:abstractNumId w:val="24"/>
  </w:num>
  <w:num w:numId="13" w16cid:durableId="890195092">
    <w:abstractNumId w:val="16"/>
  </w:num>
  <w:num w:numId="14" w16cid:durableId="1537156319">
    <w:abstractNumId w:val="3"/>
  </w:num>
  <w:num w:numId="15" w16cid:durableId="625358804">
    <w:abstractNumId w:val="6"/>
  </w:num>
  <w:num w:numId="16" w16cid:durableId="1821379597">
    <w:abstractNumId w:val="2"/>
  </w:num>
  <w:num w:numId="17" w16cid:durableId="398866180">
    <w:abstractNumId w:val="23"/>
  </w:num>
  <w:num w:numId="18" w16cid:durableId="1561093972">
    <w:abstractNumId w:val="10"/>
  </w:num>
  <w:num w:numId="19" w16cid:durableId="1218275388">
    <w:abstractNumId w:val="15"/>
  </w:num>
  <w:num w:numId="20" w16cid:durableId="1019548853">
    <w:abstractNumId w:val="13"/>
  </w:num>
  <w:num w:numId="21" w16cid:durableId="1450471621">
    <w:abstractNumId w:val="9"/>
  </w:num>
  <w:num w:numId="22" w16cid:durableId="1905141542">
    <w:abstractNumId w:val="21"/>
  </w:num>
  <w:num w:numId="23" w16cid:durableId="464276231">
    <w:abstractNumId w:val="7"/>
  </w:num>
  <w:num w:numId="24" w16cid:durableId="133453595">
    <w:abstractNumId w:val="11"/>
  </w:num>
  <w:num w:numId="25" w16cid:durableId="268047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32FBA"/>
    <w:rsid w:val="000D1E88"/>
    <w:rsid w:val="00110901"/>
    <w:rsid w:val="00130B85"/>
    <w:rsid w:val="00147F18"/>
    <w:rsid w:val="00175655"/>
    <w:rsid w:val="00181878"/>
    <w:rsid w:val="001A2691"/>
    <w:rsid w:val="001C666A"/>
    <w:rsid w:val="001D1728"/>
    <w:rsid w:val="001D41CB"/>
    <w:rsid w:val="001F093A"/>
    <w:rsid w:val="00254AFA"/>
    <w:rsid w:val="00280078"/>
    <w:rsid w:val="002B252A"/>
    <w:rsid w:val="002E2484"/>
    <w:rsid w:val="002E666D"/>
    <w:rsid w:val="00315BB1"/>
    <w:rsid w:val="00334D86"/>
    <w:rsid w:val="0038210D"/>
    <w:rsid w:val="003B202C"/>
    <w:rsid w:val="003C0E66"/>
    <w:rsid w:val="003C67EA"/>
    <w:rsid w:val="003E0EA9"/>
    <w:rsid w:val="0040059A"/>
    <w:rsid w:val="00423C09"/>
    <w:rsid w:val="00492DF3"/>
    <w:rsid w:val="004F29F2"/>
    <w:rsid w:val="005B7A18"/>
    <w:rsid w:val="005F2183"/>
    <w:rsid w:val="00633A00"/>
    <w:rsid w:val="00633DE4"/>
    <w:rsid w:val="00683E1F"/>
    <w:rsid w:val="006A76A4"/>
    <w:rsid w:val="006B7536"/>
    <w:rsid w:val="006E0E69"/>
    <w:rsid w:val="006F57FB"/>
    <w:rsid w:val="0073259A"/>
    <w:rsid w:val="007C3F1C"/>
    <w:rsid w:val="008350BF"/>
    <w:rsid w:val="0083784B"/>
    <w:rsid w:val="008B07BF"/>
    <w:rsid w:val="008B1378"/>
    <w:rsid w:val="008C101E"/>
    <w:rsid w:val="008F7378"/>
    <w:rsid w:val="00956434"/>
    <w:rsid w:val="0096008F"/>
    <w:rsid w:val="009601DA"/>
    <w:rsid w:val="009C7007"/>
    <w:rsid w:val="00A165F1"/>
    <w:rsid w:val="00A2751D"/>
    <w:rsid w:val="00A50D62"/>
    <w:rsid w:val="00A56351"/>
    <w:rsid w:val="00A65D05"/>
    <w:rsid w:val="00AB3F66"/>
    <w:rsid w:val="00AC6F0C"/>
    <w:rsid w:val="00AC719C"/>
    <w:rsid w:val="00AE2102"/>
    <w:rsid w:val="00B856FC"/>
    <w:rsid w:val="00C30490"/>
    <w:rsid w:val="00C50495"/>
    <w:rsid w:val="00CB57CE"/>
    <w:rsid w:val="00CE1C34"/>
    <w:rsid w:val="00D04B99"/>
    <w:rsid w:val="00D35014"/>
    <w:rsid w:val="00D52486"/>
    <w:rsid w:val="00D61F68"/>
    <w:rsid w:val="00D96C6D"/>
    <w:rsid w:val="00DA3D2B"/>
    <w:rsid w:val="00E554BC"/>
    <w:rsid w:val="00E6090D"/>
    <w:rsid w:val="00E9215B"/>
    <w:rsid w:val="00EC2BE5"/>
    <w:rsid w:val="00EF3F2B"/>
    <w:rsid w:val="00F272AD"/>
    <w:rsid w:val="00F275FF"/>
    <w:rsid w:val="00F611EF"/>
    <w:rsid w:val="00F6524C"/>
    <w:rsid w:val="00F704FA"/>
    <w:rsid w:val="00FB0874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Гл точки,ПАРАГРАФ,List1,List Paragraph11,List Paragraph111,Bullet List Paragraph,Numbered list,nomerche,текст Върбица,List Paragraph (numbered (a))"/>
    <w:basedOn w:val="Normal"/>
    <w:link w:val="ListParagraphChar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2800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Гл точки Char,ПАРАГРАФ Char,List1 Char,List Paragraph11 Char,List Paragraph111 Char,Bullet List Paragraph Char,Numbered list Char,nomerche Char,текст Върбица Char,List Paragraph (numbered (a)) Char"/>
    <w:link w:val="ListParagraph"/>
    <w:uiPriority w:val="34"/>
    <w:rsid w:val="001C666A"/>
    <w:rPr>
      <w:rFonts w:ascii="Calibri" w:eastAsia="Times New Roman" w:hAnsi="Calibri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2023-01-09T10:03:00Z</dcterms:created>
  <dcterms:modified xsi:type="dcterms:W3CDTF">2023-05-02T14:16:00Z</dcterms:modified>
</cp:coreProperties>
</file>