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Европейски зелен пакт – https://eur-lex.europa.eu/legal-content/BG/TXT/HTML/?uri=CELEX:52019DC0640&amp;from=EN, </w:t>
      </w:r>
      <w:hyperlink r:id="rId7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https://ec.europa.eu/commission/presscorner/detail/bg/ip_19_6691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Планът за инвестиции и Механизмът за справедлив преход на Европейския зелен пакт - </w:t>
      </w:r>
      <w:hyperlink r:id="rId8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https://ec.europa.eu/commission/presscorner/detail/bg/ip_20_17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Европейска промишлена стратегия - план за подготвена за бъдещето икономика - </w:t>
      </w:r>
      <w:hyperlink r:id="rId9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https://ec.europa.eu/commission/presscorner/detail/bg/ip_20_416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на ЕС за биологичното разнообразие до 2030 г. - </w:t>
      </w:r>
      <w:hyperlink r:id="rId10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https://ec.europa.eu/info/strategy/priorities-2019-2024/european-green-deal/actions-being-taken-eu/eu-biodiversity-strategy-2030_bg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План за действие относно кръговата икономика - </w:t>
      </w:r>
      <w:hyperlink r:id="rId11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https://ec.europa.eu/commission/presscorner/detail/bg/fs_20_437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Стратегията "От фермата към трапезата" за устойчивост на продоволствените системи - </w:t>
      </w:r>
      <w:hyperlink r:id="rId12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https://ec.europa.eu/info/strategy/priorities-2019-2024/european-green-deal/actions-being-taken-eu/farm-fork_bg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на ЕС за интегриране на енергийната система и използване на водорода за постигане на изцяло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декарбонизиран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, ефективен и взаимосвързан енергиен сектор - </w:t>
      </w:r>
      <w:hyperlink r:id="rId13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https://ec.europa.eu/energy/sites/ener/files/hydrogen_strategy.pdf</w:t>
        </w:r>
      </w:hyperlink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>План за целите в областта на климата до 2030г.</w:t>
      </w:r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План за саниране - </w:t>
      </w:r>
      <w:hyperlink r:id="rId14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https://ec.europa.eu/commission/presscorner/detail/bg/ip_20_1835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План за метана - </w:t>
      </w:r>
      <w:hyperlink r:id="rId15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https://ec.europa.eu/commission/presscorner/detail/bg/ip_20_1833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за химичните вещества с цел устойчивост - </w:t>
      </w:r>
      <w:hyperlink r:id="rId16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https://ec.europa.eu/commission/presscorner/detail/bg/ip_20_1839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Енергия от възобновяеми източници в морето - </w:t>
      </w:r>
      <w:hyperlink r:id="rId17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https://ec.europa.eu/commission/presscorner/detail/bg/ip_20_2096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Европейски пакт за климата - </w:t>
      </w:r>
      <w:hyperlink r:id="rId18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https://ec.europa.eu/commission/presscorner/detail/bg/ip_20_2323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Нов Европейски БАУХАУС - </w:t>
      </w:r>
      <w:hyperlink r:id="rId19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https://europa.eu/new-european-bauhaus/index_bg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Национална програма за предотвратяване и намаляване на загубата на храни – 2021г. – 2026г. </w:t>
      </w:r>
      <w:hyperlink r:id="rId20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https://www.mzh.government.bg/bg/politiki-i-programi/politiki-i-strategii/nacionalna-programa-za-predotvratyavane-i-namalyavane-na-zagubat/</w:t>
        </w:r>
      </w:hyperlink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Закон за управление на отпадъците (ДВ, бр. 53 от 13.07.2012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изм. ДВ, бр. 19 от 05.03.2021 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разделно събиране на биоотпадъците и третиране на биоразградимите отпадъци (Приета с ПМС № 20 от 25.01.2017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ДВ. бр.11 от 31 Януари 2017г., изм. и доп. ДВ. бр.2 от 8 януари 2021 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опаковките и отпадъците от опаковки (Приета с ПМС № 271 от 30.10.2012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., ДВ, бр. 85 от 6.11.2012 г., в сила от 6.11.2012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Изм. и доп. ДВ бр. 2 от 8.01.2021 г.);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1A2F87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FF0000"/>
          <w:sz w:val="24"/>
          <w:szCs w:val="24"/>
        </w:rPr>
        <w:t>. ДВ. бр.111 от 27 декември 2013г., изм. и доп. ДВ. бр.26 от 22 март 2020г.,изм. и доп. ДВ. Бр.77от 16.09.2021г.)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излезли от употреба моторни превозни средства (Приета с ПМС №11 от 15.01.2013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изм. и доп. ДВ. бр. 2 от 8.01.2021 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>Наредба №1 от 4 юни 2014 г. за реда и образците, по който се предоставя информация за дейности с отпадъци, както и за реда на водене на публични регистри (</w:t>
      </w:r>
      <w:proofErr w:type="spellStart"/>
      <w:r w:rsidRPr="001A2F87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FF0000"/>
          <w:sz w:val="24"/>
          <w:szCs w:val="24"/>
        </w:rPr>
        <w:t>. ДВ. бр. 51 от 20 юни 2014 г., изм. и доп. ДВ, бр. 30 от 31 Март 2020 г.,  изм. и доп. ДВ. бр.82 от 1 Октомври 2021г.)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>Наредба № 2 за класификация на отпадъците (</w:t>
      </w:r>
      <w:proofErr w:type="spellStart"/>
      <w:r w:rsidRPr="001A2F87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FF0000"/>
          <w:sz w:val="24"/>
          <w:szCs w:val="24"/>
        </w:rPr>
        <w:t xml:space="preserve">., ДВ, бр. 66 от 8.08.2014 г., изм. и доп., бр. 86 от 6.10.2020 г., изм. и доп. ДВ. бр.53 от 8 Юли 2022 г.  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батерии и акумулатори и за негодни за употреба батерии и акумулатори (Приета с ПМС № 351 от 27.12.2012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., ДВ, бр. 2 от 8.01.2013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доп., бр. 2 от 8.01.2021 г.)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Наредба за излязлото от употреба електрическо и електронно оборудване (Приета с ПМС № 256 от 13.11.2013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 xml:space="preserve">., ДВ, бр. 100 от 19.11.2013 г., в сила от 1.01.2014 г., </w:t>
      </w:r>
      <w:proofErr w:type="spellStart"/>
      <w:r w:rsidRPr="001A2F87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1A2F87">
        <w:rPr>
          <w:rFonts w:ascii="Times New Roman" w:hAnsi="Times New Roman"/>
          <w:color w:val="000000" w:themeColor="text1"/>
          <w:sz w:val="24"/>
          <w:szCs w:val="24"/>
        </w:rPr>
        <w:t>. изм. и доп., бр. 2 от 8.01.2021 г.).</w:t>
      </w:r>
    </w:p>
    <w:p w:rsidR="001A2F87" w:rsidRP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>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 (</w:t>
      </w:r>
      <w:proofErr w:type="spellStart"/>
      <w:r w:rsidRPr="001A2F87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1A2F87">
        <w:rPr>
          <w:rFonts w:ascii="Times New Roman" w:hAnsi="Times New Roman"/>
          <w:color w:val="FF0000"/>
          <w:sz w:val="24"/>
          <w:szCs w:val="24"/>
        </w:rPr>
        <w:t xml:space="preserve">. ДВ. бр.80 от 13 Септември 2013г., изм. и доп. ДВ. бр.13 от 7 Февруари 2017г., в сила от 01.05.2021г., </w:t>
      </w:r>
      <w:proofErr w:type="spellStart"/>
      <w:r w:rsidRPr="001A2F87">
        <w:rPr>
          <w:rFonts w:ascii="Times New Roman" w:hAnsi="Times New Roman"/>
          <w:color w:val="FF0000"/>
          <w:sz w:val="24"/>
          <w:szCs w:val="24"/>
        </w:rPr>
        <w:t>обн.ДВ</w:t>
      </w:r>
      <w:proofErr w:type="spellEnd"/>
      <w:r w:rsidRPr="001A2F87">
        <w:rPr>
          <w:rFonts w:ascii="Times New Roman" w:hAnsi="Times New Roman"/>
          <w:color w:val="FF0000"/>
          <w:sz w:val="24"/>
          <w:szCs w:val="24"/>
        </w:rPr>
        <w:t>. бр.36 )</w:t>
      </w:r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 xml:space="preserve">Национален план за управление на отпадъците (НПУО) 2021 – 2028 г. - </w:t>
      </w:r>
      <w:hyperlink r:id="rId21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https://www.moew.government.bg/static/media/ups/tiny/%D0%A3%D0%9E%D0%9E%D0%9F/%D0%9D%D0%9F%D0%A3%D0%9E-2021-2028/NPUO_2021-2028.pdf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 xml:space="preserve">Методически указания за разработване на общински/регионални програми за управление на отпадъците, МОСВ, 08.2021 г. - </w:t>
      </w:r>
      <w:hyperlink r:id="rId22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https://www.moew.government.bg/static/media/ups/tiny/%D0%A3%D0%9E%D0%9E%D0%9F/Ukazaniq_programi_upravlenie_otpadaci.pdf</w:t>
        </w:r>
      </w:hyperlink>
    </w:p>
    <w:p w:rsidR="001A2F87" w:rsidRDefault="001A2F87" w:rsidP="001A2F87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A2F87">
        <w:rPr>
          <w:rFonts w:ascii="Times New Roman" w:hAnsi="Times New Roman"/>
          <w:color w:val="FF0000"/>
          <w:sz w:val="24"/>
          <w:szCs w:val="24"/>
        </w:rPr>
        <w:t xml:space="preserve">Стратегия и план за действие за преход към Кръгова икономика на Република България за периода 2021 – 2027 г. (проект!) </w:t>
      </w:r>
      <w:hyperlink r:id="rId23" w:history="1">
        <w:r w:rsidRPr="005E4883">
          <w:rPr>
            <w:rStyle w:val="Hyperlink"/>
            <w:rFonts w:ascii="Times New Roman" w:hAnsi="Times New Roman"/>
            <w:sz w:val="24"/>
            <w:szCs w:val="24"/>
          </w:rPr>
          <w:t>https://www.moew.government.bg/bg/strategiya-i-plan-za-dejstvie-za-prehod-kum-krugova-ikonomika-na-republika-bulgariya-za-perioda-2021-2027-g-10910/</w:t>
        </w:r>
      </w:hyperlink>
    </w:p>
    <w:p w:rsidR="001A2F87" w:rsidRPr="001A2F87" w:rsidRDefault="001A2F87" w:rsidP="001A2F87">
      <w:pPr>
        <w:pStyle w:val="ListParagraph"/>
        <w:tabs>
          <w:tab w:val="left" w:pos="426"/>
        </w:tabs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5543" w:rsidRDefault="001A5543" w:rsidP="001A2F87">
      <w:pPr>
        <w:pStyle w:val="ListParagraph"/>
        <w:tabs>
          <w:tab w:val="left" w:pos="426"/>
        </w:tabs>
        <w:spacing w:after="0"/>
        <w:ind w:left="360"/>
        <w:jc w:val="both"/>
      </w:pPr>
      <w:bookmarkStart w:id="0" w:name="_GoBack"/>
      <w:bookmarkEnd w:id="0"/>
    </w:p>
    <w:sectPr w:rsidR="001A5543" w:rsidSect="00F559B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B7" w:rsidRDefault="00F559B7" w:rsidP="00F559B7">
      <w:pPr>
        <w:spacing w:after="0" w:line="240" w:lineRule="auto"/>
      </w:pPr>
      <w:r>
        <w:separator/>
      </w:r>
    </w:p>
  </w:endnote>
  <w:endnote w:type="continuationSeparator" w:id="0">
    <w:p w:rsidR="00F559B7" w:rsidRDefault="00F559B7" w:rsidP="00F5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Default="00F55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Pr="00F559B7" w:rsidRDefault="00F559B7" w:rsidP="00F559B7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F559B7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F559B7" w:rsidRPr="00F559B7" w:rsidRDefault="001A2F87" w:rsidP="00F559B7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F559B7" w:rsidRPr="00F559B7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Default="00F55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B7" w:rsidRDefault="00F559B7" w:rsidP="00F559B7">
      <w:pPr>
        <w:spacing w:after="0" w:line="240" w:lineRule="auto"/>
      </w:pPr>
      <w:r>
        <w:separator/>
      </w:r>
    </w:p>
  </w:footnote>
  <w:footnote w:type="continuationSeparator" w:id="0">
    <w:p w:rsidR="00F559B7" w:rsidRDefault="00F559B7" w:rsidP="00F5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Default="00F55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Pr="00F559B7" w:rsidRDefault="00F559B7" w:rsidP="00F559B7">
    <w:pPr>
      <w:tabs>
        <w:tab w:val="center" w:pos="4536"/>
      </w:tabs>
      <w:spacing w:after="0" w:line="240" w:lineRule="auto"/>
      <w:ind w:left="-284"/>
      <w:rPr>
        <w:sz w:val="20"/>
        <w:szCs w:val="20"/>
        <w:lang w:eastAsia="bg-BG"/>
      </w:rPr>
    </w:pPr>
    <w:r w:rsidRPr="00F559B7">
      <w:rPr>
        <w:noProof/>
        <w:sz w:val="20"/>
        <w:szCs w:val="20"/>
        <w:lang w:eastAsia="bg-BG"/>
      </w:rPr>
      <w:drawing>
        <wp:inline distT="0" distB="0" distL="0" distR="0" wp14:anchorId="47184379" wp14:editId="08E15665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59B7">
      <w:rPr>
        <w:noProof/>
        <w:sz w:val="20"/>
        <w:szCs w:val="20"/>
        <w:lang w:val="en-US" w:eastAsia="bg-BG"/>
      </w:rPr>
      <w:t xml:space="preserve">                             </w:t>
    </w:r>
    <w:r w:rsidRPr="00F559B7">
      <w:rPr>
        <w:noProof/>
        <w:sz w:val="20"/>
        <w:szCs w:val="20"/>
        <w:lang w:eastAsia="bg-BG"/>
      </w:rPr>
      <w:t xml:space="preserve">  </w:t>
    </w:r>
    <w:r w:rsidRPr="00F559B7">
      <w:rPr>
        <w:noProof/>
        <w:sz w:val="20"/>
        <w:szCs w:val="20"/>
        <w:lang w:val="en-US" w:eastAsia="bg-BG"/>
      </w:rPr>
      <w:t xml:space="preserve">    </w:t>
    </w:r>
    <w:r w:rsidRPr="00F559B7">
      <w:rPr>
        <w:noProof/>
        <w:sz w:val="20"/>
        <w:szCs w:val="20"/>
        <w:lang w:eastAsia="bg-BG"/>
      </w:rPr>
      <w:t xml:space="preserve"> </w:t>
    </w:r>
    <w:r w:rsidRPr="00F559B7">
      <w:rPr>
        <w:noProof/>
        <w:sz w:val="20"/>
        <w:szCs w:val="20"/>
        <w:lang w:val="en-US" w:eastAsia="bg-BG"/>
      </w:rPr>
      <w:t xml:space="preserve"> </w:t>
    </w:r>
    <w:r w:rsidRPr="00F559B7">
      <w:rPr>
        <w:noProof/>
        <w:sz w:val="20"/>
        <w:szCs w:val="20"/>
        <w:lang w:eastAsia="bg-BG"/>
      </w:rPr>
      <w:drawing>
        <wp:inline distT="0" distB="0" distL="0" distR="0" wp14:anchorId="47BC2793" wp14:editId="184705CD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59B7">
      <w:rPr>
        <w:noProof/>
        <w:sz w:val="20"/>
        <w:szCs w:val="20"/>
        <w:lang w:val="en-US" w:eastAsia="bg-BG"/>
      </w:rPr>
      <w:t xml:space="preserve">        </w:t>
    </w:r>
    <w:r w:rsidRPr="00F559B7">
      <w:rPr>
        <w:noProof/>
        <w:sz w:val="20"/>
        <w:szCs w:val="20"/>
        <w:lang w:eastAsia="bg-BG"/>
      </w:rPr>
      <w:t xml:space="preserve">          </w:t>
    </w:r>
    <w:r w:rsidRPr="00F559B7">
      <w:rPr>
        <w:noProof/>
        <w:sz w:val="20"/>
        <w:szCs w:val="20"/>
        <w:lang w:val="en-US" w:eastAsia="bg-BG"/>
      </w:rPr>
      <w:t xml:space="preserve">       </w:t>
    </w:r>
    <w:r w:rsidRPr="00F559B7">
      <w:rPr>
        <w:noProof/>
        <w:sz w:val="20"/>
        <w:szCs w:val="20"/>
        <w:lang w:eastAsia="bg-BG"/>
      </w:rPr>
      <w:t xml:space="preserve">        </w:t>
    </w:r>
    <w:r w:rsidRPr="00F559B7">
      <w:rPr>
        <w:noProof/>
        <w:sz w:val="20"/>
        <w:szCs w:val="20"/>
        <w:lang w:val="en-US" w:eastAsia="bg-BG"/>
      </w:rPr>
      <w:t xml:space="preserve">    </w:t>
    </w:r>
    <w:r w:rsidRPr="00F559B7">
      <w:rPr>
        <w:noProof/>
        <w:sz w:val="20"/>
        <w:szCs w:val="20"/>
        <w:lang w:eastAsia="bg-BG"/>
      </w:rPr>
      <w:t xml:space="preserve">      </w:t>
    </w:r>
    <w:r w:rsidRPr="00F559B7">
      <w:rPr>
        <w:noProof/>
        <w:sz w:val="20"/>
        <w:szCs w:val="20"/>
        <w:lang w:eastAsia="bg-BG"/>
      </w:rPr>
      <w:drawing>
        <wp:inline distT="0" distB="0" distL="0" distR="0" wp14:anchorId="77B64350" wp14:editId="26415CF5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59B7" w:rsidRDefault="00F55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B7" w:rsidRDefault="00F55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D310AC9C"/>
    <w:lvl w:ilvl="0" w:tplc="58AAF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0E7C"/>
    <w:multiLevelType w:val="hybridMultilevel"/>
    <w:tmpl w:val="9B1C236A"/>
    <w:lvl w:ilvl="0" w:tplc="32EC0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74C08"/>
    <w:multiLevelType w:val="hybridMultilevel"/>
    <w:tmpl w:val="2898D1C4"/>
    <w:lvl w:ilvl="0" w:tplc="DEB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45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E5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4A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A6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25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0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C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873"/>
    <w:multiLevelType w:val="hybridMultilevel"/>
    <w:tmpl w:val="AA4CCA10"/>
    <w:lvl w:ilvl="0" w:tplc="58D44A1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175B"/>
    <w:multiLevelType w:val="hybridMultilevel"/>
    <w:tmpl w:val="475E5868"/>
    <w:lvl w:ilvl="0" w:tplc="E0DCF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7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81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0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A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4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A1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0C10D9"/>
    <w:rsid w:val="00107D07"/>
    <w:rsid w:val="001A2F87"/>
    <w:rsid w:val="001A5543"/>
    <w:rsid w:val="001F7C68"/>
    <w:rsid w:val="004B75D4"/>
    <w:rsid w:val="005B2A73"/>
    <w:rsid w:val="006832A7"/>
    <w:rsid w:val="0069043D"/>
    <w:rsid w:val="009852EE"/>
    <w:rsid w:val="00B4707F"/>
    <w:rsid w:val="00C10C20"/>
    <w:rsid w:val="00C10F8C"/>
    <w:rsid w:val="00D245F3"/>
    <w:rsid w:val="00E27DC9"/>
    <w:rsid w:val="00F07A49"/>
    <w:rsid w:val="00F559B7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184F28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52EE"/>
    <w:pPr>
      <w:jc w:val="left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F5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B7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5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B7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ission/presscorner/detail/bg/ip_20_17" TargetMode="External"/><Relationship Id="rId13" Type="http://schemas.openxmlformats.org/officeDocument/2006/relationships/hyperlink" Target="https://ec.europa.eu/energy/sites/ener/files/hydrogen_strategy.pdf" TargetMode="External"/><Relationship Id="rId18" Type="http://schemas.openxmlformats.org/officeDocument/2006/relationships/hyperlink" Target="https://ec.europa.eu/commission/presscorner/detail/bg/ip_20_232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moew.government.bg/static/media/ups/tiny/%D0%A3%D0%9E%D0%9E%D0%9F/%D0%9D%D0%9F%D0%A3%D0%9E-2021-2028/NPUO_2021-2028.pdf" TargetMode="External"/><Relationship Id="rId7" Type="http://schemas.openxmlformats.org/officeDocument/2006/relationships/hyperlink" Target="https://ec.europa.eu/commission/presscorner/detail/bg/ip_19_6691" TargetMode="External"/><Relationship Id="rId12" Type="http://schemas.openxmlformats.org/officeDocument/2006/relationships/hyperlink" Target="https://ec.europa.eu/info/strategy/priorities-2019-2024/european-green-deal/actions-being-taken-eu/farm-fork_bg" TargetMode="External"/><Relationship Id="rId17" Type="http://schemas.openxmlformats.org/officeDocument/2006/relationships/hyperlink" Target="https://ec.europa.eu/commission/presscorner/detail/bg/ip_20_209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ec.europa.eu/commission/presscorner/detail/bg/ip_20_1839" TargetMode="External"/><Relationship Id="rId20" Type="http://schemas.openxmlformats.org/officeDocument/2006/relationships/hyperlink" Target="https://www.mzh.government.bg/bg/politiki-i-programi/politiki-i-strategii/nacionalna-programa-za-predotvratyavane-i-namalyavane-na-zagubat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commission/presscorner/detail/bg/fs_20_43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c.europa.eu/commission/presscorner/detail/bg/ip_20_1833" TargetMode="External"/><Relationship Id="rId23" Type="http://schemas.openxmlformats.org/officeDocument/2006/relationships/hyperlink" Target="https://www.moew.government.bg/bg/strategiya-i-plan-za-dejstvie-za-prehod-kum-krugova-ikonomika-na-republika-bulgariya-za-perioda-2021-2027-g-10910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c.europa.eu/info/strategy/priorities-2019-2024/european-green-deal/actions-being-taken-eu/eu-biodiversity-strategy-2030_bg" TargetMode="External"/><Relationship Id="rId19" Type="http://schemas.openxmlformats.org/officeDocument/2006/relationships/hyperlink" Target="https://europa.eu/new-european-bauhaus/index_b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commission/presscorner/detail/bg/ip_20_416" TargetMode="External"/><Relationship Id="rId14" Type="http://schemas.openxmlformats.org/officeDocument/2006/relationships/hyperlink" Target="https://ec.europa.eu/commission/presscorner/detail/bg/ip_20_1835" TargetMode="External"/><Relationship Id="rId22" Type="http://schemas.openxmlformats.org/officeDocument/2006/relationships/hyperlink" Target="https://www.moew.government.bg/static/media/ups/tiny/%D0%A3%D0%9E%D0%9E%D0%9F/Ukazaniq_programi_upravlenie_otpadaci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10</cp:revision>
  <dcterms:created xsi:type="dcterms:W3CDTF">2021-04-05T10:17:00Z</dcterms:created>
  <dcterms:modified xsi:type="dcterms:W3CDTF">2022-12-19T08:13:00Z</dcterms:modified>
</cp:coreProperties>
</file>